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A2842" w14:textId="302AC1CC" w:rsidR="00DC44DA" w:rsidRDefault="00DC44DA" w:rsidP="00DD0FDE">
      <w:pPr>
        <w:pStyle w:val="Ttulo"/>
        <w:ind w:left="-142" w:right="-6"/>
        <w:rPr>
          <w:rFonts w:eastAsia="MS Mincho"/>
          <w:b w:val="0"/>
          <w:noProof w:val="0"/>
        </w:rPr>
      </w:pPr>
    </w:p>
    <w:p w14:paraId="197C1F1C" w14:textId="77777777" w:rsidR="00DD0FDE" w:rsidRPr="00D13A70" w:rsidRDefault="00DD0FDE" w:rsidP="00DD0FDE">
      <w:pPr>
        <w:pStyle w:val="Ttulo"/>
        <w:ind w:left="-142" w:right="-6"/>
        <w:rPr>
          <w:rFonts w:eastAsia="MS Mincho"/>
          <w:b w:val="0"/>
          <w:noProof w:val="0"/>
        </w:rPr>
      </w:pPr>
    </w:p>
    <w:p w14:paraId="1940286B" w14:textId="77777777" w:rsidR="000B64A1" w:rsidRPr="00D13A70" w:rsidRDefault="000B64A1" w:rsidP="00DD0FDE">
      <w:pPr>
        <w:pStyle w:val="Ttulo"/>
        <w:ind w:left="-142" w:right="-6"/>
        <w:rPr>
          <w:rFonts w:eastAsia="MS Mincho"/>
          <w:b w:val="0"/>
          <w:noProof w:val="0"/>
        </w:rPr>
      </w:pPr>
    </w:p>
    <w:p w14:paraId="48A74A03" w14:textId="77777777" w:rsidR="00DC44DA" w:rsidRPr="0060216C" w:rsidRDefault="00DC44DA" w:rsidP="00DD0FDE">
      <w:pPr>
        <w:pStyle w:val="Ttulo"/>
        <w:ind w:left="-142" w:right="-6"/>
        <w:rPr>
          <w:rFonts w:eastAsia="MS Mincho"/>
          <w:noProof w:val="0"/>
        </w:rPr>
      </w:pPr>
      <w:r w:rsidRPr="0060216C">
        <w:rPr>
          <w:rFonts w:eastAsia="MS Mincho"/>
          <w:noProof w:val="0"/>
        </w:rPr>
        <w:t>CORTE INTERAMERICANA DE DERECHOS HUMANOS</w:t>
      </w:r>
    </w:p>
    <w:p w14:paraId="54CF2D5B" w14:textId="77777777" w:rsidR="00DC44DA" w:rsidRPr="00D13A70" w:rsidRDefault="00DC44DA" w:rsidP="00DD0FDE">
      <w:pPr>
        <w:pStyle w:val="Ttulo"/>
        <w:ind w:left="-142" w:right="-6"/>
        <w:rPr>
          <w:rFonts w:eastAsia="MS Mincho"/>
          <w:b w:val="0"/>
          <w:noProof w:val="0"/>
        </w:rPr>
      </w:pPr>
    </w:p>
    <w:p w14:paraId="2B0BD4DA" w14:textId="77777777" w:rsidR="00DC44DA" w:rsidRDefault="00DC44DA" w:rsidP="00DD0FDE">
      <w:pPr>
        <w:ind w:right="-6"/>
        <w:jc w:val="center"/>
        <w:rPr>
          <w:rFonts w:cs="Verdana Bold"/>
          <w:b/>
          <w:bCs/>
          <w:i/>
          <w:caps/>
          <w:szCs w:val="20"/>
        </w:rPr>
      </w:pPr>
      <w:r w:rsidRPr="0060216C">
        <w:rPr>
          <w:rFonts w:cs="Verdana Bold"/>
          <w:b/>
          <w:bCs/>
          <w:i/>
          <w:caps/>
          <w:szCs w:val="20"/>
        </w:rPr>
        <w:t>Caso CUSCUL PIVARAL y OTROS Vs. GUATEMALA</w:t>
      </w:r>
    </w:p>
    <w:p w14:paraId="6CD34BEC" w14:textId="77777777" w:rsidR="00DD0FDE" w:rsidRPr="00DD0FDE" w:rsidRDefault="00DD0FDE" w:rsidP="00DD0FDE">
      <w:pPr>
        <w:ind w:right="-6"/>
        <w:jc w:val="center"/>
        <w:rPr>
          <w:rFonts w:cs="Verdana Bold"/>
          <w:bCs/>
          <w:caps/>
          <w:szCs w:val="20"/>
        </w:rPr>
      </w:pPr>
    </w:p>
    <w:p w14:paraId="6BCA81FD" w14:textId="2A7D029D" w:rsidR="00DC44DA" w:rsidRDefault="00DC44DA" w:rsidP="00DD0FDE">
      <w:pPr>
        <w:pStyle w:val="Ttulo"/>
        <w:ind w:left="-142" w:right="-6"/>
        <w:rPr>
          <w:rFonts w:eastAsia="MS Mincho"/>
          <w:noProof w:val="0"/>
        </w:rPr>
      </w:pPr>
      <w:r w:rsidRPr="0060216C">
        <w:rPr>
          <w:rFonts w:eastAsia="MS Mincho"/>
          <w:noProof w:val="0"/>
        </w:rPr>
        <w:t xml:space="preserve">SENTENCIA DE </w:t>
      </w:r>
      <w:r w:rsidR="00E50366">
        <w:rPr>
          <w:rFonts w:eastAsia="MS Mincho"/>
          <w:noProof w:val="0"/>
        </w:rPr>
        <w:t>23</w:t>
      </w:r>
      <w:r w:rsidRPr="0060216C">
        <w:rPr>
          <w:rFonts w:eastAsia="MS Mincho"/>
          <w:noProof w:val="0"/>
        </w:rPr>
        <w:t xml:space="preserve"> DE </w:t>
      </w:r>
      <w:r w:rsidR="008C6DDA">
        <w:rPr>
          <w:rFonts w:eastAsia="MS Mincho"/>
          <w:noProof w:val="0"/>
        </w:rPr>
        <w:t>AGOSTO</w:t>
      </w:r>
      <w:r w:rsidR="008C6DDA" w:rsidRPr="0060216C">
        <w:rPr>
          <w:rFonts w:eastAsia="MS Mincho"/>
          <w:noProof w:val="0"/>
        </w:rPr>
        <w:t xml:space="preserve"> </w:t>
      </w:r>
      <w:r w:rsidRPr="0060216C">
        <w:rPr>
          <w:rFonts w:eastAsia="MS Mincho"/>
          <w:noProof w:val="0"/>
        </w:rPr>
        <w:t>DE 2018</w:t>
      </w:r>
    </w:p>
    <w:p w14:paraId="71DE9171" w14:textId="77777777" w:rsidR="00DD0FDE" w:rsidRPr="00DD0FDE" w:rsidRDefault="00DD0FDE" w:rsidP="00DD0FDE">
      <w:pPr>
        <w:pStyle w:val="Ttulo"/>
        <w:ind w:left="-142" w:right="-6"/>
        <w:rPr>
          <w:rFonts w:eastAsia="MS Mincho"/>
          <w:b w:val="0"/>
          <w:noProof w:val="0"/>
        </w:rPr>
      </w:pPr>
    </w:p>
    <w:p w14:paraId="52E9B654" w14:textId="7A680544" w:rsidR="00DC44DA" w:rsidRPr="0060216C" w:rsidRDefault="00DC44DA" w:rsidP="00DD0FDE">
      <w:pPr>
        <w:pStyle w:val="Subttulo"/>
        <w:ind w:left="-142" w:right="-6"/>
        <w:rPr>
          <w:noProof w:val="0"/>
        </w:rPr>
      </w:pPr>
      <w:r w:rsidRPr="0060216C">
        <w:rPr>
          <w:noProof w:val="0"/>
        </w:rPr>
        <w:t>(</w:t>
      </w:r>
      <w:r w:rsidR="00DD0FDE">
        <w:rPr>
          <w:noProof w:val="0"/>
        </w:rPr>
        <w:t>Excepción Preliminar</w:t>
      </w:r>
      <w:r w:rsidRPr="0060216C">
        <w:rPr>
          <w:noProof w:val="0"/>
        </w:rPr>
        <w:t>, Fondo, Reparaciones y Costas)</w:t>
      </w:r>
    </w:p>
    <w:p w14:paraId="6B049240" w14:textId="77777777" w:rsidR="00DC44DA" w:rsidRDefault="00DC44DA" w:rsidP="00DD0FDE">
      <w:pPr>
        <w:ind w:left="-142" w:right="-6"/>
        <w:rPr>
          <w:noProof w:val="0"/>
          <w:szCs w:val="20"/>
        </w:rPr>
      </w:pPr>
    </w:p>
    <w:p w14:paraId="5665022C" w14:textId="77777777" w:rsidR="00DD0FDE" w:rsidRDefault="00DD0FDE" w:rsidP="00DD0FDE">
      <w:pPr>
        <w:ind w:left="-142" w:right="-6"/>
        <w:rPr>
          <w:noProof w:val="0"/>
          <w:szCs w:val="20"/>
        </w:rPr>
      </w:pPr>
    </w:p>
    <w:p w14:paraId="43AC70D7" w14:textId="77777777" w:rsidR="00DD0FDE" w:rsidRDefault="00DD0FDE" w:rsidP="00DD0FDE">
      <w:pPr>
        <w:ind w:left="-142" w:right="-6"/>
        <w:rPr>
          <w:noProof w:val="0"/>
          <w:szCs w:val="20"/>
        </w:rPr>
      </w:pPr>
    </w:p>
    <w:p w14:paraId="51C2CBD8" w14:textId="77777777" w:rsidR="00DD0FDE" w:rsidRPr="0060216C" w:rsidRDefault="00DD0FDE" w:rsidP="00DD0FDE">
      <w:pPr>
        <w:ind w:left="-142" w:right="-6"/>
        <w:rPr>
          <w:noProof w:val="0"/>
          <w:szCs w:val="20"/>
        </w:rPr>
      </w:pPr>
    </w:p>
    <w:p w14:paraId="1CB403CA" w14:textId="603D84BD" w:rsidR="00DC44DA" w:rsidRDefault="00DC44DA" w:rsidP="00DD0FDE">
      <w:pPr>
        <w:ind w:right="-6"/>
        <w:rPr>
          <w:i/>
          <w:noProof w:val="0"/>
          <w:szCs w:val="20"/>
        </w:rPr>
      </w:pPr>
      <w:r w:rsidRPr="0060216C">
        <w:rPr>
          <w:noProof w:val="0"/>
          <w:szCs w:val="20"/>
        </w:rPr>
        <w:t xml:space="preserve">En el </w:t>
      </w:r>
      <w:r w:rsidR="00DD0FDE">
        <w:rPr>
          <w:i/>
          <w:noProof w:val="0"/>
          <w:szCs w:val="20"/>
        </w:rPr>
        <w:t xml:space="preserve">Caso </w:t>
      </w:r>
      <w:proofErr w:type="spellStart"/>
      <w:r w:rsidR="00DD0FDE">
        <w:rPr>
          <w:i/>
          <w:noProof w:val="0"/>
          <w:szCs w:val="20"/>
        </w:rPr>
        <w:t>Cuscul</w:t>
      </w:r>
      <w:proofErr w:type="spellEnd"/>
      <w:r w:rsidR="00DD0FDE">
        <w:rPr>
          <w:i/>
          <w:noProof w:val="0"/>
          <w:szCs w:val="20"/>
        </w:rPr>
        <w:t xml:space="preserve"> Pivaral y otros V</w:t>
      </w:r>
      <w:r w:rsidRPr="0060216C">
        <w:rPr>
          <w:i/>
          <w:noProof w:val="0"/>
          <w:szCs w:val="20"/>
        </w:rPr>
        <w:t>s. Guatemala</w:t>
      </w:r>
      <w:r w:rsidR="00DD0FDE">
        <w:rPr>
          <w:i/>
          <w:noProof w:val="0"/>
          <w:szCs w:val="20"/>
        </w:rPr>
        <w:t>,</w:t>
      </w:r>
    </w:p>
    <w:p w14:paraId="31352E49" w14:textId="77777777" w:rsidR="00DD0FDE" w:rsidRPr="0060216C" w:rsidRDefault="00DD0FDE" w:rsidP="00DD0FDE">
      <w:pPr>
        <w:ind w:right="-6"/>
        <w:rPr>
          <w:noProof w:val="0"/>
          <w:szCs w:val="20"/>
        </w:rPr>
      </w:pPr>
    </w:p>
    <w:p w14:paraId="410225AA" w14:textId="5DEDE219" w:rsidR="00DC44DA" w:rsidRDefault="00DC44DA" w:rsidP="00DD0FDE">
      <w:pPr>
        <w:ind w:right="-6"/>
        <w:rPr>
          <w:noProof w:val="0"/>
        </w:rPr>
      </w:pPr>
      <w:r w:rsidRPr="0060216C">
        <w:rPr>
          <w:noProof w:val="0"/>
        </w:rPr>
        <w:t>la Corte Interamericana de Derechos Humanos (en adelante “la Corte I</w:t>
      </w:r>
      <w:r w:rsidR="00DD0FDE">
        <w:rPr>
          <w:noProof w:val="0"/>
        </w:rPr>
        <w:t>nteramericana”, “la Corte” o “este</w:t>
      </w:r>
      <w:r w:rsidRPr="0060216C">
        <w:rPr>
          <w:noProof w:val="0"/>
        </w:rPr>
        <w:t xml:space="preserve"> Tribunal”), integrada por los siguientes Jueces</w:t>
      </w:r>
      <w:r w:rsidR="000B64A1" w:rsidRPr="0060216C">
        <w:rPr>
          <w:noProof w:val="0"/>
        </w:rPr>
        <w:t xml:space="preserve"> y Jueza</w:t>
      </w:r>
      <w:r w:rsidR="00A54DA3">
        <w:rPr>
          <w:rStyle w:val="Refdenotaalpie"/>
          <w:noProof w:val="0"/>
        </w:rPr>
        <w:footnoteReference w:id="1"/>
      </w:r>
      <w:r w:rsidRPr="0060216C">
        <w:rPr>
          <w:noProof w:val="0"/>
        </w:rPr>
        <w:t>:</w:t>
      </w:r>
    </w:p>
    <w:p w14:paraId="5A3D2810" w14:textId="77777777" w:rsidR="00DD0FDE" w:rsidRPr="0060216C" w:rsidRDefault="00DD0FDE" w:rsidP="00DD0FDE">
      <w:pPr>
        <w:ind w:right="-6"/>
        <w:rPr>
          <w:noProof w:val="0"/>
        </w:rPr>
      </w:pPr>
    </w:p>
    <w:p w14:paraId="0A6BB6F7" w14:textId="77777777" w:rsidR="00DC44DA" w:rsidRPr="0060216C" w:rsidRDefault="00DC44DA" w:rsidP="00DD0FDE">
      <w:pPr>
        <w:pStyle w:val="citaindirecta"/>
        <w:ind w:right="-6"/>
        <w:rPr>
          <w:noProof w:val="0"/>
          <w:lang w:val="pt-BR"/>
        </w:rPr>
      </w:pPr>
      <w:r w:rsidRPr="0060216C">
        <w:rPr>
          <w:noProof w:val="0"/>
          <w:lang w:val="pt-BR"/>
        </w:rPr>
        <w:t xml:space="preserve">Eduardo Ferrer </w:t>
      </w:r>
      <w:proofErr w:type="spellStart"/>
      <w:r w:rsidRPr="0060216C">
        <w:rPr>
          <w:noProof w:val="0"/>
          <w:lang w:val="pt-BR"/>
        </w:rPr>
        <w:t>Mac-Gregor</w:t>
      </w:r>
      <w:proofErr w:type="spellEnd"/>
      <w:r w:rsidRPr="0060216C">
        <w:rPr>
          <w:noProof w:val="0"/>
          <w:lang w:val="pt-BR"/>
        </w:rPr>
        <w:t xml:space="preserve"> </w:t>
      </w:r>
      <w:proofErr w:type="spellStart"/>
      <w:r w:rsidRPr="0060216C">
        <w:rPr>
          <w:noProof w:val="0"/>
          <w:lang w:val="pt-BR"/>
        </w:rPr>
        <w:t>Poisot</w:t>
      </w:r>
      <w:proofErr w:type="spellEnd"/>
      <w:r w:rsidRPr="0060216C">
        <w:rPr>
          <w:noProof w:val="0"/>
          <w:lang w:val="pt-BR"/>
        </w:rPr>
        <w:t xml:space="preserve">, Presidente; </w:t>
      </w:r>
    </w:p>
    <w:p w14:paraId="59AE95E7" w14:textId="77777777" w:rsidR="00846209" w:rsidRPr="0060216C" w:rsidRDefault="00846209" w:rsidP="00DD0FDE">
      <w:pPr>
        <w:pStyle w:val="citaindirecta"/>
        <w:ind w:right="-6"/>
        <w:rPr>
          <w:noProof w:val="0"/>
        </w:rPr>
      </w:pPr>
      <w:r w:rsidRPr="0060216C">
        <w:rPr>
          <w:noProof w:val="0"/>
          <w:lang w:val="pt-BR"/>
        </w:rPr>
        <w:t xml:space="preserve">Humberto </w:t>
      </w:r>
      <w:proofErr w:type="spellStart"/>
      <w:r w:rsidRPr="0060216C">
        <w:rPr>
          <w:noProof w:val="0"/>
          <w:lang w:val="pt-BR"/>
        </w:rPr>
        <w:t>Antonio</w:t>
      </w:r>
      <w:proofErr w:type="spellEnd"/>
      <w:r w:rsidRPr="0060216C">
        <w:rPr>
          <w:noProof w:val="0"/>
          <w:lang w:val="pt-BR"/>
        </w:rPr>
        <w:t xml:space="preserve"> </w:t>
      </w:r>
      <w:proofErr w:type="spellStart"/>
      <w:r w:rsidRPr="0060216C">
        <w:rPr>
          <w:noProof w:val="0"/>
          <w:lang w:val="pt-BR"/>
        </w:rPr>
        <w:t>Sierra</w:t>
      </w:r>
      <w:proofErr w:type="spellEnd"/>
      <w:r w:rsidRPr="0060216C">
        <w:rPr>
          <w:noProof w:val="0"/>
          <w:lang w:val="pt-BR"/>
        </w:rPr>
        <w:t xml:space="preserve"> Porto, </w:t>
      </w:r>
      <w:proofErr w:type="spellStart"/>
      <w:r w:rsidRPr="0060216C">
        <w:rPr>
          <w:noProof w:val="0"/>
          <w:lang w:val="pt-BR"/>
        </w:rPr>
        <w:t>Juez</w:t>
      </w:r>
      <w:proofErr w:type="spellEnd"/>
      <w:r w:rsidRPr="0060216C">
        <w:rPr>
          <w:noProof w:val="0"/>
          <w:lang w:val="pt-BR"/>
        </w:rPr>
        <w:t>;</w:t>
      </w:r>
    </w:p>
    <w:p w14:paraId="19B995B0" w14:textId="77777777" w:rsidR="00DC44DA" w:rsidRPr="0060216C" w:rsidRDefault="00DC44DA" w:rsidP="00DD0FDE">
      <w:pPr>
        <w:pStyle w:val="citaindirecta"/>
        <w:ind w:right="-6"/>
        <w:rPr>
          <w:noProof w:val="0"/>
        </w:rPr>
      </w:pPr>
      <w:r w:rsidRPr="0060216C">
        <w:rPr>
          <w:noProof w:val="0"/>
        </w:rPr>
        <w:t>Elizabeth Odio Benito, Jueza;</w:t>
      </w:r>
    </w:p>
    <w:p w14:paraId="7FB04172" w14:textId="77777777" w:rsidR="00DC44DA" w:rsidRPr="0060216C" w:rsidRDefault="00DC44DA" w:rsidP="00DD0FDE">
      <w:pPr>
        <w:pStyle w:val="citaindirecta"/>
        <w:ind w:right="-6"/>
        <w:rPr>
          <w:noProof w:val="0"/>
        </w:rPr>
      </w:pPr>
      <w:r w:rsidRPr="0060216C">
        <w:rPr>
          <w:noProof w:val="0"/>
        </w:rPr>
        <w:t>Eugenio Raúl Zaffaroni,</w:t>
      </w:r>
      <w:r w:rsidR="00846209" w:rsidRPr="0060216C">
        <w:rPr>
          <w:noProof w:val="0"/>
        </w:rPr>
        <w:t xml:space="preserve"> Juez, y</w:t>
      </w:r>
    </w:p>
    <w:p w14:paraId="27CBC1AE" w14:textId="1E238325" w:rsidR="00DC44DA" w:rsidRDefault="00DC44DA" w:rsidP="00DD0FDE">
      <w:pPr>
        <w:pStyle w:val="citaindirecta"/>
        <w:ind w:right="-6"/>
        <w:rPr>
          <w:noProof w:val="0"/>
        </w:rPr>
      </w:pPr>
      <w:r w:rsidRPr="0060216C">
        <w:rPr>
          <w:noProof w:val="0"/>
        </w:rPr>
        <w:t>Patricio Pazmiño Freire,</w:t>
      </w:r>
      <w:r w:rsidRPr="0060216C">
        <w:rPr>
          <w:noProof w:val="0"/>
          <w:lang w:val="es-ES"/>
        </w:rPr>
        <w:t xml:space="preserve"> </w:t>
      </w:r>
      <w:r w:rsidR="00846209" w:rsidRPr="0060216C">
        <w:rPr>
          <w:noProof w:val="0"/>
        </w:rPr>
        <w:t>Juez</w:t>
      </w:r>
    </w:p>
    <w:p w14:paraId="1D7FC764" w14:textId="77777777" w:rsidR="00DD0FDE" w:rsidRPr="0060216C" w:rsidRDefault="00DD0FDE" w:rsidP="00DD0FDE">
      <w:pPr>
        <w:pStyle w:val="citaindirecta"/>
        <w:ind w:right="-6"/>
        <w:rPr>
          <w:noProof w:val="0"/>
          <w:lang w:val="es-ES"/>
        </w:rPr>
      </w:pPr>
    </w:p>
    <w:p w14:paraId="4ED1EF13" w14:textId="77777777" w:rsidR="00DC44DA" w:rsidRDefault="00DC44DA" w:rsidP="00DD0FDE">
      <w:pPr>
        <w:ind w:right="-6"/>
        <w:rPr>
          <w:noProof w:val="0"/>
        </w:rPr>
      </w:pPr>
      <w:r w:rsidRPr="0060216C">
        <w:rPr>
          <w:noProof w:val="0"/>
        </w:rPr>
        <w:t>presentes, además,</w:t>
      </w:r>
    </w:p>
    <w:p w14:paraId="27EA6D43" w14:textId="77777777" w:rsidR="00DD0FDE" w:rsidRPr="0060216C" w:rsidRDefault="00DD0FDE" w:rsidP="00DD0FDE">
      <w:pPr>
        <w:ind w:right="-6"/>
        <w:rPr>
          <w:noProof w:val="0"/>
        </w:rPr>
      </w:pPr>
    </w:p>
    <w:p w14:paraId="66CD94F3" w14:textId="77777777" w:rsidR="00DC44DA" w:rsidRPr="0060216C" w:rsidRDefault="00DC44DA" w:rsidP="00DD0FDE">
      <w:pPr>
        <w:ind w:right="-6" w:firstLine="708"/>
        <w:rPr>
          <w:noProof w:val="0"/>
        </w:rPr>
      </w:pPr>
      <w:r w:rsidRPr="0060216C">
        <w:rPr>
          <w:noProof w:val="0"/>
        </w:rPr>
        <w:t>Pablo Saavedra Alessandri, Secretario, y</w:t>
      </w:r>
    </w:p>
    <w:p w14:paraId="77D82170" w14:textId="77777777" w:rsidR="00DC44DA" w:rsidRDefault="00DC44DA" w:rsidP="00DD0FDE">
      <w:pPr>
        <w:ind w:left="708" w:right="-6"/>
        <w:rPr>
          <w:noProof w:val="0"/>
        </w:rPr>
      </w:pPr>
      <w:r w:rsidRPr="0060216C">
        <w:rPr>
          <w:noProof w:val="0"/>
        </w:rPr>
        <w:t>Emilia Segares Rodríguez, Secretaria Adjunta,</w:t>
      </w:r>
    </w:p>
    <w:p w14:paraId="4C59C8BA" w14:textId="77777777" w:rsidR="00DD0FDE" w:rsidRPr="0060216C" w:rsidRDefault="00DD0FDE" w:rsidP="00DD0FDE">
      <w:pPr>
        <w:ind w:left="708" w:right="-6"/>
        <w:rPr>
          <w:noProof w:val="0"/>
        </w:rPr>
      </w:pPr>
    </w:p>
    <w:p w14:paraId="3987CCDC" w14:textId="77777777" w:rsidR="00DC44DA" w:rsidRPr="0060216C" w:rsidRDefault="00DC44DA" w:rsidP="00DD0FDE">
      <w:pPr>
        <w:ind w:right="-6"/>
        <w:rPr>
          <w:noProof w:val="0"/>
        </w:rPr>
      </w:pPr>
      <w:r w:rsidRPr="0060216C">
        <w:rPr>
          <w:noProof w:val="0"/>
        </w:rPr>
        <w:t>de conformidad con los artículos 62.3 y 63.1 de la Convención Americana sobre Derechos Humanos (en adelante, “la Convención Americana” o “la Convención”) y con los artículos 31, 32, 65 y 67 del Reglamento de la Corte (en adelante también “el Reglamento”</w:t>
      </w:r>
      <w:r w:rsidR="002A2832" w:rsidRPr="0060216C">
        <w:rPr>
          <w:noProof w:val="0"/>
        </w:rPr>
        <w:t xml:space="preserve"> o “Reglamento de la Corte”</w:t>
      </w:r>
      <w:r w:rsidRPr="0060216C">
        <w:rPr>
          <w:noProof w:val="0"/>
        </w:rPr>
        <w:t>), dicta la presente Sentencia</w:t>
      </w:r>
      <w:r w:rsidR="002A2832" w:rsidRPr="0060216C">
        <w:rPr>
          <w:noProof w:val="0"/>
        </w:rPr>
        <w:t xml:space="preserve"> que se estructura en el siguiente orden:</w:t>
      </w:r>
    </w:p>
    <w:p w14:paraId="29CAE179" w14:textId="77777777" w:rsidR="00DC44DA" w:rsidRPr="0060216C" w:rsidRDefault="00DC44DA" w:rsidP="00684CB3">
      <w:pPr>
        <w:spacing w:before="240"/>
        <w:ind w:right="-4"/>
        <w:rPr>
          <w:noProof w:val="0"/>
        </w:rPr>
      </w:pPr>
      <w:r w:rsidRPr="0060216C">
        <w:rPr>
          <w:noProof w:val="0"/>
        </w:rPr>
        <w:br w:type="page"/>
      </w:r>
    </w:p>
    <w:sdt>
      <w:sdtPr>
        <w:rPr>
          <w:rFonts w:ascii="Verdana" w:eastAsiaTheme="majorEastAsia" w:hAnsi="Verdana" w:cs="Times New Roman"/>
          <w:b w:val="0"/>
          <w:bCs/>
          <w:caps w:val="0"/>
          <w:noProof w:val="0"/>
          <w:color w:val="365F91" w:themeColor="accent1" w:themeShade="BF"/>
          <w:sz w:val="20"/>
          <w:szCs w:val="20"/>
          <w:lang w:val="es-ES_tradnl" w:eastAsia="ja-JP"/>
        </w:rPr>
        <w:id w:val="1448508299"/>
        <w:docPartObj>
          <w:docPartGallery w:val="Table of Contents"/>
          <w:docPartUnique/>
        </w:docPartObj>
      </w:sdtPr>
      <w:sdtEndPr>
        <w:rPr>
          <w:rFonts w:cstheme="majorBidi"/>
          <w:b/>
          <w:lang w:val="en-US"/>
        </w:rPr>
      </w:sdtEndPr>
      <w:sdtContent>
        <w:p w14:paraId="304371AE" w14:textId="64F78216" w:rsidR="00B4689D" w:rsidRPr="00604517" w:rsidRDefault="006F26F0" w:rsidP="00B4689D">
          <w:pPr>
            <w:pStyle w:val="TDC1"/>
            <w:rPr>
              <w:rFonts w:ascii="Verdana" w:eastAsiaTheme="minorEastAsia" w:hAnsi="Verdana" w:cstheme="minorBidi"/>
              <w:b w:val="0"/>
              <w:caps w:val="0"/>
              <w:szCs w:val="18"/>
              <w:lang w:val="es-CR" w:eastAsia="es-CR"/>
            </w:rPr>
          </w:pPr>
          <w:r w:rsidRPr="00B4689D">
            <w:rPr>
              <w:rFonts w:ascii="Verdana" w:hAnsi="Verdana" w:cs="Times New Roman"/>
              <w:sz w:val="20"/>
              <w:szCs w:val="20"/>
            </w:rPr>
            <w:fldChar w:fldCharType="begin"/>
          </w:r>
          <w:r w:rsidRPr="00B4689D">
            <w:rPr>
              <w:rFonts w:ascii="Verdana" w:hAnsi="Verdana" w:cs="Times New Roman"/>
              <w:sz w:val="20"/>
              <w:szCs w:val="20"/>
            </w:rPr>
            <w:instrText xml:space="preserve"> TOC \o "1-3" \h \z \u </w:instrText>
          </w:r>
          <w:r w:rsidRPr="00B4689D">
            <w:rPr>
              <w:rFonts w:ascii="Verdana" w:hAnsi="Verdana" w:cs="Times New Roman"/>
              <w:sz w:val="20"/>
              <w:szCs w:val="20"/>
            </w:rPr>
            <w:fldChar w:fldCharType="separate"/>
          </w:r>
          <w:hyperlink w:anchor="_Toc527466462" w:history="1">
            <w:r w:rsidR="00CB701D" w:rsidRPr="00604517">
              <w:rPr>
                <w:rStyle w:val="Hipervnculo"/>
                <w:rFonts w:ascii="Verdana" w:hAnsi="Verdana"/>
                <w:szCs w:val="18"/>
              </w:rPr>
              <w:t>I.</w:t>
            </w:r>
            <w:r w:rsidR="00B4689D" w:rsidRPr="00604517">
              <w:rPr>
                <w:rStyle w:val="Hipervnculo"/>
                <w:rFonts w:ascii="Verdana" w:hAnsi="Verdana"/>
                <w:szCs w:val="18"/>
              </w:rPr>
              <w:t xml:space="preserve"> INTRODUCCIÓN DE LA CAUSA Y OBJETO DE LA CONTROVERSIA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_Toc527466462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3</w:t>
            </w:r>
            <w:r w:rsidR="00B4689D" w:rsidRPr="00604517">
              <w:rPr>
                <w:rFonts w:ascii="Verdana" w:hAnsi="Verdana"/>
                <w:webHidden/>
                <w:szCs w:val="18"/>
              </w:rPr>
              <w:fldChar w:fldCharType="end"/>
            </w:r>
          </w:hyperlink>
        </w:p>
        <w:p w14:paraId="266CF87A" w14:textId="274D69E1" w:rsidR="00B4689D" w:rsidRPr="00604517" w:rsidRDefault="002A0615" w:rsidP="00B4689D">
          <w:pPr>
            <w:pStyle w:val="TDC1"/>
            <w:rPr>
              <w:rFonts w:ascii="Verdana" w:eastAsiaTheme="minorEastAsia" w:hAnsi="Verdana" w:cstheme="minorBidi"/>
              <w:b w:val="0"/>
              <w:caps w:val="0"/>
              <w:szCs w:val="18"/>
              <w:lang w:val="es-CR" w:eastAsia="es-CR"/>
            </w:rPr>
          </w:pPr>
          <w:hyperlink w:anchor="_Toc527466463" w:history="1">
            <w:r w:rsidR="00CB701D" w:rsidRPr="00604517">
              <w:rPr>
                <w:rStyle w:val="Hipervnculo"/>
                <w:rFonts w:ascii="Verdana" w:hAnsi="Verdana"/>
                <w:szCs w:val="18"/>
                <w:lang w:val="es-ES_tradnl"/>
              </w:rPr>
              <w:t>II.</w:t>
            </w:r>
            <w:r w:rsidR="00B4689D" w:rsidRPr="00604517">
              <w:rPr>
                <w:rStyle w:val="Hipervnculo"/>
                <w:rFonts w:ascii="Verdana" w:hAnsi="Verdana"/>
                <w:szCs w:val="18"/>
                <w:lang w:val="es-ES_tradnl"/>
              </w:rPr>
              <w:t xml:space="preserve"> PROCEDIMIENTO ANTE LA CORTE</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_Toc527466463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4</w:t>
            </w:r>
            <w:r w:rsidR="00B4689D" w:rsidRPr="00604517">
              <w:rPr>
                <w:rFonts w:ascii="Verdana" w:hAnsi="Verdana"/>
                <w:webHidden/>
                <w:szCs w:val="18"/>
              </w:rPr>
              <w:fldChar w:fldCharType="end"/>
            </w:r>
          </w:hyperlink>
        </w:p>
        <w:p w14:paraId="3D85391C" w14:textId="3AAFC22B"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464" w:history="1">
            <w:r w:rsidR="00CB701D" w:rsidRPr="00604517">
              <w:rPr>
                <w:rStyle w:val="Hipervnculo"/>
                <w:rFonts w:ascii="Verdana" w:hAnsi="Verdana"/>
                <w:szCs w:val="18"/>
                <w:lang w:val="es-ES_tradnl"/>
              </w:rPr>
              <w:t>III.</w:t>
            </w:r>
            <w:r w:rsidR="00B4689D" w:rsidRPr="00604517">
              <w:rPr>
                <w:rStyle w:val="Hipervnculo"/>
                <w:rFonts w:ascii="Verdana" w:hAnsi="Verdana"/>
                <w:szCs w:val="18"/>
                <w:lang w:val="es-ES_tradnl"/>
              </w:rPr>
              <w:t xml:space="preserve"> COMPETENCIA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_Toc527466464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7</w:t>
            </w:r>
            <w:r w:rsidR="00B4689D" w:rsidRPr="00604517">
              <w:rPr>
                <w:rFonts w:ascii="Verdana" w:hAnsi="Verdana"/>
                <w:webHidden/>
                <w:szCs w:val="18"/>
              </w:rPr>
              <w:fldChar w:fldCharType="end"/>
            </w:r>
          </w:hyperlink>
        </w:p>
        <w:p w14:paraId="3AECCA61" w14:textId="5F9672E7"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465" w:history="1">
            <w:r w:rsidR="00B4689D" w:rsidRPr="00604517">
              <w:rPr>
                <w:rStyle w:val="Hipervnculo"/>
                <w:rFonts w:ascii="Verdana" w:hAnsi="Verdana"/>
                <w:szCs w:val="18"/>
              </w:rPr>
              <w:t>IV. EXCEPCIÓN PRELIMINAR</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_Toc527466465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7</w:t>
            </w:r>
            <w:r w:rsidR="00B4689D" w:rsidRPr="00604517">
              <w:rPr>
                <w:rFonts w:ascii="Verdana" w:hAnsi="Verdana"/>
                <w:webHidden/>
                <w:szCs w:val="18"/>
              </w:rPr>
              <w:fldChar w:fldCharType="end"/>
            </w:r>
          </w:hyperlink>
        </w:p>
        <w:p w14:paraId="291CB199" w14:textId="38667298"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66"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Excepción por falta de agotamiento de los recursos internos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_Toc527466466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7</w:t>
            </w:r>
            <w:r w:rsidR="00B4689D" w:rsidRPr="00604517">
              <w:rPr>
                <w:rFonts w:ascii="Verdana" w:hAnsi="Verdana"/>
                <w:noProof/>
                <w:webHidden/>
                <w:sz w:val="18"/>
                <w:szCs w:val="18"/>
              </w:rPr>
              <w:fldChar w:fldCharType="end"/>
            </w:r>
          </w:hyperlink>
        </w:p>
        <w:p w14:paraId="4CD60390" w14:textId="3591FD63" w:rsidR="00B4689D" w:rsidRPr="00604517" w:rsidRDefault="00D8008E" w:rsidP="00B4689D">
          <w:pPr>
            <w:pStyle w:val="TDC3"/>
            <w:tabs>
              <w:tab w:val="left" w:pos="1100"/>
              <w:tab w:val="right" w:leader="dot" w:pos="9350"/>
            </w:tabs>
            <w:spacing w:after="0" w:line="240" w:lineRule="auto"/>
            <w:rPr>
              <w:rFonts w:ascii="Verdana" w:eastAsiaTheme="minorEastAsia" w:hAnsi="Verdana"/>
              <w:noProof/>
              <w:sz w:val="18"/>
              <w:szCs w:val="18"/>
              <w:lang w:val="es-CR" w:eastAsia="es-CR"/>
            </w:rPr>
          </w:pPr>
          <w:hyperlink w:anchor="_Toc527466467" w:history="1">
            <w:r w:rsidR="00B4689D" w:rsidRPr="00604517">
              <w:rPr>
                <w:rStyle w:val="Hipervnculo"/>
                <w:rFonts w:ascii="Verdana" w:hAnsi="Verdana"/>
                <w:noProof/>
                <w:sz w:val="18"/>
                <w:szCs w:val="18"/>
              </w:rPr>
              <w:t xml:space="preserve">A.1. </w:t>
            </w:r>
            <w:r w:rsidR="00B4689D" w:rsidRPr="00604517">
              <w:rPr>
                <w:rFonts w:ascii="Verdana" w:eastAsiaTheme="minorEastAsia" w:hAnsi="Verdana"/>
                <w:noProof/>
                <w:sz w:val="18"/>
                <w:szCs w:val="18"/>
                <w:lang w:val="es-CR" w:eastAsia="es-CR"/>
              </w:rPr>
              <w:tab/>
            </w:r>
            <w:r w:rsidR="00B4689D" w:rsidRPr="00604517">
              <w:rPr>
                <w:rStyle w:val="Hipervnculo"/>
                <w:rFonts w:ascii="Verdana" w:hAnsi="Verdana"/>
                <w:noProof/>
                <w:sz w:val="18"/>
                <w:szCs w:val="18"/>
              </w:rPr>
              <w:t>Alegatos de las partes y observaciones de la Comisión</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_Toc527466467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7</w:t>
            </w:r>
            <w:r w:rsidR="00B4689D" w:rsidRPr="00604517">
              <w:rPr>
                <w:rFonts w:ascii="Verdana" w:hAnsi="Verdana"/>
                <w:noProof/>
                <w:webHidden/>
                <w:sz w:val="18"/>
                <w:szCs w:val="18"/>
              </w:rPr>
              <w:fldChar w:fldCharType="end"/>
            </w:r>
          </w:hyperlink>
        </w:p>
        <w:p w14:paraId="49538201" w14:textId="283B83ED" w:rsidR="00B4689D" w:rsidRPr="00604517" w:rsidRDefault="002A0615" w:rsidP="00B4689D">
          <w:pPr>
            <w:pStyle w:val="TDC3"/>
            <w:tabs>
              <w:tab w:val="left" w:pos="1100"/>
              <w:tab w:val="right" w:leader="dot" w:pos="9350"/>
            </w:tabs>
            <w:spacing w:after="0" w:line="240" w:lineRule="auto"/>
            <w:rPr>
              <w:rFonts w:ascii="Verdana" w:eastAsiaTheme="minorEastAsia" w:hAnsi="Verdana"/>
              <w:noProof/>
              <w:sz w:val="18"/>
              <w:szCs w:val="18"/>
              <w:lang w:val="es-CR" w:eastAsia="es-CR"/>
            </w:rPr>
          </w:pPr>
          <w:hyperlink w:anchor="_Toc527466468" w:history="1">
            <w:r w:rsidR="00B4689D" w:rsidRPr="00604517">
              <w:rPr>
                <w:rStyle w:val="Hipervnculo"/>
                <w:rFonts w:ascii="Verdana" w:hAnsi="Verdana"/>
                <w:noProof/>
                <w:sz w:val="18"/>
                <w:szCs w:val="18"/>
                <w:lang w:val="x-none"/>
              </w:rPr>
              <w:t>A.</w:t>
            </w:r>
            <w:r w:rsidR="00B4689D" w:rsidRPr="00604517">
              <w:rPr>
                <w:rStyle w:val="Hipervnculo"/>
                <w:rFonts w:ascii="Verdana" w:hAnsi="Verdana"/>
                <w:noProof/>
                <w:sz w:val="18"/>
                <w:szCs w:val="18"/>
              </w:rPr>
              <w:t>2.</w:t>
            </w:r>
            <w:r w:rsidR="00B4689D" w:rsidRPr="00604517">
              <w:rPr>
                <w:rStyle w:val="Hipervnculo"/>
                <w:rFonts w:ascii="Verdana" w:hAnsi="Verdana"/>
                <w:noProof/>
                <w:sz w:val="18"/>
                <w:szCs w:val="18"/>
                <w:lang w:val="x-none"/>
              </w:rPr>
              <w:t xml:space="preserve"> </w:t>
            </w:r>
            <w:r w:rsidR="00B4689D" w:rsidRPr="00604517">
              <w:rPr>
                <w:rFonts w:ascii="Verdana" w:eastAsiaTheme="minorEastAsia" w:hAnsi="Verdana"/>
                <w:noProof/>
                <w:sz w:val="18"/>
                <w:szCs w:val="18"/>
                <w:lang w:val="es-CR" w:eastAsia="es-CR"/>
              </w:rPr>
              <w:tab/>
            </w:r>
            <w:r w:rsidR="00B4689D" w:rsidRPr="00604517">
              <w:rPr>
                <w:rStyle w:val="Hipervnculo"/>
                <w:rFonts w:ascii="Verdana" w:hAnsi="Verdana"/>
                <w:noProof/>
                <w:sz w:val="18"/>
                <w:szCs w:val="18"/>
              </w:rPr>
              <w:t>Consideraciones de la Corte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_Toc527466468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7</w:t>
            </w:r>
            <w:r w:rsidR="00B4689D" w:rsidRPr="00604517">
              <w:rPr>
                <w:rFonts w:ascii="Verdana" w:hAnsi="Verdana"/>
                <w:noProof/>
                <w:webHidden/>
                <w:sz w:val="18"/>
                <w:szCs w:val="18"/>
              </w:rPr>
              <w:fldChar w:fldCharType="end"/>
            </w:r>
          </w:hyperlink>
        </w:p>
        <w:p w14:paraId="23AF4046" w14:textId="6BA2BCA2" w:rsidR="00B4689D" w:rsidRPr="00604517" w:rsidRDefault="002A0615" w:rsidP="00B4689D">
          <w:pPr>
            <w:pStyle w:val="TDC1"/>
            <w:rPr>
              <w:rFonts w:ascii="Verdana" w:eastAsiaTheme="minorEastAsia" w:hAnsi="Verdana" w:cstheme="minorBidi"/>
              <w:b w:val="0"/>
              <w:caps w:val="0"/>
              <w:szCs w:val="18"/>
              <w:lang w:val="es-CR" w:eastAsia="es-CR"/>
            </w:rPr>
          </w:pPr>
          <w:hyperlink w:anchor="_Toc527466469" w:history="1">
            <w:r w:rsidR="00B4689D" w:rsidRPr="00604517">
              <w:rPr>
                <w:rStyle w:val="Hipervnculo"/>
                <w:rFonts w:ascii="Verdana" w:hAnsi="Verdana"/>
                <w:szCs w:val="18"/>
              </w:rPr>
              <w:t>V. consideración previa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_Toc527466469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8</w:t>
            </w:r>
            <w:r w:rsidR="00B4689D" w:rsidRPr="00604517">
              <w:rPr>
                <w:rFonts w:ascii="Verdana" w:hAnsi="Verdana"/>
                <w:webHidden/>
                <w:szCs w:val="18"/>
              </w:rPr>
              <w:fldChar w:fldCharType="end"/>
            </w:r>
          </w:hyperlink>
        </w:p>
        <w:p w14:paraId="15418417" w14:textId="6C3F4B9F"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70"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Sobre la determinación de las presuntas víctimas en el presente caso</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_Toc527466470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9</w:t>
            </w:r>
            <w:r w:rsidR="00B4689D" w:rsidRPr="00604517">
              <w:rPr>
                <w:rFonts w:ascii="Verdana" w:hAnsi="Verdana"/>
                <w:noProof/>
                <w:webHidden/>
                <w:sz w:val="18"/>
                <w:szCs w:val="18"/>
              </w:rPr>
              <w:fldChar w:fldCharType="end"/>
            </w:r>
          </w:hyperlink>
        </w:p>
        <w:p w14:paraId="0D7524D9" w14:textId="1C097EA6" w:rsidR="00B4689D" w:rsidRPr="00604517" w:rsidRDefault="00D8008E" w:rsidP="00B4689D">
          <w:pPr>
            <w:pStyle w:val="TDC3"/>
            <w:tabs>
              <w:tab w:val="left" w:pos="1100"/>
              <w:tab w:val="right" w:leader="dot" w:pos="9350"/>
            </w:tabs>
            <w:spacing w:after="0" w:line="240" w:lineRule="auto"/>
            <w:rPr>
              <w:rFonts w:ascii="Verdana" w:eastAsiaTheme="minorEastAsia" w:hAnsi="Verdana"/>
              <w:noProof/>
              <w:sz w:val="18"/>
              <w:szCs w:val="18"/>
              <w:lang w:val="es-CR" w:eastAsia="es-CR"/>
            </w:rPr>
          </w:pPr>
          <w:hyperlink w:anchor="_Toc527466471" w:history="1">
            <w:r w:rsidR="00B4689D" w:rsidRPr="00604517">
              <w:rPr>
                <w:rStyle w:val="Hipervnculo"/>
                <w:rFonts w:ascii="Verdana" w:hAnsi="Verdana"/>
                <w:noProof/>
                <w:sz w:val="18"/>
                <w:szCs w:val="18"/>
              </w:rPr>
              <w:t xml:space="preserve">A.1. </w:t>
            </w:r>
            <w:r w:rsidR="00B4689D" w:rsidRPr="00604517">
              <w:rPr>
                <w:rFonts w:ascii="Verdana" w:eastAsiaTheme="minorEastAsia" w:hAnsi="Verdana"/>
                <w:noProof/>
                <w:sz w:val="18"/>
                <w:szCs w:val="18"/>
                <w:lang w:val="es-CR" w:eastAsia="es-CR"/>
              </w:rPr>
              <w:tab/>
            </w:r>
            <w:r w:rsidR="00B4689D" w:rsidRPr="00604517">
              <w:rPr>
                <w:rStyle w:val="Hipervnculo"/>
                <w:rFonts w:ascii="Verdana" w:hAnsi="Verdana"/>
                <w:noProof/>
                <w:sz w:val="18"/>
                <w:szCs w:val="18"/>
              </w:rPr>
              <w:t>Alegatos de las partes y observaciones de la Comisión</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_Toc527466471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9</w:t>
            </w:r>
            <w:r w:rsidR="00B4689D" w:rsidRPr="00604517">
              <w:rPr>
                <w:rFonts w:ascii="Verdana" w:hAnsi="Verdana"/>
                <w:noProof/>
                <w:webHidden/>
                <w:sz w:val="18"/>
                <w:szCs w:val="18"/>
              </w:rPr>
              <w:fldChar w:fldCharType="end"/>
            </w:r>
          </w:hyperlink>
        </w:p>
        <w:p w14:paraId="62135F0A" w14:textId="168F97A1" w:rsidR="00B4689D" w:rsidRPr="00604517" w:rsidRDefault="00D8008E" w:rsidP="00B4689D">
          <w:pPr>
            <w:pStyle w:val="TDC3"/>
            <w:tabs>
              <w:tab w:val="left" w:pos="1100"/>
              <w:tab w:val="right" w:leader="dot" w:pos="9350"/>
            </w:tabs>
            <w:spacing w:after="0" w:line="240" w:lineRule="auto"/>
            <w:rPr>
              <w:rFonts w:ascii="Verdana" w:eastAsiaTheme="minorEastAsia" w:hAnsi="Verdana"/>
              <w:noProof/>
              <w:sz w:val="18"/>
              <w:szCs w:val="18"/>
              <w:lang w:val="es-CR" w:eastAsia="es-CR"/>
            </w:rPr>
          </w:pPr>
          <w:hyperlink w:anchor="_Toc527466472" w:history="1">
            <w:r w:rsidR="00B4689D" w:rsidRPr="00604517">
              <w:rPr>
                <w:rStyle w:val="Hipervnculo"/>
                <w:rFonts w:ascii="Verdana" w:hAnsi="Verdana"/>
                <w:noProof/>
                <w:sz w:val="18"/>
                <w:szCs w:val="18"/>
                <w:lang w:val="x-none"/>
              </w:rPr>
              <w:t>A.</w:t>
            </w:r>
            <w:r w:rsidR="00B4689D" w:rsidRPr="00604517">
              <w:rPr>
                <w:rStyle w:val="Hipervnculo"/>
                <w:rFonts w:ascii="Verdana" w:hAnsi="Verdana"/>
                <w:noProof/>
                <w:sz w:val="18"/>
                <w:szCs w:val="18"/>
              </w:rPr>
              <w:t>2.</w:t>
            </w:r>
            <w:r w:rsidR="00B4689D" w:rsidRPr="00604517">
              <w:rPr>
                <w:rStyle w:val="Hipervnculo"/>
                <w:rFonts w:ascii="Verdana" w:hAnsi="Verdana"/>
                <w:noProof/>
                <w:sz w:val="18"/>
                <w:szCs w:val="18"/>
                <w:lang w:val="x-none"/>
              </w:rPr>
              <w:t xml:space="preserve"> </w:t>
            </w:r>
            <w:r w:rsidR="00B4689D" w:rsidRPr="00604517">
              <w:rPr>
                <w:rFonts w:ascii="Verdana" w:eastAsiaTheme="minorEastAsia" w:hAnsi="Verdana"/>
                <w:noProof/>
                <w:sz w:val="18"/>
                <w:szCs w:val="18"/>
                <w:lang w:val="es-CR" w:eastAsia="es-CR"/>
              </w:rPr>
              <w:tab/>
            </w:r>
            <w:r w:rsidR="00B4689D" w:rsidRPr="00604517">
              <w:rPr>
                <w:rStyle w:val="Hipervnculo"/>
                <w:rFonts w:ascii="Verdana" w:hAnsi="Verdana"/>
                <w:noProof/>
                <w:sz w:val="18"/>
                <w:szCs w:val="18"/>
              </w:rPr>
              <w:t>Consideraciones de la Corte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_Toc527466472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9</w:t>
            </w:r>
            <w:r w:rsidR="00B4689D" w:rsidRPr="00604517">
              <w:rPr>
                <w:rFonts w:ascii="Verdana" w:hAnsi="Verdana"/>
                <w:noProof/>
                <w:webHidden/>
                <w:sz w:val="18"/>
                <w:szCs w:val="18"/>
              </w:rPr>
              <w:fldChar w:fldCharType="end"/>
            </w:r>
          </w:hyperlink>
        </w:p>
        <w:p w14:paraId="1C31E40B" w14:textId="512B6AC1" w:rsidR="00B4689D" w:rsidRPr="00604517" w:rsidRDefault="002A0615" w:rsidP="00B4689D">
          <w:pPr>
            <w:pStyle w:val="TDC1"/>
            <w:rPr>
              <w:rFonts w:ascii="Verdana" w:eastAsiaTheme="minorEastAsia" w:hAnsi="Verdana" w:cstheme="minorBidi"/>
              <w:b w:val="0"/>
              <w:caps w:val="0"/>
              <w:szCs w:val="18"/>
              <w:lang w:val="es-CR" w:eastAsia="es-CR"/>
            </w:rPr>
          </w:pPr>
          <w:hyperlink w:anchor="_Toc527466473" w:history="1">
            <w:r w:rsidR="005E3BE4" w:rsidRPr="00604517">
              <w:rPr>
                <w:rStyle w:val="Hipervnculo"/>
                <w:rFonts w:ascii="Verdana" w:hAnsi="Verdana"/>
                <w:szCs w:val="18"/>
              </w:rPr>
              <w:t>VI.</w:t>
            </w:r>
            <w:r w:rsidR="00B4689D" w:rsidRPr="00604517">
              <w:rPr>
                <w:rStyle w:val="Hipervnculo"/>
                <w:rFonts w:ascii="Verdana" w:hAnsi="Verdana"/>
                <w:szCs w:val="18"/>
              </w:rPr>
              <w:t xml:space="preserve"> PRUEBA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_Toc527466473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10</w:t>
            </w:r>
            <w:r w:rsidR="00B4689D" w:rsidRPr="00604517">
              <w:rPr>
                <w:rFonts w:ascii="Verdana" w:hAnsi="Verdana"/>
                <w:webHidden/>
                <w:szCs w:val="18"/>
              </w:rPr>
              <w:fldChar w:fldCharType="end"/>
            </w:r>
          </w:hyperlink>
        </w:p>
        <w:p w14:paraId="41063291" w14:textId="0D8C2F71" w:rsidR="00B4689D" w:rsidRPr="00604517" w:rsidRDefault="002A0615"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74"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Admisibilidad de la prueba documental</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_Toc527466474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10</w:t>
            </w:r>
            <w:r w:rsidR="00B4689D" w:rsidRPr="00604517">
              <w:rPr>
                <w:rFonts w:ascii="Verdana" w:hAnsi="Verdana"/>
                <w:noProof/>
                <w:webHidden/>
                <w:sz w:val="18"/>
                <w:szCs w:val="18"/>
              </w:rPr>
              <w:fldChar w:fldCharType="end"/>
            </w:r>
          </w:hyperlink>
        </w:p>
        <w:p w14:paraId="25CEC3D6" w14:textId="0EB4A235"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75" w:history="1">
            <w:r w:rsidR="00B4689D" w:rsidRPr="00604517">
              <w:rPr>
                <w:rStyle w:val="Hipervnculo"/>
                <w:rFonts w:ascii="Verdana" w:hAnsi="Verdana"/>
                <w:noProof/>
                <w:sz w:val="18"/>
                <w:szCs w:val="18"/>
              </w:rPr>
              <w:t>B.</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Admisibilidad de la prueba testimonial y pericial</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_Toc527466475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11</w:t>
            </w:r>
            <w:r w:rsidR="00B4689D" w:rsidRPr="00604517">
              <w:rPr>
                <w:rFonts w:ascii="Verdana" w:hAnsi="Verdana"/>
                <w:noProof/>
                <w:webHidden/>
                <w:sz w:val="18"/>
                <w:szCs w:val="18"/>
              </w:rPr>
              <w:fldChar w:fldCharType="end"/>
            </w:r>
          </w:hyperlink>
        </w:p>
        <w:p w14:paraId="083BB672" w14:textId="49E32148" w:rsidR="00B4689D" w:rsidRPr="00604517" w:rsidRDefault="002A0615" w:rsidP="00B4689D">
          <w:pPr>
            <w:pStyle w:val="TDC1"/>
            <w:rPr>
              <w:rFonts w:ascii="Verdana" w:eastAsiaTheme="minorEastAsia" w:hAnsi="Verdana" w:cstheme="minorBidi"/>
              <w:b w:val="0"/>
              <w:caps w:val="0"/>
              <w:szCs w:val="18"/>
              <w:lang w:val="es-CR" w:eastAsia="es-CR"/>
            </w:rPr>
          </w:pPr>
          <w:hyperlink w:anchor="_Toc527466476" w:history="1">
            <w:r w:rsidR="00B4689D" w:rsidRPr="00604517">
              <w:rPr>
                <w:rStyle w:val="Hipervnculo"/>
                <w:rFonts w:ascii="Verdana" w:hAnsi="Verdana"/>
                <w:szCs w:val="18"/>
              </w:rPr>
              <w:t>VII. Hechos</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_Toc527466476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11</w:t>
            </w:r>
            <w:r w:rsidR="00B4689D" w:rsidRPr="00604517">
              <w:rPr>
                <w:rFonts w:ascii="Verdana" w:hAnsi="Verdana"/>
                <w:webHidden/>
                <w:szCs w:val="18"/>
              </w:rPr>
              <w:fldChar w:fldCharType="end"/>
            </w:r>
          </w:hyperlink>
        </w:p>
        <w:p w14:paraId="75D2F4C0" w14:textId="495669A8"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77"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Situación del VIH/SIDA en Guatemala</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_Toc527466477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12</w:t>
            </w:r>
            <w:r w:rsidR="00B4689D" w:rsidRPr="00604517">
              <w:rPr>
                <w:rFonts w:ascii="Verdana" w:hAnsi="Verdana"/>
                <w:noProof/>
                <w:webHidden/>
                <w:sz w:val="18"/>
                <w:szCs w:val="18"/>
              </w:rPr>
              <w:fldChar w:fldCharType="end"/>
            </w:r>
          </w:hyperlink>
        </w:p>
        <w:p w14:paraId="39045293" w14:textId="574AD8A3"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78" w:history="1">
            <w:r w:rsidR="00B4689D" w:rsidRPr="00604517">
              <w:rPr>
                <w:rStyle w:val="Hipervnculo"/>
                <w:rFonts w:ascii="Verdana" w:hAnsi="Verdana"/>
                <w:noProof/>
                <w:sz w:val="18"/>
                <w:szCs w:val="18"/>
              </w:rPr>
              <w:t>A.1. Generalidades sobre el VIH/SIDA</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_Toc527466478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12</w:t>
            </w:r>
            <w:r w:rsidR="00B4689D" w:rsidRPr="00604517">
              <w:rPr>
                <w:rFonts w:ascii="Verdana" w:hAnsi="Verdana"/>
                <w:noProof/>
                <w:webHidden/>
                <w:sz w:val="18"/>
                <w:szCs w:val="18"/>
              </w:rPr>
              <w:fldChar w:fldCharType="end"/>
            </w:r>
          </w:hyperlink>
        </w:p>
        <w:p w14:paraId="75E0AFBC" w14:textId="72AA35E7"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79" w:history="1">
            <w:r w:rsidR="00B4689D" w:rsidRPr="00604517">
              <w:rPr>
                <w:rStyle w:val="Hipervnculo"/>
                <w:rFonts w:ascii="Verdana" w:hAnsi="Verdana"/>
                <w:noProof/>
                <w:sz w:val="18"/>
                <w:szCs w:val="18"/>
              </w:rPr>
              <w:t>A.2. Normativa adoptada para el tratamiento del VIH/SIDA en Guatemala</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_Toc527466479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14</w:t>
            </w:r>
            <w:r w:rsidR="00B4689D" w:rsidRPr="00604517">
              <w:rPr>
                <w:rFonts w:ascii="Verdana" w:hAnsi="Verdana"/>
                <w:noProof/>
                <w:webHidden/>
                <w:sz w:val="18"/>
                <w:szCs w:val="18"/>
              </w:rPr>
              <w:fldChar w:fldCharType="end"/>
            </w:r>
          </w:hyperlink>
        </w:p>
        <w:p w14:paraId="47C2B370" w14:textId="47320A0B" w:rsidR="00B4689D" w:rsidRPr="00604517" w:rsidRDefault="002A0615"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80" w:history="1">
            <w:r w:rsidR="00B4689D" w:rsidRPr="00604517">
              <w:rPr>
                <w:rStyle w:val="Hipervnculo"/>
                <w:rFonts w:ascii="Verdana" w:hAnsi="Verdana"/>
                <w:noProof/>
                <w:sz w:val="18"/>
                <w:szCs w:val="18"/>
              </w:rPr>
              <w:t>A.3. Otras medidas adoptadas para el tratamiento del VIH/SIDA en Guatemala</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_Toc527466480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16</w:t>
            </w:r>
            <w:r w:rsidR="00B4689D" w:rsidRPr="00604517">
              <w:rPr>
                <w:rFonts w:ascii="Verdana" w:hAnsi="Verdana"/>
                <w:noProof/>
                <w:webHidden/>
                <w:sz w:val="18"/>
                <w:szCs w:val="18"/>
              </w:rPr>
              <w:fldChar w:fldCharType="end"/>
            </w:r>
          </w:hyperlink>
        </w:p>
        <w:p w14:paraId="136A97FF" w14:textId="66C85FF4"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81" w:history="1">
            <w:r w:rsidR="00B4689D" w:rsidRPr="00604517">
              <w:rPr>
                <w:rStyle w:val="Hipervnculo"/>
                <w:rFonts w:ascii="Verdana" w:hAnsi="Verdana"/>
                <w:noProof/>
                <w:sz w:val="18"/>
                <w:szCs w:val="18"/>
              </w:rPr>
              <w:t>B.</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Las presuntas víctimas y sus familiares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_Toc527466481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19</w:t>
            </w:r>
            <w:r w:rsidR="00B4689D" w:rsidRPr="00604517">
              <w:rPr>
                <w:rFonts w:ascii="Verdana" w:hAnsi="Verdana"/>
                <w:noProof/>
                <w:webHidden/>
                <w:sz w:val="18"/>
                <w:szCs w:val="18"/>
              </w:rPr>
              <w:fldChar w:fldCharType="end"/>
            </w:r>
          </w:hyperlink>
        </w:p>
        <w:p w14:paraId="7B55CFF9" w14:textId="5469B7AC"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82" w:history="1">
            <w:r w:rsidR="00B4689D" w:rsidRPr="00604517">
              <w:rPr>
                <w:rStyle w:val="Hipervnculo"/>
                <w:rFonts w:ascii="Verdana" w:hAnsi="Verdana"/>
                <w:noProof/>
                <w:sz w:val="18"/>
                <w:szCs w:val="18"/>
              </w:rPr>
              <w:t>C.</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lang w:val="es-CO"/>
              </w:rPr>
              <w:t xml:space="preserve">Recursos y acciones </w:t>
            </w:r>
            <w:r w:rsidR="00B4689D" w:rsidRPr="00604517">
              <w:rPr>
                <w:rStyle w:val="Hipervnculo"/>
                <w:rFonts w:ascii="Verdana" w:hAnsi="Verdana"/>
                <w:noProof/>
                <w:sz w:val="18"/>
                <w:szCs w:val="18"/>
              </w:rPr>
              <w:t>interpuestas por las presuntas víctimas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_Toc527466482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19</w:t>
            </w:r>
            <w:r w:rsidR="00B4689D" w:rsidRPr="00604517">
              <w:rPr>
                <w:rFonts w:ascii="Verdana" w:hAnsi="Verdana"/>
                <w:noProof/>
                <w:webHidden/>
                <w:sz w:val="18"/>
                <w:szCs w:val="18"/>
              </w:rPr>
              <w:fldChar w:fldCharType="end"/>
            </w:r>
          </w:hyperlink>
        </w:p>
        <w:p w14:paraId="26188875" w14:textId="136409A4"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83" w:history="1">
            <w:r w:rsidR="00B4689D" w:rsidRPr="00604517">
              <w:rPr>
                <w:rStyle w:val="Hipervnculo"/>
                <w:rFonts w:ascii="Verdana" w:hAnsi="Verdana"/>
                <w:noProof/>
                <w:sz w:val="18"/>
                <w:szCs w:val="18"/>
              </w:rPr>
              <w:t>C.1. Cartas dirigidas al Presidente y otras autoridades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_Toc527466483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19</w:t>
            </w:r>
            <w:r w:rsidR="00B4689D" w:rsidRPr="00604517">
              <w:rPr>
                <w:rFonts w:ascii="Verdana" w:hAnsi="Verdana"/>
                <w:noProof/>
                <w:webHidden/>
                <w:sz w:val="18"/>
                <w:szCs w:val="18"/>
              </w:rPr>
              <w:fldChar w:fldCharType="end"/>
            </w:r>
          </w:hyperlink>
        </w:p>
        <w:p w14:paraId="1637B3DE" w14:textId="4DDD6988"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84" w:history="1">
            <w:r w:rsidR="00B4689D" w:rsidRPr="00604517">
              <w:rPr>
                <w:rStyle w:val="Hipervnculo"/>
                <w:rFonts w:ascii="Verdana" w:hAnsi="Verdana"/>
                <w:noProof/>
                <w:sz w:val="18"/>
                <w:szCs w:val="18"/>
              </w:rPr>
              <w:t>C.2. Recurso de amparo ante la Corte de Constitucionalidad</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_Toc527466484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20</w:t>
            </w:r>
            <w:r w:rsidR="00B4689D" w:rsidRPr="00604517">
              <w:rPr>
                <w:rFonts w:ascii="Verdana" w:hAnsi="Verdana"/>
                <w:noProof/>
                <w:webHidden/>
                <w:sz w:val="18"/>
                <w:szCs w:val="18"/>
              </w:rPr>
              <w:fldChar w:fldCharType="end"/>
            </w:r>
          </w:hyperlink>
        </w:p>
        <w:p w14:paraId="71FC0A70" w14:textId="539DB5B3"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485" w:history="1">
            <w:r w:rsidR="00B4689D" w:rsidRPr="00604517">
              <w:rPr>
                <w:rStyle w:val="Hipervnculo"/>
                <w:rFonts w:ascii="Verdana" w:hAnsi="Verdana"/>
                <w:szCs w:val="18"/>
              </w:rPr>
              <w:t>VIIi. FONDO</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_Toc527466485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22</w:t>
            </w:r>
            <w:r w:rsidR="00B4689D" w:rsidRPr="00604517">
              <w:rPr>
                <w:rFonts w:ascii="Verdana" w:hAnsi="Verdana"/>
                <w:webHidden/>
                <w:szCs w:val="18"/>
              </w:rPr>
              <w:fldChar w:fldCharType="end"/>
            </w:r>
          </w:hyperlink>
        </w:p>
        <w:p w14:paraId="6D294CC4" w14:textId="7BECF6D1"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486" w:history="1">
            <w:r w:rsidR="00B4689D" w:rsidRPr="00604517">
              <w:rPr>
                <w:rStyle w:val="Hipervnculo"/>
                <w:rFonts w:ascii="Verdana" w:hAnsi="Verdana"/>
                <w:szCs w:val="18"/>
              </w:rPr>
              <w:t>VIIi-1 DERECHO A LA SALUD, A LA INTEGRIDAD PERSONAL Y A LA VIDA EN RELACIÓN CON LAS OBLIGACIONES DE RESPETAR Y GARANTIZAR LOS DERECHOS (ARTÍCULOS 26, 4, 5 y 1.1 DE LA CONVENCIÓN AMERICANA)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_Toc527466486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23</w:t>
            </w:r>
            <w:r w:rsidR="00B4689D" w:rsidRPr="00604517">
              <w:rPr>
                <w:rFonts w:ascii="Verdana" w:hAnsi="Verdana"/>
                <w:webHidden/>
                <w:szCs w:val="18"/>
              </w:rPr>
              <w:fldChar w:fldCharType="end"/>
            </w:r>
          </w:hyperlink>
        </w:p>
        <w:p w14:paraId="6472F290" w14:textId="5844A540"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87"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Alegatos de la Comisión y de las partes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_Toc527466487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23</w:t>
            </w:r>
            <w:r w:rsidR="00B4689D" w:rsidRPr="00604517">
              <w:rPr>
                <w:rFonts w:ascii="Verdana" w:hAnsi="Verdana"/>
                <w:noProof/>
                <w:webHidden/>
                <w:sz w:val="18"/>
                <w:szCs w:val="18"/>
              </w:rPr>
              <w:fldChar w:fldCharType="end"/>
            </w:r>
          </w:hyperlink>
        </w:p>
        <w:p w14:paraId="28D065CA" w14:textId="5E7FF4D8"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88" w:history="1">
            <w:r w:rsidR="00B4689D" w:rsidRPr="00604517">
              <w:rPr>
                <w:rStyle w:val="Hipervnculo"/>
                <w:rFonts w:ascii="Verdana" w:hAnsi="Verdana"/>
                <w:noProof/>
                <w:sz w:val="18"/>
                <w:szCs w:val="18"/>
              </w:rPr>
              <w:t>B.</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Consideraciones de la Corte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_Toc527466488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25</w:t>
            </w:r>
            <w:r w:rsidR="00B4689D" w:rsidRPr="00604517">
              <w:rPr>
                <w:rFonts w:ascii="Verdana" w:hAnsi="Verdana"/>
                <w:noProof/>
                <w:webHidden/>
                <w:sz w:val="18"/>
                <w:szCs w:val="18"/>
              </w:rPr>
              <w:fldChar w:fldCharType="end"/>
            </w:r>
          </w:hyperlink>
        </w:p>
        <w:p w14:paraId="5DDDCA4D" w14:textId="68845C72"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89" w:history="1">
            <w:r w:rsidR="00B4689D" w:rsidRPr="00604517">
              <w:rPr>
                <w:rStyle w:val="Hipervnculo"/>
                <w:rFonts w:ascii="Verdana" w:hAnsi="Verdana"/>
                <w:noProof/>
                <w:sz w:val="18"/>
                <w:szCs w:val="18"/>
              </w:rPr>
              <w:t>B.1. La justiciabilidad de los derechos económicos, sociales, culturales y ambientales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_Toc527466489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27</w:t>
            </w:r>
            <w:r w:rsidR="00B4689D" w:rsidRPr="00604517">
              <w:rPr>
                <w:rFonts w:ascii="Verdana" w:hAnsi="Verdana"/>
                <w:noProof/>
                <w:webHidden/>
                <w:sz w:val="18"/>
                <w:szCs w:val="18"/>
              </w:rPr>
              <w:fldChar w:fldCharType="end"/>
            </w:r>
          </w:hyperlink>
        </w:p>
        <w:p w14:paraId="20A6D699" w14:textId="52F51686" w:rsidR="00B4689D" w:rsidRPr="00604517" w:rsidRDefault="002A0615"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90" w:history="1">
            <w:r w:rsidR="00B4689D" w:rsidRPr="00604517">
              <w:rPr>
                <w:rStyle w:val="Hipervnculo"/>
                <w:rFonts w:ascii="Verdana" w:hAnsi="Verdana"/>
                <w:noProof/>
                <w:sz w:val="18"/>
                <w:szCs w:val="18"/>
              </w:rPr>
              <w:t>B.2. El derecho a la salud como un derecho autónomo y justiciable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_Toc527466490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35</w:t>
            </w:r>
            <w:r w:rsidR="00B4689D" w:rsidRPr="00604517">
              <w:rPr>
                <w:rFonts w:ascii="Verdana" w:hAnsi="Verdana"/>
                <w:noProof/>
                <w:webHidden/>
                <w:sz w:val="18"/>
                <w:szCs w:val="18"/>
              </w:rPr>
              <w:fldChar w:fldCharType="end"/>
            </w:r>
          </w:hyperlink>
        </w:p>
        <w:p w14:paraId="3B837144" w14:textId="5A369809"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91" w:history="1">
            <w:r w:rsidR="00B4689D" w:rsidRPr="00604517">
              <w:rPr>
                <w:rStyle w:val="Hipervnculo"/>
                <w:rFonts w:ascii="Verdana" w:eastAsia="Verdana" w:hAnsi="Verdana"/>
                <w:bCs/>
                <w:noProof/>
                <w:sz w:val="18"/>
                <w:szCs w:val="18"/>
                <w:lang w:eastAsia="x-none"/>
              </w:rPr>
              <w:t xml:space="preserve">B.3. </w:t>
            </w:r>
            <w:r w:rsidR="00B4689D" w:rsidRPr="00604517">
              <w:rPr>
                <w:rStyle w:val="Hipervnculo"/>
                <w:rFonts w:ascii="Verdana" w:hAnsi="Verdana"/>
                <w:noProof/>
                <w:sz w:val="18"/>
                <w:szCs w:val="18"/>
              </w:rPr>
              <w:t>El contenido del derecho a la salud</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_Toc527466491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38</w:t>
            </w:r>
            <w:r w:rsidR="00B4689D" w:rsidRPr="00604517">
              <w:rPr>
                <w:rFonts w:ascii="Verdana" w:hAnsi="Verdana"/>
                <w:noProof/>
                <w:webHidden/>
                <w:sz w:val="18"/>
                <w:szCs w:val="18"/>
              </w:rPr>
              <w:fldChar w:fldCharType="end"/>
            </w:r>
          </w:hyperlink>
        </w:p>
        <w:p w14:paraId="3C9D14B2" w14:textId="1698DA92" w:rsidR="00B4689D" w:rsidRPr="00604517" w:rsidRDefault="00D8008E"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92" w:history="1">
            <w:r w:rsidR="00B4689D" w:rsidRPr="00604517">
              <w:rPr>
                <w:rStyle w:val="Hipervnculo"/>
                <w:rFonts w:ascii="Verdana" w:eastAsia="Verdana" w:hAnsi="Verdana"/>
                <w:bCs/>
                <w:noProof/>
                <w:sz w:val="18"/>
                <w:szCs w:val="18"/>
                <w:lang w:eastAsia="x-none"/>
              </w:rPr>
              <w:t xml:space="preserve">B.4. </w:t>
            </w:r>
            <w:r w:rsidR="00B4689D" w:rsidRPr="00604517">
              <w:rPr>
                <w:rStyle w:val="Hipervnculo"/>
                <w:rFonts w:ascii="Verdana" w:hAnsi="Verdana"/>
                <w:noProof/>
                <w:sz w:val="18"/>
                <w:szCs w:val="18"/>
              </w:rPr>
              <w:t>La afectación del derecho a la salud</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_Toc527466492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44</w:t>
            </w:r>
            <w:r w:rsidR="00B4689D" w:rsidRPr="00604517">
              <w:rPr>
                <w:rFonts w:ascii="Verdana" w:hAnsi="Verdana"/>
                <w:noProof/>
                <w:webHidden/>
                <w:sz w:val="18"/>
                <w:szCs w:val="18"/>
              </w:rPr>
              <w:fldChar w:fldCharType="end"/>
            </w:r>
          </w:hyperlink>
        </w:p>
        <w:p w14:paraId="712FC614" w14:textId="5649FFDD" w:rsidR="00B4689D" w:rsidRPr="00604517" w:rsidRDefault="002A0615" w:rsidP="00B4689D">
          <w:pPr>
            <w:pStyle w:val="TDC3"/>
            <w:tabs>
              <w:tab w:val="right" w:leader="dot" w:pos="9350"/>
            </w:tabs>
            <w:spacing w:after="0" w:line="240" w:lineRule="auto"/>
            <w:rPr>
              <w:rFonts w:ascii="Verdana" w:eastAsiaTheme="minorEastAsia" w:hAnsi="Verdana"/>
              <w:noProof/>
              <w:sz w:val="18"/>
              <w:szCs w:val="18"/>
              <w:lang w:val="es-CR" w:eastAsia="es-CR"/>
            </w:rPr>
          </w:pPr>
          <w:hyperlink w:anchor="_Toc527466493" w:history="1">
            <w:r w:rsidR="00B4689D" w:rsidRPr="00604517">
              <w:rPr>
                <w:rStyle w:val="Hipervnculo"/>
                <w:rFonts w:ascii="Verdana" w:hAnsi="Verdana"/>
                <w:noProof/>
                <w:sz w:val="18"/>
                <w:szCs w:val="18"/>
              </w:rPr>
              <w:t>B.5. La afectación del derecho a la vida y a la integridad personal</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_Toc527466493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56</w:t>
            </w:r>
            <w:r w:rsidR="00B4689D" w:rsidRPr="00604517">
              <w:rPr>
                <w:rFonts w:ascii="Verdana" w:hAnsi="Verdana"/>
                <w:noProof/>
                <w:webHidden/>
                <w:sz w:val="18"/>
                <w:szCs w:val="18"/>
              </w:rPr>
              <w:fldChar w:fldCharType="end"/>
            </w:r>
          </w:hyperlink>
        </w:p>
        <w:p w14:paraId="50CEF02A" w14:textId="731013CE"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494" w:history="1">
            <w:r w:rsidR="00B4689D" w:rsidRPr="00604517">
              <w:rPr>
                <w:rStyle w:val="Hipervnculo"/>
                <w:rFonts w:ascii="Verdana" w:hAnsi="Verdana"/>
                <w:szCs w:val="18"/>
              </w:rPr>
              <w:t>VIIi-2 DERECHO A LAS GARANTÍAS JUDICIALES Y A LA PROTECCIÓN JUDICIAL EN RELACIÓN CON LAS OBLIGACIONES DE RESPETAR Y GARANTIZAR LOS DERECHOS (ARTÍCULOS 8, 25 Y 1.1 DE LA CONVENCIÓN AMERICANA)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_Toc527466494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61</w:t>
            </w:r>
            <w:r w:rsidR="00B4689D" w:rsidRPr="00604517">
              <w:rPr>
                <w:rFonts w:ascii="Verdana" w:hAnsi="Verdana"/>
                <w:webHidden/>
                <w:szCs w:val="18"/>
              </w:rPr>
              <w:fldChar w:fldCharType="end"/>
            </w:r>
          </w:hyperlink>
        </w:p>
        <w:p w14:paraId="2DE061B0" w14:textId="5F4584CF"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95" w:history="1">
            <w:r w:rsidR="00B4689D" w:rsidRPr="00604517">
              <w:rPr>
                <w:rStyle w:val="Hipervnculo"/>
                <w:rFonts w:ascii="Verdana" w:hAnsi="Verdana"/>
                <w:noProof/>
                <w:sz w:val="18"/>
                <w:szCs w:val="18"/>
                <w:u w:color="000000"/>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u w:color="000000"/>
              </w:rPr>
              <w:t>Alegatos de la Comisión y de las partes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_Toc527466495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61</w:t>
            </w:r>
            <w:r w:rsidR="00B4689D" w:rsidRPr="00604517">
              <w:rPr>
                <w:rFonts w:ascii="Verdana" w:hAnsi="Verdana"/>
                <w:noProof/>
                <w:webHidden/>
                <w:sz w:val="18"/>
                <w:szCs w:val="18"/>
              </w:rPr>
              <w:fldChar w:fldCharType="end"/>
            </w:r>
          </w:hyperlink>
        </w:p>
        <w:p w14:paraId="14105C08" w14:textId="1D0C2B2C"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96" w:history="1">
            <w:r w:rsidR="00B4689D" w:rsidRPr="00604517">
              <w:rPr>
                <w:rStyle w:val="Hipervnculo"/>
                <w:rFonts w:ascii="Verdana" w:eastAsia="Verdana" w:hAnsi="Verdana" w:cs="Cambria"/>
                <w:bCs/>
                <w:noProof/>
                <w:sz w:val="18"/>
                <w:szCs w:val="18"/>
                <w:u w:color="000000"/>
                <w:lang w:eastAsia="x-none"/>
              </w:rPr>
              <w:t>B.</w:t>
            </w:r>
            <w:r w:rsidR="00B4689D" w:rsidRPr="00604517">
              <w:rPr>
                <w:rFonts w:ascii="Verdana" w:hAnsi="Verdana"/>
                <w:noProof/>
                <w:sz w:val="18"/>
                <w:szCs w:val="18"/>
                <w:lang w:val="es-CR" w:eastAsia="es-CR"/>
              </w:rPr>
              <w:tab/>
            </w:r>
            <w:r w:rsidR="00B4689D" w:rsidRPr="00604517">
              <w:rPr>
                <w:rStyle w:val="Hipervnculo"/>
                <w:rFonts w:ascii="Verdana" w:eastAsia="Verdana" w:hAnsi="Verdana" w:cs="Cambria"/>
                <w:bCs/>
                <w:noProof/>
                <w:sz w:val="18"/>
                <w:szCs w:val="18"/>
                <w:u w:color="000000"/>
                <w:lang w:eastAsia="x-none"/>
              </w:rPr>
              <w:t>Consideraciones de la Corte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_Toc527466496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62</w:t>
            </w:r>
            <w:r w:rsidR="00B4689D" w:rsidRPr="00604517">
              <w:rPr>
                <w:rFonts w:ascii="Verdana" w:hAnsi="Verdana"/>
                <w:noProof/>
                <w:webHidden/>
                <w:sz w:val="18"/>
                <w:szCs w:val="18"/>
              </w:rPr>
              <w:fldChar w:fldCharType="end"/>
            </w:r>
          </w:hyperlink>
        </w:p>
        <w:p w14:paraId="52A75022" w14:textId="306C8190" w:rsidR="00B4689D" w:rsidRPr="00604517" w:rsidRDefault="002A0615" w:rsidP="00B4689D">
          <w:pPr>
            <w:pStyle w:val="TDC1"/>
            <w:rPr>
              <w:rFonts w:ascii="Verdana" w:eastAsiaTheme="minorEastAsia" w:hAnsi="Verdana" w:cstheme="minorBidi"/>
              <w:b w:val="0"/>
              <w:caps w:val="0"/>
              <w:szCs w:val="18"/>
              <w:lang w:val="es-CR" w:eastAsia="es-CR"/>
            </w:rPr>
          </w:pPr>
          <w:hyperlink w:anchor="_Toc527466497" w:history="1">
            <w:r w:rsidR="00B4689D" w:rsidRPr="00604517">
              <w:rPr>
                <w:rStyle w:val="Hipervnculo"/>
                <w:rFonts w:ascii="Verdana" w:hAnsi="Verdana"/>
                <w:szCs w:val="18"/>
              </w:rPr>
              <w:t>VIIi-3 DERECHO A la integridad personal de los familiares de las víctimas (artículos 5 y 1.1 de la convención americana)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_Toc527466497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68</w:t>
            </w:r>
            <w:r w:rsidR="00B4689D" w:rsidRPr="00604517">
              <w:rPr>
                <w:rFonts w:ascii="Verdana" w:hAnsi="Verdana"/>
                <w:webHidden/>
                <w:szCs w:val="18"/>
              </w:rPr>
              <w:fldChar w:fldCharType="end"/>
            </w:r>
          </w:hyperlink>
        </w:p>
        <w:p w14:paraId="77BA0F26" w14:textId="7006C37A" w:rsidR="00B4689D" w:rsidRPr="00604517" w:rsidRDefault="002A0615"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98" w:history="1">
            <w:r w:rsidR="00B4689D" w:rsidRPr="00604517">
              <w:rPr>
                <w:rStyle w:val="Hipervnculo"/>
                <w:rFonts w:ascii="Verdana" w:hAnsi="Verdana"/>
                <w:noProof/>
                <w:sz w:val="18"/>
                <w:szCs w:val="18"/>
                <w:u w:color="000000"/>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u w:color="000000"/>
              </w:rPr>
              <w:t>Alegatos de las partes y de la Comisión</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_Toc527466498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68</w:t>
            </w:r>
            <w:r w:rsidR="00B4689D" w:rsidRPr="00604517">
              <w:rPr>
                <w:rFonts w:ascii="Verdana" w:hAnsi="Verdana"/>
                <w:noProof/>
                <w:webHidden/>
                <w:sz w:val="18"/>
                <w:szCs w:val="18"/>
              </w:rPr>
              <w:fldChar w:fldCharType="end"/>
            </w:r>
          </w:hyperlink>
        </w:p>
        <w:p w14:paraId="37E42D1A" w14:textId="0B20A1AC"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499" w:history="1">
            <w:r w:rsidR="00B4689D" w:rsidRPr="00604517">
              <w:rPr>
                <w:rStyle w:val="Hipervnculo"/>
                <w:rFonts w:ascii="Verdana" w:hAnsi="Verdana"/>
                <w:noProof/>
                <w:sz w:val="18"/>
                <w:szCs w:val="18"/>
              </w:rPr>
              <w:t>B.</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Consideraciones de la Corte</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_Toc527466499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69</w:t>
            </w:r>
            <w:r w:rsidR="00B4689D" w:rsidRPr="00604517">
              <w:rPr>
                <w:rFonts w:ascii="Verdana" w:hAnsi="Verdana"/>
                <w:noProof/>
                <w:webHidden/>
                <w:sz w:val="18"/>
                <w:szCs w:val="18"/>
              </w:rPr>
              <w:fldChar w:fldCharType="end"/>
            </w:r>
          </w:hyperlink>
        </w:p>
        <w:p w14:paraId="47A30182" w14:textId="1F07BF47"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500" w:history="1">
            <w:r w:rsidR="00B4689D" w:rsidRPr="00604517">
              <w:rPr>
                <w:rStyle w:val="Hipervnculo"/>
                <w:rFonts w:ascii="Verdana" w:hAnsi="Verdana"/>
                <w:szCs w:val="18"/>
                <w:lang w:val="es-ES"/>
              </w:rPr>
              <w:t xml:space="preserve">IX. REPARACIONES </w:t>
            </w:r>
            <w:r w:rsidR="00B4689D" w:rsidRPr="00604517">
              <w:rPr>
                <w:rStyle w:val="Hipervnculo"/>
                <w:rFonts w:ascii="Verdana" w:hAnsi="Verdana"/>
                <w:szCs w:val="18"/>
              </w:rPr>
              <w:t>(APLICACIÓN DEL ARTÍCULO 63.1 DE LA CONVENCIÓN AMERICANA)</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_Toc527466500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72</w:t>
            </w:r>
            <w:r w:rsidR="00B4689D" w:rsidRPr="00604517">
              <w:rPr>
                <w:rFonts w:ascii="Verdana" w:hAnsi="Verdana"/>
                <w:webHidden/>
                <w:szCs w:val="18"/>
              </w:rPr>
              <w:fldChar w:fldCharType="end"/>
            </w:r>
          </w:hyperlink>
        </w:p>
        <w:p w14:paraId="537DA181" w14:textId="005CF1B1"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501" w:history="1">
            <w:r w:rsidR="00B4689D" w:rsidRPr="00604517">
              <w:rPr>
                <w:rStyle w:val="Hipervnculo"/>
                <w:rFonts w:ascii="Verdana" w:hAnsi="Verdana"/>
                <w:noProof/>
                <w:sz w:val="18"/>
                <w:szCs w:val="18"/>
              </w:rPr>
              <w:t>A.</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Parte Lesionada</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_Toc527466501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73</w:t>
            </w:r>
            <w:r w:rsidR="00B4689D" w:rsidRPr="00604517">
              <w:rPr>
                <w:rFonts w:ascii="Verdana" w:hAnsi="Verdana"/>
                <w:noProof/>
                <w:webHidden/>
                <w:sz w:val="18"/>
                <w:szCs w:val="18"/>
              </w:rPr>
              <w:fldChar w:fldCharType="end"/>
            </w:r>
          </w:hyperlink>
        </w:p>
        <w:p w14:paraId="15A9C46E" w14:textId="7DB8B524"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502" w:history="1">
            <w:r w:rsidR="00B4689D" w:rsidRPr="00604517">
              <w:rPr>
                <w:rStyle w:val="Hipervnculo"/>
                <w:rFonts w:ascii="Verdana" w:hAnsi="Verdana"/>
                <w:noProof/>
                <w:sz w:val="18"/>
                <w:szCs w:val="18"/>
              </w:rPr>
              <w:t>B.</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Medidas de rehabilitación, satisfacción y garantías de no repetición</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_Toc527466502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73</w:t>
            </w:r>
            <w:r w:rsidR="00B4689D" w:rsidRPr="00604517">
              <w:rPr>
                <w:rFonts w:ascii="Verdana" w:hAnsi="Verdana"/>
                <w:noProof/>
                <w:webHidden/>
                <w:sz w:val="18"/>
                <w:szCs w:val="18"/>
              </w:rPr>
              <w:fldChar w:fldCharType="end"/>
            </w:r>
          </w:hyperlink>
        </w:p>
        <w:p w14:paraId="2CE17F63" w14:textId="4803E991" w:rsidR="00B4689D" w:rsidRPr="00604517" w:rsidRDefault="00D8008E"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503" w:history="1">
            <w:r w:rsidR="00B4689D" w:rsidRPr="00604517">
              <w:rPr>
                <w:rStyle w:val="Hipervnculo"/>
                <w:rFonts w:ascii="Verdana" w:hAnsi="Verdana"/>
                <w:noProof/>
                <w:sz w:val="18"/>
                <w:szCs w:val="18"/>
              </w:rPr>
              <w:t>C.</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Indemnizaciones Compensatorias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_Toc527466503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80</w:t>
            </w:r>
            <w:r w:rsidR="00B4689D" w:rsidRPr="00604517">
              <w:rPr>
                <w:rFonts w:ascii="Verdana" w:hAnsi="Verdana"/>
                <w:noProof/>
                <w:webHidden/>
                <w:sz w:val="18"/>
                <w:szCs w:val="18"/>
              </w:rPr>
              <w:fldChar w:fldCharType="end"/>
            </w:r>
          </w:hyperlink>
        </w:p>
        <w:p w14:paraId="61E0C11E" w14:textId="5E57A7C5" w:rsidR="00B4689D" w:rsidRPr="00604517" w:rsidRDefault="002A0615"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504" w:history="1">
            <w:r w:rsidR="00B4689D" w:rsidRPr="00604517">
              <w:rPr>
                <w:rStyle w:val="Hipervnculo"/>
                <w:rFonts w:ascii="Verdana" w:hAnsi="Verdana"/>
                <w:noProof/>
                <w:sz w:val="18"/>
                <w:szCs w:val="18"/>
              </w:rPr>
              <w:t>D.</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Reintegro de los gastos al Fondo de Asistencia Legal</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_Toc527466504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83</w:t>
            </w:r>
            <w:r w:rsidR="00B4689D" w:rsidRPr="00604517">
              <w:rPr>
                <w:rFonts w:ascii="Verdana" w:hAnsi="Verdana"/>
                <w:noProof/>
                <w:webHidden/>
                <w:sz w:val="18"/>
                <w:szCs w:val="18"/>
              </w:rPr>
              <w:fldChar w:fldCharType="end"/>
            </w:r>
          </w:hyperlink>
        </w:p>
        <w:p w14:paraId="065D9908" w14:textId="276A15ED" w:rsidR="00B4689D" w:rsidRPr="00604517" w:rsidRDefault="002A0615" w:rsidP="00B4689D">
          <w:pPr>
            <w:pStyle w:val="TDC2"/>
            <w:tabs>
              <w:tab w:val="left" w:pos="660"/>
              <w:tab w:val="right" w:leader="dot" w:pos="9350"/>
            </w:tabs>
            <w:spacing w:after="0" w:line="240" w:lineRule="auto"/>
            <w:rPr>
              <w:rFonts w:ascii="Verdana" w:hAnsi="Verdana"/>
              <w:noProof/>
              <w:sz w:val="18"/>
              <w:szCs w:val="18"/>
              <w:lang w:val="es-CR" w:eastAsia="es-CR"/>
            </w:rPr>
          </w:pPr>
          <w:hyperlink w:anchor="_Toc527466505" w:history="1">
            <w:r w:rsidR="00B4689D" w:rsidRPr="00604517">
              <w:rPr>
                <w:rStyle w:val="Hipervnculo"/>
                <w:rFonts w:ascii="Verdana" w:hAnsi="Verdana"/>
                <w:noProof/>
                <w:sz w:val="18"/>
                <w:szCs w:val="18"/>
              </w:rPr>
              <w:t>E.</w:t>
            </w:r>
            <w:r w:rsidR="00B4689D" w:rsidRPr="00604517">
              <w:rPr>
                <w:rFonts w:ascii="Verdana" w:hAnsi="Verdana"/>
                <w:noProof/>
                <w:sz w:val="18"/>
                <w:szCs w:val="18"/>
                <w:lang w:val="es-CR" w:eastAsia="es-CR"/>
              </w:rPr>
              <w:tab/>
            </w:r>
            <w:r w:rsidR="00B4689D" w:rsidRPr="00604517">
              <w:rPr>
                <w:rStyle w:val="Hipervnculo"/>
                <w:rFonts w:ascii="Verdana" w:hAnsi="Verdana"/>
                <w:noProof/>
                <w:sz w:val="18"/>
                <w:szCs w:val="18"/>
              </w:rPr>
              <w:t>Modalidad de cumplimiento de los pagos ordenados</w:t>
            </w:r>
            <w:r w:rsidR="00B4689D" w:rsidRPr="00604517">
              <w:rPr>
                <w:rFonts w:ascii="Verdana" w:hAnsi="Verdana"/>
                <w:noProof/>
                <w:webHidden/>
                <w:sz w:val="18"/>
                <w:szCs w:val="18"/>
              </w:rPr>
              <w:tab/>
            </w:r>
            <w:r w:rsidR="00B4689D" w:rsidRPr="00604517">
              <w:rPr>
                <w:rFonts w:ascii="Verdana" w:hAnsi="Verdana"/>
                <w:noProof/>
                <w:webHidden/>
                <w:sz w:val="18"/>
                <w:szCs w:val="18"/>
              </w:rPr>
              <w:fldChar w:fldCharType="begin"/>
            </w:r>
            <w:r w:rsidR="00B4689D" w:rsidRPr="00604517">
              <w:rPr>
                <w:rFonts w:ascii="Verdana" w:hAnsi="Verdana"/>
                <w:noProof/>
                <w:webHidden/>
                <w:sz w:val="18"/>
                <w:szCs w:val="18"/>
              </w:rPr>
              <w:instrText xml:space="preserve"> PAGEREF _Toc527466505 \h </w:instrText>
            </w:r>
            <w:r w:rsidR="00B4689D" w:rsidRPr="00604517">
              <w:rPr>
                <w:rFonts w:ascii="Verdana" w:hAnsi="Verdana"/>
                <w:noProof/>
                <w:webHidden/>
                <w:sz w:val="18"/>
                <w:szCs w:val="18"/>
              </w:rPr>
            </w:r>
            <w:r w:rsidR="00B4689D" w:rsidRPr="00604517">
              <w:rPr>
                <w:rFonts w:ascii="Verdana" w:hAnsi="Verdana"/>
                <w:noProof/>
                <w:webHidden/>
                <w:sz w:val="18"/>
                <w:szCs w:val="18"/>
              </w:rPr>
              <w:fldChar w:fldCharType="separate"/>
            </w:r>
            <w:r w:rsidR="000E281C">
              <w:rPr>
                <w:rFonts w:ascii="Verdana" w:hAnsi="Verdana"/>
                <w:noProof/>
                <w:webHidden/>
                <w:sz w:val="18"/>
                <w:szCs w:val="18"/>
              </w:rPr>
              <w:t>83</w:t>
            </w:r>
            <w:r w:rsidR="00B4689D" w:rsidRPr="00604517">
              <w:rPr>
                <w:rFonts w:ascii="Verdana" w:hAnsi="Verdana"/>
                <w:noProof/>
                <w:webHidden/>
                <w:sz w:val="18"/>
                <w:szCs w:val="18"/>
              </w:rPr>
              <w:fldChar w:fldCharType="end"/>
            </w:r>
          </w:hyperlink>
        </w:p>
        <w:p w14:paraId="4FC4886B" w14:textId="1705FE40"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506" w:history="1">
            <w:r w:rsidR="00B4689D" w:rsidRPr="00604517">
              <w:rPr>
                <w:rStyle w:val="Hipervnculo"/>
                <w:rFonts w:ascii="Verdana" w:hAnsi="Verdana"/>
                <w:szCs w:val="18"/>
                <w:lang w:val="es-ES"/>
              </w:rPr>
              <w:t>X. PUNTOS RESOLUTIVOS</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_Toc527466506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85</w:t>
            </w:r>
            <w:r w:rsidR="00B4689D" w:rsidRPr="00604517">
              <w:rPr>
                <w:rFonts w:ascii="Verdana" w:hAnsi="Verdana"/>
                <w:webHidden/>
                <w:szCs w:val="18"/>
              </w:rPr>
              <w:fldChar w:fldCharType="end"/>
            </w:r>
          </w:hyperlink>
        </w:p>
        <w:p w14:paraId="41B259C5" w14:textId="47E76E29"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507" w:history="1">
            <w:r w:rsidR="00B4689D" w:rsidRPr="00604517">
              <w:rPr>
                <w:rStyle w:val="Hipervnculo"/>
                <w:rFonts w:ascii="Verdana" w:hAnsi="Verdana"/>
                <w:szCs w:val="18"/>
              </w:rPr>
              <w:t>ANEXO 1. LISTADO DE presuntas VÍCTIMAS REMITIDO POR LA cidh</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_Toc527466507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88</w:t>
            </w:r>
            <w:r w:rsidR="00B4689D" w:rsidRPr="00604517">
              <w:rPr>
                <w:rFonts w:ascii="Verdana" w:hAnsi="Verdana"/>
                <w:webHidden/>
                <w:szCs w:val="18"/>
              </w:rPr>
              <w:fldChar w:fldCharType="end"/>
            </w:r>
          </w:hyperlink>
        </w:p>
        <w:p w14:paraId="722ABFCB" w14:textId="23221F54" w:rsidR="00B4689D" w:rsidRPr="00604517" w:rsidRDefault="00D8008E" w:rsidP="00B4689D">
          <w:pPr>
            <w:pStyle w:val="TDC1"/>
            <w:rPr>
              <w:rFonts w:ascii="Verdana" w:eastAsiaTheme="minorEastAsia" w:hAnsi="Verdana" w:cstheme="minorBidi"/>
              <w:b w:val="0"/>
              <w:caps w:val="0"/>
              <w:szCs w:val="18"/>
              <w:lang w:val="es-CR" w:eastAsia="es-CR"/>
            </w:rPr>
          </w:pPr>
          <w:hyperlink w:anchor="_Toc527466508" w:history="1">
            <w:r w:rsidR="00B4689D" w:rsidRPr="00604517">
              <w:rPr>
                <w:rStyle w:val="Hipervnculo"/>
                <w:rFonts w:ascii="Verdana" w:hAnsi="Verdana"/>
                <w:szCs w:val="18"/>
              </w:rPr>
              <w:t>ANEXO 2. LISTADO DE Víctimas y sus familiares</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_Toc527466508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93</w:t>
            </w:r>
            <w:r w:rsidR="00B4689D" w:rsidRPr="00604517">
              <w:rPr>
                <w:rFonts w:ascii="Verdana" w:hAnsi="Verdana"/>
                <w:webHidden/>
                <w:szCs w:val="18"/>
              </w:rPr>
              <w:fldChar w:fldCharType="end"/>
            </w:r>
          </w:hyperlink>
        </w:p>
        <w:p w14:paraId="6D0CB7CB" w14:textId="1E0AC53F" w:rsidR="00B4689D" w:rsidRPr="00B4689D" w:rsidRDefault="00D8008E" w:rsidP="00B4689D">
          <w:pPr>
            <w:pStyle w:val="TDC1"/>
            <w:rPr>
              <w:rFonts w:ascii="Verdana" w:eastAsiaTheme="minorEastAsia" w:hAnsi="Verdana" w:cstheme="minorBidi"/>
              <w:b w:val="0"/>
              <w:caps w:val="0"/>
              <w:sz w:val="20"/>
              <w:szCs w:val="20"/>
              <w:lang w:val="es-CR" w:eastAsia="es-CR"/>
            </w:rPr>
          </w:pPr>
          <w:hyperlink w:anchor="_Toc527466509" w:history="1">
            <w:r w:rsidR="00B4689D" w:rsidRPr="00604517">
              <w:rPr>
                <w:rStyle w:val="Hipervnculo"/>
                <w:rFonts w:ascii="Verdana" w:hAnsi="Verdana"/>
                <w:szCs w:val="18"/>
              </w:rPr>
              <w:t>Anexo 3. Individualización de las víctimas y sus familiares</w:t>
            </w:r>
            <w:r w:rsidR="00B4689D" w:rsidRPr="00604517">
              <w:rPr>
                <w:rFonts w:ascii="Verdana" w:hAnsi="Verdana"/>
                <w:webHidden/>
                <w:szCs w:val="18"/>
              </w:rPr>
              <w:tab/>
            </w:r>
            <w:r w:rsidR="00B4689D" w:rsidRPr="00604517">
              <w:rPr>
                <w:rFonts w:ascii="Verdana" w:hAnsi="Verdana"/>
                <w:webHidden/>
                <w:szCs w:val="18"/>
              </w:rPr>
              <w:fldChar w:fldCharType="begin"/>
            </w:r>
            <w:r w:rsidR="00B4689D" w:rsidRPr="00604517">
              <w:rPr>
                <w:rFonts w:ascii="Verdana" w:hAnsi="Verdana"/>
                <w:webHidden/>
                <w:szCs w:val="18"/>
              </w:rPr>
              <w:instrText xml:space="preserve"> PAGEREF _Toc527466509 \h </w:instrText>
            </w:r>
            <w:r w:rsidR="00B4689D" w:rsidRPr="00604517">
              <w:rPr>
                <w:rFonts w:ascii="Verdana" w:hAnsi="Verdana"/>
                <w:webHidden/>
                <w:szCs w:val="18"/>
              </w:rPr>
            </w:r>
            <w:r w:rsidR="00B4689D" w:rsidRPr="00604517">
              <w:rPr>
                <w:rFonts w:ascii="Verdana" w:hAnsi="Verdana"/>
                <w:webHidden/>
                <w:szCs w:val="18"/>
              </w:rPr>
              <w:fldChar w:fldCharType="separate"/>
            </w:r>
            <w:r w:rsidR="000E281C">
              <w:rPr>
                <w:rFonts w:ascii="Verdana" w:hAnsi="Verdana"/>
                <w:webHidden/>
                <w:szCs w:val="18"/>
              </w:rPr>
              <w:t>95</w:t>
            </w:r>
            <w:r w:rsidR="00B4689D" w:rsidRPr="00604517">
              <w:rPr>
                <w:rFonts w:ascii="Verdana" w:hAnsi="Verdana"/>
                <w:webHidden/>
                <w:szCs w:val="18"/>
              </w:rPr>
              <w:fldChar w:fldCharType="end"/>
            </w:r>
          </w:hyperlink>
        </w:p>
        <w:p w14:paraId="2BB3D673" w14:textId="2BBDF97D" w:rsidR="00DC44DA" w:rsidRPr="00572DC9" w:rsidRDefault="006F26F0" w:rsidP="00B4689D">
          <w:pPr>
            <w:pStyle w:val="TtuloTDC"/>
            <w:spacing w:before="0" w:line="240" w:lineRule="auto"/>
            <w:rPr>
              <w:rFonts w:ascii="Verdana" w:hAnsi="Verdana" w:cs="Times New Roman"/>
              <w:sz w:val="20"/>
              <w:szCs w:val="20"/>
            </w:rPr>
          </w:pPr>
          <w:r w:rsidRPr="00B4689D">
            <w:rPr>
              <w:rFonts w:ascii="Verdana" w:hAnsi="Verdana" w:cs="Times New Roman"/>
              <w:b w:val="0"/>
              <w:bCs w:val="0"/>
              <w:sz w:val="20"/>
              <w:szCs w:val="20"/>
              <w:lang w:val="es-ES"/>
            </w:rPr>
            <w:fldChar w:fldCharType="end"/>
          </w:r>
          <w:r w:rsidR="00343438" w:rsidRPr="00572DC9">
            <w:rPr>
              <w:rFonts w:ascii="Verdana" w:hAnsi="Verdana" w:cs="Times New Roman"/>
              <w:sz w:val="20"/>
              <w:szCs w:val="20"/>
            </w:rPr>
            <w:br w:type="page"/>
          </w:r>
        </w:p>
      </w:sdtContent>
    </w:sdt>
    <w:p w14:paraId="2D36B605" w14:textId="4FD882F7" w:rsidR="006761DC" w:rsidRDefault="00EA0905" w:rsidP="009F7070">
      <w:pPr>
        <w:pStyle w:val="Ttulo1"/>
        <w:spacing w:before="0" w:after="0"/>
      </w:pPr>
      <w:bookmarkStart w:id="0" w:name="_Toc369989729"/>
      <w:bookmarkStart w:id="1" w:name="_Toc438132269"/>
      <w:bookmarkStart w:id="2" w:name="_Toc288744729"/>
      <w:bookmarkStart w:id="3" w:name="_Toc486693351"/>
      <w:bookmarkStart w:id="4" w:name="_Toc486842767"/>
      <w:bookmarkStart w:id="5" w:name="_Toc486842905"/>
      <w:bookmarkStart w:id="6" w:name="_Toc508792630"/>
      <w:bookmarkStart w:id="7" w:name="_Toc510690625"/>
      <w:bookmarkStart w:id="8" w:name="_Toc527466462"/>
      <w:r w:rsidRPr="0060216C">
        <w:lastRenderedPageBreak/>
        <w:t>I</w:t>
      </w:r>
      <w:r w:rsidR="001D1187">
        <w:t>.</w:t>
      </w:r>
      <w:r w:rsidRPr="0060216C">
        <w:rPr>
          <w:color w:val="FFFFFF" w:themeColor="background1"/>
        </w:rPr>
        <w:t>.</w:t>
      </w:r>
      <w:r w:rsidRPr="0060216C">
        <w:br/>
        <w:t>INTRODUCCIÓN DE LA CAUSA Y OBJETO DE LA CONTROVERSIA</w:t>
      </w:r>
      <w:bookmarkEnd w:id="0"/>
      <w:bookmarkEnd w:id="1"/>
      <w:bookmarkEnd w:id="2"/>
      <w:bookmarkEnd w:id="3"/>
      <w:bookmarkEnd w:id="4"/>
      <w:bookmarkEnd w:id="5"/>
      <w:bookmarkEnd w:id="6"/>
      <w:bookmarkEnd w:id="7"/>
      <w:bookmarkEnd w:id="8"/>
    </w:p>
    <w:p w14:paraId="15BDBF5B" w14:textId="77777777" w:rsidR="009B113E" w:rsidRPr="009B113E" w:rsidRDefault="009B113E" w:rsidP="009F7070">
      <w:pPr>
        <w:rPr>
          <w:lang w:val="es-CR" w:eastAsia="es-ES"/>
        </w:rPr>
      </w:pPr>
    </w:p>
    <w:p w14:paraId="4A0D0D98" w14:textId="17F4FE0F" w:rsidR="009455ED" w:rsidRPr="00D13A70" w:rsidRDefault="009A4176" w:rsidP="009F7070">
      <w:pPr>
        <w:numPr>
          <w:ilvl w:val="0"/>
          <w:numId w:val="3"/>
        </w:numPr>
        <w:ind w:left="0" w:right="-4" w:firstLine="0"/>
        <w:contextualSpacing/>
        <w:rPr>
          <w:noProof w:val="0"/>
          <w:szCs w:val="20"/>
        </w:rPr>
      </w:pPr>
      <w:r w:rsidRPr="0060216C">
        <w:rPr>
          <w:i/>
          <w:noProof w:val="0"/>
        </w:rPr>
        <w:t>El caso sometido a la Corte.</w:t>
      </w:r>
      <w:r w:rsidRPr="0060216C">
        <w:rPr>
          <w:noProof w:val="0"/>
        </w:rPr>
        <w:t xml:space="preserve"> – </w:t>
      </w:r>
      <w:r w:rsidR="00821699" w:rsidRPr="0060216C">
        <w:rPr>
          <w:noProof w:val="0"/>
          <w:szCs w:val="20"/>
        </w:rPr>
        <w:t xml:space="preserve">El </w:t>
      </w:r>
      <w:r w:rsidRPr="0060216C">
        <w:rPr>
          <w:noProof w:val="0"/>
          <w:szCs w:val="20"/>
        </w:rPr>
        <w:t xml:space="preserve">2 de </w:t>
      </w:r>
      <w:r w:rsidR="00821699" w:rsidRPr="0060216C">
        <w:rPr>
          <w:noProof w:val="0"/>
          <w:szCs w:val="20"/>
        </w:rPr>
        <w:t>diciembre de 2016</w:t>
      </w:r>
      <w:r w:rsidR="00F51FE4" w:rsidRPr="0060216C">
        <w:rPr>
          <w:noProof w:val="0"/>
          <w:szCs w:val="20"/>
        </w:rPr>
        <w:t>, de conformidad con lo dispuesto en los artículos 51 y 61 de la Convención Americana y el artículo 35 del Reglamento de la Corte,</w:t>
      </w:r>
      <w:r w:rsidRPr="0060216C">
        <w:rPr>
          <w:noProof w:val="0"/>
          <w:szCs w:val="20"/>
        </w:rPr>
        <w:t xml:space="preserve"> la Comisión Interamericana de Derechos Humanos (en adelante, “la Comisión Interamericana” o “la Comisión”) sometió a la jurisdicción de la Corte </w:t>
      </w:r>
      <w:r w:rsidRPr="0060216C">
        <w:rPr>
          <w:rFonts w:eastAsia="Calibri"/>
          <w:noProof w:val="0"/>
          <w:szCs w:val="20"/>
          <w:lang w:val="es-ES"/>
        </w:rPr>
        <w:t xml:space="preserve">Interamericana </w:t>
      </w:r>
      <w:r w:rsidRPr="0060216C">
        <w:rPr>
          <w:noProof w:val="0"/>
          <w:szCs w:val="20"/>
        </w:rPr>
        <w:t xml:space="preserve">el caso </w:t>
      </w:r>
      <w:proofErr w:type="spellStart"/>
      <w:r w:rsidR="00821699" w:rsidRPr="0060216C">
        <w:rPr>
          <w:rFonts w:cs="Verdana"/>
          <w:i/>
          <w:noProof w:val="0"/>
          <w:szCs w:val="20"/>
        </w:rPr>
        <w:t>Cuscul</w:t>
      </w:r>
      <w:proofErr w:type="spellEnd"/>
      <w:r w:rsidR="00821699" w:rsidRPr="0060216C">
        <w:rPr>
          <w:rFonts w:cs="Verdana"/>
          <w:i/>
          <w:noProof w:val="0"/>
          <w:szCs w:val="20"/>
        </w:rPr>
        <w:t xml:space="preserve"> Pivaral</w:t>
      </w:r>
      <w:r w:rsidR="009F7070">
        <w:rPr>
          <w:rFonts w:cs="Verdana"/>
          <w:i/>
          <w:noProof w:val="0"/>
          <w:szCs w:val="20"/>
        </w:rPr>
        <w:t xml:space="preserve"> y o</w:t>
      </w:r>
      <w:r w:rsidRPr="0060216C">
        <w:rPr>
          <w:rFonts w:cs="Verdana"/>
          <w:i/>
          <w:noProof w:val="0"/>
          <w:szCs w:val="20"/>
        </w:rPr>
        <w:t xml:space="preserve">tros </w:t>
      </w:r>
      <w:r w:rsidRPr="0060216C">
        <w:rPr>
          <w:noProof w:val="0"/>
          <w:szCs w:val="20"/>
        </w:rPr>
        <w:t>contra la</w:t>
      </w:r>
      <w:r w:rsidRPr="0060216C">
        <w:rPr>
          <w:i/>
          <w:noProof w:val="0"/>
          <w:szCs w:val="20"/>
        </w:rPr>
        <w:t xml:space="preserve"> </w:t>
      </w:r>
      <w:r w:rsidRPr="0060216C">
        <w:rPr>
          <w:noProof w:val="0"/>
          <w:szCs w:val="20"/>
        </w:rPr>
        <w:t xml:space="preserve">República de </w:t>
      </w:r>
      <w:r w:rsidR="00821699" w:rsidRPr="0060216C">
        <w:rPr>
          <w:noProof w:val="0"/>
          <w:szCs w:val="20"/>
        </w:rPr>
        <w:t>Guatemala</w:t>
      </w:r>
      <w:r w:rsidRPr="0060216C">
        <w:rPr>
          <w:i/>
          <w:noProof w:val="0"/>
          <w:szCs w:val="20"/>
        </w:rPr>
        <w:t xml:space="preserve"> </w:t>
      </w:r>
      <w:r w:rsidRPr="0060216C">
        <w:rPr>
          <w:noProof w:val="0"/>
          <w:szCs w:val="20"/>
        </w:rPr>
        <w:t>(en adelante, “el Estado” o “</w:t>
      </w:r>
      <w:r w:rsidR="00821699" w:rsidRPr="0060216C">
        <w:rPr>
          <w:noProof w:val="0"/>
          <w:szCs w:val="20"/>
        </w:rPr>
        <w:t>Guatemala</w:t>
      </w:r>
      <w:r w:rsidRPr="0060216C">
        <w:rPr>
          <w:noProof w:val="0"/>
          <w:szCs w:val="20"/>
        </w:rPr>
        <w:t>”).</w:t>
      </w:r>
      <w:r w:rsidRPr="0060216C">
        <w:rPr>
          <w:rFonts w:eastAsia="Calibri"/>
          <w:noProof w:val="0"/>
          <w:szCs w:val="20"/>
          <w:lang w:val="es-ES"/>
        </w:rPr>
        <w:t xml:space="preserve"> </w:t>
      </w:r>
      <w:r w:rsidR="00375F50" w:rsidRPr="0060216C">
        <w:rPr>
          <w:rFonts w:eastAsia="Calibri"/>
          <w:noProof w:val="0"/>
          <w:szCs w:val="20"/>
          <w:lang w:val="es-ES"/>
        </w:rPr>
        <w:t>De acuerdo con lo indicado por la Comisión, e</w:t>
      </w:r>
      <w:r w:rsidRPr="0060216C">
        <w:rPr>
          <w:noProof w:val="0"/>
          <w:szCs w:val="20"/>
        </w:rPr>
        <w:t xml:space="preserve">l caso se </w:t>
      </w:r>
      <w:r w:rsidR="00375F50" w:rsidRPr="0060216C">
        <w:rPr>
          <w:noProof w:val="0"/>
          <w:szCs w:val="20"/>
        </w:rPr>
        <w:t>refiere a la presunta responsabilidad internacional del Estado por la violación de diversos derechos establecidos en la Convención Americana en perjuicio de 49 presuntas víctimas</w:t>
      </w:r>
      <w:r w:rsidR="00BC50CD" w:rsidRPr="0060216C">
        <w:rPr>
          <w:noProof w:val="0"/>
          <w:szCs w:val="20"/>
        </w:rPr>
        <w:t xml:space="preserve"> que fueron diagnosticadas </w:t>
      </w:r>
      <w:r w:rsidR="00D13A70">
        <w:rPr>
          <w:noProof w:val="0"/>
          <w:szCs w:val="20"/>
        </w:rPr>
        <w:t>con VIH entre</w:t>
      </w:r>
      <w:r w:rsidR="009F7070">
        <w:rPr>
          <w:noProof w:val="0"/>
          <w:szCs w:val="20"/>
        </w:rPr>
        <w:t xml:space="preserve"> los años de</w:t>
      </w:r>
      <w:r w:rsidR="00D13A70">
        <w:rPr>
          <w:noProof w:val="0"/>
          <w:szCs w:val="20"/>
        </w:rPr>
        <w:t xml:space="preserve"> 1992 y 2003. </w:t>
      </w:r>
      <w:r w:rsidR="00BC50CD" w:rsidRPr="00D13A70">
        <w:rPr>
          <w:noProof w:val="0"/>
          <w:szCs w:val="20"/>
        </w:rPr>
        <w:t>La Comisión estableció que hasta los años 2006 y 2007 tuvo lugar una falta total de atención médica estatal a dicho grupo de personas en su condición de personas</w:t>
      </w:r>
      <w:r w:rsidR="00071964">
        <w:rPr>
          <w:noProof w:val="0"/>
          <w:szCs w:val="20"/>
        </w:rPr>
        <w:t xml:space="preserve"> que viven</w:t>
      </w:r>
      <w:r w:rsidR="00BC50CD" w:rsidRPr="00D13A70">
        <w:rPr>
          <w:noProof w:val="0"/>
          <w:szCs w:val="20"/>
        </w:rPr>
        <w:t xml:space="preserve"> con</w:t>
      </w:r>
      <w:r w:rsidR="00071964">
        <w:rPr>
          <w:noProof w:val="0"/>
          <w:szCs w:val="20"/>
        </w:rPr>
        <w:t xml:space="preserve"> el</w:t>
      </w:r>
      <w:r w:rsidR="00BC50CD" w:rsidRPr="00D13A70">
        <w:rPr>
          <w:noProof w:val="0"/>
          <w:szCs w:val="20"/>
        </w:rPr>
        <w:t xml:space="preserve"> VIH y además en situación de pobreza, y determinó que esta omisión tuvo un grave impacto en su situación de salud, vida e integridad personal. </w:t>
      </w:r>
      <w:r w:rsidR="00A25BA0" w:rsidRPr="00D13A70">
        <w:rPr>
          <w:noProof w:val="0"/>
          <w:szCs w:val="20"/>
        </w:rPr>
        <w:t>Según la Comisión</w:t>
      </w:r>
      <w:r w:rsidR="009F7070">
        <w:rPr>
          <w:noProof w:val="0"/>
          <w:szCs w:val="20"/>
        </w:rPr>
        <w:t>,</w:t>
      </w:r>
      <w:r w:rsidR="00A25BA0" w:rsidRPr="00D13A70">
        <w:rPr>
          <w:noProof w:val="0"/>
          <w:szCs w:val="20"/>
        </w:rPr>
        <w:t xml:space="preserve"> a partir </w:t>
      </w:r>
      <w:r w:rsidR="009F7070">
        <w:rPr>
          <w:noProof w:val="0"/>
          <w:szCs w:val="20"/>
        </w:rPr>
        <w:t>de los años 2006-2007</w:t>
      </w:r>
      <w:r w:rsidR="00A25BA0" w:rsidRPr="00D13A70">
        <w:rPr>
          <w:noProof w:val="0"/>
          <w:szCs w:val="20"/>
        </w:rPr>
        <w:t xml:space="preserve"> el Estado implementó algún tratamiento para las personas que viven con</w:t>
      </w:r>
      <w:r w:rsidR="00071964">
        <w:rPr>
          <w:noProof w:val="0"/>
          <w:szCs w:val="20"/>
        </w:rPr>
        <w:t xml:space="preserve"> el</w:t>
      </w:r>
      <w:r w:rsidR="00A25BA0" w:rsidRPr="00D13A70">
        <w:rPr>
          <w:noProof w:val="0"/>
          <w:szCs w:val="20"/>
        </w:rPr>
        <w:t xml:space="preserve"> VIH</w:t>
      </w:r>
      <w:r w:rsidR="00D13A70">
        <w:rPr>
          <w:noProof w:val="0"/>
          <w:szCs w:val="20"/>
        </w:rPr>
        <w:t>,</w:t>
      </w:r>
      <w:r w:rsidR="00A25BA0" w:rsidRPr="00D13A70">
        <w:rPr>
          <w:noProof w:val="0"/>
          <w:szCs w:val="20"/>
        </w:rPr>
        <w:t xml:space="preserve"> pero la atención no fue integral ni adecuada</w:t>
      </w:r>
      <w:r w:rsidR="00A25BA0" w:rsidRPr="00841328">
        <w:rPr>
          <w:noProof w:val="0"/>
          <w:szCs w:val="20"/>
        </w:rPr>
        <w:t xml:space="preserve">, por lo tanto </w:t>
      </w:r>
      <w:r w:rsidR="00A25BA0" w:rsidRPr="00EA6C29">
        <w:rPr>
          <w:noProof w:val="0"/>
          <w:szCs w:val="20"/>
        </w:rPr>
        <w:t>consideró que estas</w:t>
      </w:r>
      <w:r w:rsidR="00A25BA0" w:rsidRPr="00841328">
        <w:rPr>
          <w:noProof w:val="0"/>
          <w:szCs w:val="20"/>
        </w:rPr>
        <w:t xml:space="preserve"> deficiencias continuaron violando los derechos a la salud, vida e integridad personal en perjuicio de las victimas sobrevivientes.</w:t>
      </w:r>
      <w:r w:rsidR="00A25BA0" w:rsidRPr="00D13A70">
        <w:rPr>
          <w:noProof w:val="0"/>
          <w:szCs w:val="20"/>
        </w:rPr>
        <w:t xml:space="preserve"> </w:t>
      </w:r>
      <w:r w:rsidR="00BC50CD" w:rsidRPr="00D13A70">
        <w:rPr>
          <w:noProof w:val="0"/>
          <w:szCs w:val="20"/>
        </w:rPr>
        <w:t xml:space="preserve">Asimismo, la Comisión determinó que la muerte de ocho de las </w:t>
      </w:r>
      <w:r w:rsidR="00C9136E" w:rsidRPr="00D13A70">
        <w:rPr>
          <w:noProof w:val="0"/>
          <w:szCs w:val="20"/>
        </w:rPr>
        <w:t xml:space="preserve">presuntas </w:t>
      </w:r>
      <w:r w:rsidR="00BC50CD" w:rsidRPr="00D13A70">
        <w:rPr>
          <w:noProof w:val="0"/>
          <w:szCs w:val="20"/>
        </w:rPr>
        <w:t>víctimas</w:t>
      </w:r>
      <w:r w:rsidR="009F7070">
        <w:rPr>
          <w:noProof w:val="0"/>
          <w:szCs w:val="20"/>
        </w:rPr>
        <w:t xml:space="preserve"> </w:t>
      </w:r>
      <w:r w:rsidR="00C9136E" w:rsidRPr="00D13A70">
        <w:rPr>
          <w:noProof w:val="0"/>
          <w:szCs w:val="20"/>
        </w:rPr>
        <w:t>tuvo l</w:t>
      </w:r>
      <w:r w:rsidR="00BC50CD" w:rsidRPr="00D13A70">
        <w:rPr>
          <w:noProof w:val="0"/>
          <w:szCs w:val="20"/>
        </w:rPr>
        <w:t>ugar como</w:t>
      </w:r>
      <w:r w:rsidR="00C9136E" w:rsidRPr="00D13A70">
        <w:rPr>
          <w:noProof w:val="0"/>
          <w:szCs w:val="20"/>
        </w:rPr>
        <w:t xml:space="preserve"> </w:t>
      </w:r>
      <w:r w:rsidR="00BC50CD" w:rsidRPr="00D13A70">
        <w:rPr>
          <w:noProof w:val="0"/>
          <w:szCs w:val="20"/>
        </w:rPr>
        <w:t xml:space="preserve">consecuencia de enfermedades conocidas como oportunistas, o bien en un marco temporal en el que </w:t>
      </w:r>
      <w:r w:rsidR="00C9136E" w:rsidRPr="00D13A70">
        <w:rPr>
          <w:noProof w:val="0"/>
          <w:szCs w:val="20"/>
        </w:rPr>
        <w:t xml:space="preserve">presuntamente </w:t>
      </w:r>
      <w:r w:rsidR="00BC50CD" w:rsidRPr="00D13A70">
        <w:rPr>
          <w:noProof w:val="0"/>
          <w:szCs w:val="20"/>
        </w:rPr>
        <w:t>no</w:t>
      </w:r>
      <w:r w:rsidR="00C9136E" w:rsidRPr="00D13A70">
        <w:rPr>
          <w:noProof w:val="0"/>
          <w:szCs w:val="20"/>
        </w:rPr>
        <w:t xml:space="preserve"> recibieron l</w:t>
      </w:r>
      <w:r w:rsidR="00BC50CD" w:rsidRPr="00D13A70">
        <w:rPr>
          <w:noProof w:val="0"/>
          <w:szCs w:val="20"/>
        </w:rPr>
        <w:t>a a</w:t>
      </w:r>
      <w:r w:rsidR="00C9136E" w:rsidRPr="00D13A70">
        <w:rPr>
          <w:noProof w:val="0"/>
          <w:szCs w:val="20"/>
        </w:rPr>
        <w:t>tención que requerían po</w:t>
      </w:r>
      <w:r w:rsidR="00BC50CD" w:rsidRPr="00D13A70">
        <w:rPr>
          <w:noProof w:val="0"/>
          <w:szCs w:val="20"/>
        </w:rPr>
        <w:t>r parte del</w:t>
      </w:r>
      <w:r w:rsidR="00C9136E" w:rsidRPr="00D13A70">
        <w:rPr>
          <w:noProof w:val="0"/>
          <w:szCs w:val="20"/>
        </w:rPr>
        <w:t xml:space="preserve"> Estado, o bien tras una atenció</w:t>
      </w:r>
      <w:r w:rsidR="00D13A70">
        <w:rPr>
          <w:noProof w:val="0"/>
          <w:szCs w:val="20"/>
        </w:rPr>
        <w:t>n deficiente.</w:t>
      </w:r>
      <w:r w:rsidR="00FA0349" w:rsidRPr="00D13A70">
        <w:rPr>
          <w:noProof w:val="0"/>
          <w:szCs w:val="20"/>
        </w:rPr>
        <w:t xml:space="preserve"> </w:t>
      </w:r>
      <w:r w:rsidRPr="00D13A70">
        <w:rPr>
          <w:noProof w:val="0"/>
          <w:szCs w:val="20"/>
        </w:rPr>
        <w:t xml:space="preserve">La Comisión </w:t>
      </w:r>
      <w:r w:rsidR="00FA0349" w:rsidRPr="00D13A70">
        <w:rPr>
          <w:noProof w:val="0"/>
          <w:szCs w:val="20"/>
        </w:rPr>
        <w:t>agregó que el recurso de amparo interpuesto el 26 de julio de 2002 ante la Corte de Constitucionalidad no proveyó de una protección judicial efectiva a las presuntas víctimas. Finalmente, concluyó que los familiares</w:t>
      </w:r>
      <w:r w:rsidR="005039D7">
        <w:rPr>
          <w:noProof w:val="0"/>
          <w:szCs w:val="20"/>
        </w:rPr>
        <w:t>,</w:t>
      </w:r>
      <w:r w:rsidR="00FA0349" w:rsidRPr="00D13A70">
        <w:rPr>
          <w:noProof w:val="0"/>
          <w:szCs w:val="20"/>
        </w:rPr>
        <w:t xml:space="preserve"> y/o v</w:t>
      </w:r>
      <w:r w:rsidR="00342748" w:rsidRPr="00D13A70">
        <w:rPr>
          <w:noProof w:val="0"/>
          <w:szCs w:val="20"/>
        </w:rPr>
        <w:t>í</w:t>
      </w:r>
      <w:r w:rsidR="00FA0349" w:rsidRPr="00D13A70">
        <w:rPr>
          <w:noProof w:val="0"/>
          <w:szCs w:val="20"/>
        </w:rPr>
        <w:t>nculo más cercano de apoyo a las presuntas víctimas, sufrió afectaciones a su integridad psíquica y moral.</w:t>
      </w:r>
      <w:r w:rsidR="00A07A6D" w:rsidRPr="00D13A70">
        <w:rPr>
          <w:szCs w:val="16"/>
        </w:rPr>
        <w:t xml:space="preserve"> </w:t>
      </w:r>
      <w:r w:rsidR="00D13A70">
        <w:rPr>
          <w:szCs w:val="16"/>
        </w:rPr>
        <w:t>Los nombres de las presuntas víctimas</w:t>
      </w:r>
      <w:r w:rsidR="009F7070">
        <w:rPr>
          <w:szCs w:val="16"/>
        </w:rPr>
        <w:t xml:space="preserve"> </w:t>
      </w:r>
      <w:r w:rsidR="00D13A70">
        <w:rPr>
          <w:szCs w:val="16"/>
        </w:rPr>
        <w:t xml:space="preserve">se encuentran en el </w:t>
      </w:r>
      <w:r w:rsidR="00FE0773">
        <w:rPr>
          <w:szCs w:val="16"/>
        </w:rPr>
        <w:t>A</w:t>
      </w:r>
      <w:r w:rsidR="00841328">
        <w:rPr>
          <w:szCs w:val="16"/>
        </w:rPr>
        <w:t>nexo 1</w:t>
      </w:r>
      <w:r w:rsidR="00D13A70">
        <w:rPr>
          <w:szCs w:val="16"/>
        </w:rPr>
        <w:t xml:space="preserve"> a la presente sentencia.</w:t>
      </w:r>
    </w:p>
    <w:p w14:paraId="71CF55EF" w14:textId="77777777" w:rsidR="00101969" w:rsidRPr="0060216C" w:rsidRDefault="00101969" w:rsidP="009F7070">
      <w:pPr>
        <w:ind w:right="-4"/>
        <w:contextualSpacing/>
        <w:rPr>
          <w:noProof w:val="0"/>
          <w:szCs w:val="20"/>
        </w:rPr>
      </w:pPr>
    </w:p>
    <w:p w14:paraId="46905A9D" w14:textId="19C86D8C" w:rsidR="009A4176" w:rsidRPr="0060216C" w:rsidRDefault="009A4176" w:rsidP="009F7070">
      <w:pPr>
        <w:numPr>
          <w:ilvl w:val="0"/>
          <w:numId w:val="3"/>
        </w:numPr>
        <w:ind w:left="0" w:right="-4" w:firstLine="0"/>
        <w:contextualSpacing/>
        <w:rPr>
          <w:noProof w:val="0"/>
          <w:szCs w:val="20"/>
        </w:rPr>
      </w:pPr>
      <w:bookmarkStart w:id="9" w:name="_Ref363651855"/>
      <w:r w:rsidRPr="0060216C">
        <w:rPr>
          <w:i/>
          <w:noProof w:val="0"/>
          <w:szCs w:val="20"/>
        </w:rPr>
        <w:t xml:space="preserve">Trámite ante la Comisión. </w:t>
      </w:r>
      <w:r w:rsidRPr="0060216C">
        <w:rPr>
          <w:noProof w:val="0"/>
          <w:szCs w:val="20"/>
        </w:rPr>
        <w:t>– El trámite ante la Comisión fue el siguiente:</w:t>
      </w:r>
      <w:bookmarkEnd w:id="9"/>
    </w:p>
    <w:p w14:paraId="2AF1028B" w14:textId="77777777" w:rsidR="009A4176" w:rsidRPr="0060216C" w:rsidRDefault="009A4176" w:rsidP="009F7070">
      <w:pPr>
        <w:ind w:right="-4"/>
        <w:contextualSpacing/>
        <w:rPr>
          <w:noProof w:val="0"/>
          <w:szCs w:val="20"/>
        </w:rPr>
      </w:pPr>
    </w:p>
    <w:p w14:paraId="7AFB493D" w14:textId="64467391" w:rsidR="009A4176" w:rsidRPr="0060216C" w:rsidRDefault="009A4176" w:rsidP="009F7070">
      <w:pPr>
        <w:numPr>
          <w:ilvl w:val="1"/>
          <w:numId w:val="4"/>
        </w:numPr>
        <w:ind w:left="709" w:right="-6" w:firstLine="0"/>
        <w:contextualSpacing/>
        <w:rPr>
          <w:noProof w:val="0"/>
          <w:szCs w:val="20"/>
        </w:rPr>
      </w:pPr>
      <w:r w:rsidRPr="0060216C">
        <w:rPr>
          <w:i/>
          <w:noProof w:val="0"/>
          <w:szCs w:val="20"/>
        </w:rPr>
        <w:t>Petición. –</w:t>
      </w:r>
      <w:r w:rsidR="00DF1228" w:rsidRPr="0060216C">
        <w:rPr>
          <w:noProof w:val="0"/>
          <w:szCs w:val="20"/>
        </w:rPr>
        <w:t xml:space="preserve"> El 26</w:t>
      </w:r>
      <w:r w:rsidRPr="0060216C">
        <w:rPr>
          <w:noProof w:val="0"/>
          <w:szCs w:val="20"/>
        </w:rPr>
        <w:t xml:space="preserve"> de </w:t>
      </w:r>
      <w:r w:rsidR="00DF1228" w:rsidRPr="0060216C">
        <w:rPr>
          <w:noProof w:val="0"/>
          <w:szCs w:val="20"/>
        </w:rPr>
        <w:t>agosto de 2003</w:t>
      </w:r>
      <w:r w:rsidRPr="0060216C">
        <w:rPr>
          <w:noProof w:val="0"/>
          <w:szCs w:val="20"/>
        </w:rPr>
        <w:t xml:space="preserve"> la Comisión recibi</w:t>
      </w:r>
      <w:r w:rsidR="00857325" w:rsidRPr="0060216C">
        <w:rPr>
          <w:noProof w:val="0"/>
          <w:szCs w:val="20"/>
        </w:rPr>
        <w:t>ó una petición presentada por el Centro por la Justicia y</w:t>
      </w:r>
      <w:r w:rsidR="00857325" w:rsidRPr="0060216C">
        <w:rPr>
          <w:noProof w:val="0"/>
          <w:szCs w:val="20"/>
          <w:lang w:val="es-CR"/>
        </w:rPr>
        <w:t xml:space="preserve"> el Derecho Internacional (CEJIL)</w:t>
      </w:r>
      <w:r w:rsidR="00363CDF" w:rsidRPr="0060216C">
        <w:rPr>
          <w:noProof w:val="0"/>
          <w:szCs w:val="20"/>
          <w:lang w:val="es-CR"/>
        </w:rPr>
        <w:t>,</w:t>
      </w:r>
      <w:r w:rsidR="00857325" w:rsidRPr="0060216C">
        <w:rPr>
          <w:noProof w:val="0"/>
          <w:szCs w:val="20"/>
          <w:lang w:val="es-CR"/>
        </w:rPr>
        <w:t xml:space="preserve"> la Red Nacio</w:t>
      </w:r>
      <w:r w:rsidR="00071964">
        <w:rPr>
          <w:noProof w:val="0"/>
          <w:szCs w:val="20"/>
          <w:lang w:val="es-CR"/>
        </w:rPr>
        <w:t>nal de Personas que Viven con</w:t>
      </w:r>
      <w:r w:rsidR="00857325" w:rsidRPr="0060216C">
        <w:rPr>
          <w:noProof w:val="0"/>
          <w:szCs w:val="20"/>
          <w:lang w:val="es-CR"/>
        </w:rPr>
        <w:t xml:space="preserve"> VIH/SIDA, la Asociación Gente Unida, </w:t>
      </w:r>
      <w:r w:rsidR="00363CDF" w:rsidRPr="0060216C">
        <w:rPr>
          <w:noProof w:val="0"/>
          <w:szCs w:val="20"/>
          <w:lang w:val="es-CR"/>
        </w:rPr>
        <w:t>e</w:t>
      </w:r>
      <w:r w:rsidR="00857325" w:rsidRPr="0060216C">
        <w:rPr>
          <w:noProof w:val="0"/>
          <w:szCs w:val="20"/>
          <w:lang w:val="es-CR"/>
        </w:rPr>
        <w:t>l Proyecto Vida, la Fundación Preventiva del SIDA Fernando Iturbide y la Asociación de Salud Integral</w:t>
      </w:r>
      <w:r w:rsidR="00857325" w:rsidRPr="0060216C">
        <w:rPr>
          <w:noProof w:val="0"/>
          <w:szCs w:val="20"/>
        </w:rPr>
        <w:t xml:space="preserve"> </w:t>
      </w:r>
      <w:r w:rsidRPr="0060216C">
        <w:rPr>
          <w:noProof w:val="0"/>
          <w:szCs w:val="20"/>
        </w:rPr>
        <w:t>(en adelante “</w:t>
      </w:r>
      <w:r w:rsidR="00857325" w:rsidRPr="0060216C">
        <w:rPr>
          <w:noProof w:val="0"/>
          <w:szCs w:val="20"/>
        </w:rPr>
        <w:t>los peticionarios”</w:t>
      </w:r>
      <w:r w:rsidRPr="0060216C">
        <w:rPr>
          <w:noProof w:val="0"/>
          <w:szCs w:val="20"/>
        </w:rPr>
        <w:t xml:space="preserve">) contra </w:t>
      </w:r>
      <w:r w:rsidR="00857325" w:rsidRPr="0060216C">
        <w:rPr>
          <w:noProof w:val="0"/>
          <w:szCs w:val="20"/>
        </w:rPr>
        <w:t>Guatemala</w:t>
      </w:r>
      <w:r w:rsidR="00D13A70">
        <w:rPr>
          <w:noProof w:val="0"/>
          <w:szCs w:val="20"/>
        </w:rPr>
        <w:t>.</w:t>
      </w:r>
    </w:p>
    <w:p w14:paraId="15359296" w14:textId="77777777" w:rsidR="009A4176" w:rsidRPr="0060216C" w:rsidRDefault="009A4176" w:rsidP="009F7070">
      <w:pPr>
        <w:ind w:left="284" w:right="-6"/>
        <w:contextualSpacing/>
        <w:rPr>
          <w:noProof w:val="0"/>
          <w:szCs w:val="20"/>
          <w:highlight w:val="yellow"/>
        </w:rPr>
      </w:pPr>
    </w:p>
    <w:p w14:paraId="43454DD9" w14:textId="77777777" w:rsidR="009A4176" w:rsidRPr="0060216C" w:rsidRDefault="009A4176" w:rsidP="009F7070">
      <w:pPr>
        <w:numPr>
          <w:ilvl w:val="1"/>
          <w:numId w:val="4"/>
        </w:numPr>
        <w:ind w:left="709" w:right="-6" w:firstLine="0"/>
        <w:contextualSpacing/>
        <w:rPr>
          <w:noProof w:val="0"/>
          <w:szCs w:val="20"/>
        </w:rPr>
      </w:pPr>
      <w:r w:rsidRPr="0060216C">
        <w:rPr>
          <w:i/>
          <w:noProof w:val="0"/>
          <w:szCs w:val="20"/>
        </w:rPr>
        <w:t>Informe de Admisibilidad</w:t>
      </w:r>
      <w:r w:rsidRPr="0060216C">
        <w:rPr>
          <w:noProof w:val="0"/>
          <w:szCs w:val="20"/>
        </w:rPr>
        <w:t xml:space="preserve">. – El </w:t>
      </w:r>
      <w:r w:rsidR="003920A6" w:rsidRPr="0060216C">
        <w:rPr>
          <w:noProof w:val="0"/>
          <w:szCs w:val="20"/>
        </w:rPr>
        <w:t>7</w:t>
      </w:r>
      <w:r w:rsidRPr="0060216C">
        <w:rPr>
          <w:noProof w:val="0"/>
          <w:szCs w:val="20"/>
        </w:rPr>
        <w:t xml:space="preserve"> de </w:t>
      </w:r>
      <w:r w:rsidR="003920A6" w:rsidRPr="0060216C">
        <w:rPr>
          <w:noProof w:val="0"/>
          <w:szCs w:val="20"/>
        </w:rPr>
        <w:t>marzo de 2005</w:t>
      </w:r>
      <w:r w:rsidRPr="0060216C">
        <w:rPr>
          <w:noProof w:val="0"/>
          <w:szCs w:val="20"/>
        </w:rPr>
        <w:t xml:space="preserve"> la Comisión aprobó el</w:t>
      </w:r>
      <w:r w:rsidR="003920A6" w:rsidRPr="0060216C">
        <w:rPr>
          <w:noProof w:val="0"/>
          <w:szCs w:val="20"/>
        </w:rPr>
        <w:t xml:space="preserve"> Informe de Admisibilidad No. 32/05</w:t>
      </w:r>
      <w:r w:rsidRPr="0060216C">
        <w:rPr>
          <w:rFonts w:cs="Times New Roman"/>
          <w:noProof w:val="0"/>
          <w:szCs w:val="20"/>
          <w:vertAlign w:val="superscript"/>
        </w:rPr>
        <w:footnoteReference w:id="2"/>
      </w:r>
      <w:r w:rsidRPr="0060216C">
        <w:rPr>
          <w:noProof w:val="0"/>
          <w:szCs w:val="20"/>
        </w:rPr>
        <w:t>.</w:t>
      </w:r>
    </w:p>
    <w:p w14:paraId="54C85100" w14:textId="77777777" w:rsidR="00CA4158" w:rsidRPr="0060216C" w:rsidRDefault="00CA4158" w:rsidP="009F7070">
      <w:pPr>
        <w:ind w:left="284" w:right="-6"/>
        <w:contextualSpacing/>
        <w:rPr>
          <w:noProof w:val="0"/>
          <w:szCs w:val="20"/>
        </w:rPr>
      </w:pPr>
    </w:p>
    <w:p w14:paraId="23D85EAB" w14:textId="77777777" w:rsidR="009A4176" w:rsidRPr="0060216C" w:rsidRDefault="009A4176" w:rsidP="009F7070">
      <w:pPr>
        <w:numPr>
          <w:ilvl w:val="1"/>
          <w:numId w:val="4"/>
        </w:numPr>
        <w:ind w:left="709" w:right="-6" w:firstLine="0"/>
        <w:contextualSpacing/>
        <w:rPr>
          <w:noProof w:val="0"/>
          <w:szCs w:val="20"/>
        </w:rPr>
      </w:pPr>
      <w:r w:rsidRPr="0060216C">
        <w:rPr>
          <w:i/>
          <w:noProof w:val="0"/>
          <w:szCs w:val="20"/>
        </w:rPr>
        <w:t>Informe de Fondo</w:t>
      </w:r>
      <w:r w:rsidRPr="0060216C">
        <w:rPr>
          <w:noProof w:val="0"/>
          <w:szCs w:val="20"/>
        </w:rPr>
        <w:t xml:space="preserve">. – </w:t>
      </w:r>
      <w:r w:rsidRPr="0060216C">
        <w:rPr>
          <w:noProof w:val="0"/>
        </w:rPr>
        <w:t xml:space="preserve">El </w:t>
      </w:r>
      <w:r w:rsidR="003920A6" w:rsidRPr="0060216C">
        <w:rPr>
          <w:noProof w:val="0"/>
        </w:rPr>
        <w:t>13</w:t>
      </w:r>
      <w:r w:rsidRPr="0060216C">
        <w:rPr>
          <w:noProof w:val="0"/>
        </w:rPr>
        <w:t xml:space="preserve"> de </w:t>
      </w:r>
      <w:r w:rsidR="003920A6" w:rsidRPr="0060216C">
        <w:rPr>
          <w:noProof w:val="0"/>
        </w:rPr>
        <w:t>abril de 2016</w:t>
      </w:r>
      <w:r w:rsidRPr="0060216C">
        <w:rPr>
          <w:noProof w:val="0"/>
        </w:rPr>
        <w:t xml:space="preserve"> la Comisión e</w:t>
      </w:r>
      <w:r w:rsidR="003920A6" w:rsidRPr="0060216C">
        <w:rPr>
          <w:noProof w:val="0"/>
        </w:rPr>
        <w:t>mitió el Informe de Fondo No. 2/16</w:t>
      </w:r>
      <w:r w:rsidRPr="0060216C">
        <w:rPr>
          <w:noProof w:val="0"/>
        </w:rPr>
        <w:t>, en los términos del artículo 50 de la Convención (en adelante “el Informe de Fondo”), en el cual llegó a una serie de conclusiones y formuló varias recomendaciones:</w:t>
      </w:r>
    </w:p>
    <w:p w14:paraId="3EB48EA7" w14:textId="77777777" w:rsidR="009A4176" w:rsidRPr="0060216C" w:rsidRDefault="009A4176" w:rsidP="009F7070">
      <w:pPr>
        <w:ind w:left="284" w:right="-6"/>
        <w:contextualSpacing/>
        <w:rPr>
          <w:noProof w:val="0"/>
          <w:szCs w:val="20"/>
        </w:rPr>
      </w:pPr>
    </w:p>
    <w:p w14:paraId="2FD16FEA" w14:textId="2293DC85" w:rsidR="009A4176" w:rsidRPr="009F7070" w:rsidRDefault="005B7B52" w:rsidP="009F7070">
      <w:pPr>
        <w:numPr>
          <w:ilvl w:val="2"/>
          <w:numId w:val="4"/>
        </w:numPr>
        <w:ind w:left="1418" w:firstLine="0"/>
        <w:rPr>
          <w:i/>
          <w:noProof w:val="0"/>
          <w:szCs w:val="20"/>
        </w:rPr>
      </w:pPr>
      <w:r w:rsidRPr="0060216C">
        <w:rPr>
          <w:i/>
          <w:noProof w:val="0"/>
          <w:szCs w:val="20"/>
        </w:rPr>
        <w:t xml:space="preserve"> </w:t>
      </w:r>
      <w:r w:rsidR="00991425">
        <w:rPr>
          <w:i/>
          <w:noProof w:val="0"/>
          <w:szCs w:val="20"/>
        </w:rPr>
        <w:tab/>
      </w:r>
      <w:r w:rsidR="009A4176" w:rsidRPr="0060216C">
        <w:rPr>
          <w:i/>
          <w:noProof w:val="0"/>
          <w:szCs w:val="20"/>
        </w:rPr>
        <w:t xml:space="preserve">Conclusiones. </w:t>
      </w:r>
      <w:r w:rsidR="00D13A70">
        <w:rPr>
          <w:i/>
          <w:noProof w:val="0"/>
          <w:szCs w:val="20"/>
        </w:rPr>
        <w:t>–</w:t>
      </w:r>
      <w:r w:rsidR="009A4176" w:rsidRPr="0060216C">
        <w:rPr>
          <w:i/>
          <w:noProof w:val="0"/>
          <w:szCs w:val="20"/>
        </w:rPr>
        <w:t xml:space="preserve"> </w:t>
      </w:r>
      <w:r w:rsidR="00D13A70">
        <w:rPr>
          <w:noProof w:val="0"/>
          <w:szCs w:val="20"/>
        </w:rPr>
        <w:t xml:space="preserve">La Comisión concluyó que </w:t>
      </w:r>
      <w:r w:rsidRPr="0060216C">
        <w:rPr>
          <w:noProof w:val="0"/>
          <w:szCs w:val="20"/>
        </w:rPr>
        <w:t>Guatemala</w:t>
      </w:r>
      <w:r w:rsidR="009A4176" w:rsidRPr="0060216C">
        <w:rPr>
          <w:noProof w:val="0"/>
          <w:szCs w:val="20"/>
        </w:rPr>
        <w:t xml:space="preserve"> </w:t>
      </w:r>
      <w:r w:rsidR="009F7070">
        <w:rPr>
          <w:noProof w:val="0"/>
          <w:szCs w:val="20"/>
        </w:rPr>
        <w:t>es</w:t>
      </w:r>
      <w:r w:rsidR="009A4176" w:rsidRPr="0060216C">
        <w:rPr>
          <w:noProof w:val="0"/>
          <w:szCs w:val="20"/>
        </w:rPr>
        <w:t xml:space="preserve"> responsable por la violación a los derechos establecidos en los artículos 4</w:t>
      </w:r>
      <w:r w:rsidRPr="0060216C">
        <w:rPr>
          <w:noProof w:val="0"/>
          <w:szCs w:val="20"/>
        </w:rPr>
        <w:t xml:space="preserve">.1, 5.1 y </w:t>
      </w:r>
      <w:r w:rsidR="009A4176" w:rsidRPr="0060216C">
        <w:rPr>
          <w:noProof w:val="0"/>
          <w:szCs w:val="20"/>
        </w:rPr>
        <w:t>25</w:t>
      </w:r>
      <w:r w:rsidRPr="0060216C">
        <w:rPr>
          <w:noProof w:val="0"/>
          <w:szCs w:val="20"/>
        </w:rPr>
        <w:t>.1</w:t>
      </w:r>
      <w:r w:rsidR="009A4176" w:rsidRPr="0060216C">
        <w:rPr>
          <w:noProof w:val="0"/>
          <w:szCs w:val="20"/>
        </w:rPr>
        <w:t xml:space="preserve"> de la Convención, en relación con las </w:t>
      </w:r>
      <w:r w:rsidRPr="0060216C">
        <w:rPr>
          <w:noProof w:val="0"/>
          <w:szCs w:val="20"/>
        </w:rPr>
        <w:t>obligaciones establecidas en el artículo</w:t>
      </w:r>
      <w:r w:rsidR="009A4176" w:rsidRPr="0060216C">
        <w:rPr>
          <w:noProof w:val="0"/>
          <w:szCs w:val="20"/>
        </w:rPr>
        <w:t xml:space="preserve"> 1.1 del mismo instrumento</w:t>
      </w:r>
      <w:r w:rsidR="00ED2F3E">
        <w:rPr>
          <w:noProof w:val="0"/>
          <w:szCs w:val="20"/>
        </w:rPr>
        <w:t xml:space="preserve">, en </w:t>
      </w:r>
      <w:r w:rsidR="00991425">
        <w:rPr>
          <w:noProof w:val="0"/>
          <w:szCs w:val="20"/>
        </w:rPr>
        <w:t xml:space="preserve">perjuicio de las </w:t>
      </w:r>
      <w:r w:rsidR="009F7070">
        <w:rPr>
          <w:noProof w:val="0"/>
          <w:szCs w:val="20"/>
        </w:rPr>
        <w:t>presuntas víctimas mencionadas en el Informe de Fondo</w:t>
      </w:r>
      <w:r w:rsidR="009A4176" w:rsidRPr="0060216C">
        <w:rPr>
          <w:noProof w:val="0"/>
          <w:szCs w:val="20"/>
        </w:rPr>
        <w:t>.</w:t>
      </w:r>
    </w:p>
    <w:p w14:paraId="1280F04B" w14:textId="77777777" w:rsidR="009F7070" w:rsidRPr="0060216C" w:rsidRDefault="009F7070" w:rsidP="009F7070">
      <w:pPr>
        <w:ind w:left="1418"/>
        <w:rPr>
          <w:i/>
          <w:noProof w:val="0"/>
          <w:szCs w:val="20"/>
        </w:rPr>
      </w:pPr>
    </w:p>
    <w:p w14:paraId="10BF3648" w14:textId="2EC549E0" w:rsidR="005B7B52" w:rsidRDefault="005B7B52" w:rsidP="009F7070">
      <w:pPr>
        <w:numPr>
          <w:ilvl w:val="2"/>
          <w:numId w:val="4"/>
        </w:numPr>
        <w:ind w:left="1418" w:right="-4" w:firstLine="0"/>
        <w:rPr>
          <w:noProof w:val="0"/>
          <w:szCs w:val="20"/>
        </w:rPr>
      </w:pPr>
      <w:r w:rsidRPr="0060216C">
        <w:rPr>
          <w:i/>
          <w:noProof w:val="0"/>
          <w:szCs w:val="20"/>
        </w:rPr>
        <w:lastRenderedPageBreak/>
        <w:t xml:space="preserve"> </w:t>
      </w:r>
      <w:r w:rsidR="00991425">
        <w:rPr>
          <w:i/>
          <w:noProof w:val="0"/>
          <w:szCs w:val="20"/>
        </w:rPr>
        <w:tab/>
      </w:r>
      <w:r w:rsidR="009A4176" w:rsidRPr="0060216C">
        <w:rPr>
          <w:i/>
          <w:noProof w:val="0"/>
          <w:szCs w:val="20"/>
        </w:rPr>
        <w:t xml:space="preserve">Recomendaciones. - </w:t>
      </w:r>
      <w:r w:rsidR="009A4176" w:rsidRPr="0060216C">
        <w:rPr>
          <w:noProof w:val="0"/>
          <w:szCs w:val="20"/>
          <w:lang w:val="es-CR"/>
        </w:rPr>
        <w:t>En consecuencia</w:t>
      </w:r>
      <w:r w:rsidR="008556EB" w:rsidRPr="0060216C">
        <w:rPr>
          <w:noProof w:val="0"/>
          <w:szCs w:val="20"/>
          <w:lang w:val="es-CR"/>
        </w:rPr>
        <w:t>,</w:t>
      </w:r>
      <w:r w:rsidR="009A4176" w:rsidRPr="0060216C">
        <w:rPr>
          <w:noProof w:val="0"/>
          <w:szCs w:val="20"/>
          <w:lang w:val="es-CR"/>
        </w:rPr>
        <w:t xml:space="preserve"> recomendó al Estado</w:t>
      </w:r>
      <w:r w:rsidR="009F7070">
        <w:rPr>
          <w:noProof w:val="0"/>
          <w:szCs w:val="20"/>
          <w:lang w:val="es-CR"/>
        </w:rPr>
        <w:t xml:space="preserve"> lo siguiente</w:t>
      </w:r>
      <w:r w:rsidR="009A4176" w:rsidRPr="0060216C">
        <w:rPr>
          <w:noProof w:val="0"/>
          <w:szCs w:val="20"/>
        </w:rPr>
        <w:t>:</w:t>
      </w:r>
    </w:p>
    <w:p w14:paraId="4E82453E" w14:textId="77777777" w:rsidR="00991425" w:rsidRDefault="00991425" w:rsidP="009F7070">
      <w:pPr>
        <w:autoSpaceDE w:val="0"/>
        <w:autoSpaceDN w:val="0"/>
        <w:adjustRightInd w:val="0"/>
        <w:ind w:left="992" w:right="720"/>
        <w:contextualSpacing/>
        <w:rPr>
          <w:noProof w:val="0"/>
          <w:sz w:val="16"/>
          <w:szCs w:val="16"/>
        </w:rPr>
      </w:pPr>
    </w:p>
    <w:p w14:paraId="12922C92" w14:textId="15345FCE" w:rsidR="005B7B52" w:rsidRPr="00991425" w:rsidRDefault="005B7B52" w:rsidP="009F7070">
      <w:pPr>
        <w:autoSpaceDE w:val="0"/>
        <w:autoSpaceDN w:val="0"/>
        <w:adjustRightInd w:val="0"/>
        <w:ind w:left="1701" w:right="720"/>
        <w:contextualSpacing/>
        <w:rPr>
          <w:noProof w:val="0"/>
          <w:sz w:val="18"/>
          <w:szCs w:val="18"/>
        </w:rPr>
      </w:pPr>
      <w:r w:rsidRPr="00991425">
        <w:rPr>
          <w:noProof w:val="0"/>
          <w:sz w:val="18"/>
          <w:szCs w:val="18"/>
        </w:rPr>
        <w:t xml:space="preserve">1. </w:t>
      </w:r>
      <w:r w:rsidR="00991425" w:rsidRPr="00991425">
        <w:rPr>
          <w:noProof w:val="0"/>
          <w:sz w:val="18"/>
          <w:szCs w:val="18"/>
        </w:rPr>
        <w:tab/>
      </w:r>
      <w:r w:rsidRPr="00991425">
        <w:rPr>
          <w:noProof w:val="0"/>
          <w:sz w:val="18"/>
          <w:szCs w:val="18"/>
        </w:rPr>
        <w:t>Reparar integralmente a las víctimas sobrevivientes y a los familiares y seres queridos de todas las víctimas por las violaciones de derechos humanos declaradas en el informe, incluyendo tanto el aspecto material como moral.</w:t>
      </w:r>
    </w:p>
    <w:p w14:paraId="0CC48A4D" w14:textId="77777777" w:rsidR="005B7B52" w:rsidRPr="00991425" w:rsidRDefault="005B7B52" w:rsidP="009F7070">
      <w:pPr>
        <w:autoSpaceDE w:val="0"/>
        <w:autoSpaceDN w:val="0"/>
        <w:adjustRightInd w:val="0"/>
        <w:ind w:left="1701" w:right="720"/>
        <w:contextualSpacing/>
        <w:rPr>
          <w:noProof w:val="0"/>
          <w:sz w:val="18"/>
          <w:szCs w:val="18"/>
        </w:rPr>
      </w:pPr>
    </w:p>
    <w:p w14:paraId="6AFA545B" w14:textId="154C1D8F" w:rsidR="005B7B52" w:rsidRPr="00991425" w:rsidRDefault="005B7B52" w:rsidP="009F7070">
      <w:pPr>
        <w:tabs>
          <w:tab w:val="left" w:pos="2127"/>
        </w:tabs>
        <w:autoSpaceDE w:val="0"/>
        <w:autoSpaceDN w:val="0"/>
        <w:adjustRightInd w:val="0"/>
        <w:ind w:left="1701" w:right="720"/>
        <w:contextualSpacing/>
        <w:rPr>
          <w:noProof w:val="0"/>
          <w:sz w:val="18"/>
          <w:szCs w:val="18"/>
        </w:rPr>
      </w:pPr>
      <w:r w:rsidRPr="00991425">
        <w:rPr>
          <w:noProof w:val="0"/>
          <w:sz w:val="18"/>
          <w:szCs w:val="18"/>
        </w:rPr>
        <w:t xml:space="preserve">2. </w:t>
      </w:r>
      <w:r w:rsidR="00991425">
        <w:rPr>
          <w:noProof w:val="0"/>
          <w:sz w:val="18"/>
          <w:szCs w:val="18"/>
        </w:rPr>
        <w:tab/>
      </w:r>
      <w:r w:rsidRPr="00991425">
        <w:rPr>
          <w:noProof w:val="0"/>
          <w:sz w:val="18"/>
          <w:szCs w:val="18"/>
        </w:rPr>
        <w:t>Adoptar inmediatamente las medidas necesarias para asegurar que todas las víctimas sobrevivientes del presente caso cuenten con atenci</w:t>
      </w:r>
      <w:r w:rsidR="008556EB" w:rsidRPr="00991425">
        <w:rPr>
          <w:noProof w:val="0"/>
          <w:sz w:val="18"/>
          <w:szCs w:val="18"/>
        </w:rPr>
        <w:t>ó</w:t>
      </w:r>
      <w:r w:rsidRPr="00991425">
        <w:rPr>
          <w:noProof w:val="0"/>
          <w:sz w:val="18"/>
          <w:szCs w:val="18"/>
        </w:rPr>
        <w:t>n m</w:t>
      </w:r>
      <w:r w:rsidR="008556EB" w:rsidRPr="00991425">
        <w:rPr>
          <w:noProof w:val="0"/>
          <w:sz w:val="18"/>
          <w:szCs w:val="18"/>
        </w:rPr>
        <w:t>é</w:t>
      </w:r>
      <w:r w:rsidRPr="00991425">
        <w:rPr>
          <w:noProof w:val="0"/>
          <w:sz w:val="18"/>
          <w:szCs w:val="18"/>
        </w:rPr>
        <w:t>dica integral, según los estándares internacionales, que incluya entre otras necesidades: i) la realización de diagnósticos completos y de exámenes de seguimiento periódicos; ii) la provisión permanente e ininterrumpida de los medicamentos antiretrovirales requeridos y de otros que puedan necesitar derivados de su situación concreta de salud; iii) la atención en salud mental para las víctimas que así lo deseen</w:t>
      </w:r>
      <w:r w:rsidR="008556EB" w:rsidRPr="00991425">
        <w:rPr>
          <w:noProof w:val="0"/>
          <w:sz w:val="18"/>
          <w:szCs w:val="18"/>
        </w:rPr>
        <w:t>,</w:t>
      </w:r>
      <w:r w:rsidRPr="00991425">
        <w:rPr>
          <w:noProof w:val="0"/>
          <w:sz w:val="18"/>
          <w:szCs w:val="18"/>
        </w:rPr>
        <w:t xml:space="preserve"> y iv) la atención diferenciada requerida por las víctimas mujeres en este caso, con especial consideraci</w:t>
      </w:r>
      <w:r w:rsidR="008556EB" w:rsidRPr="00991425">
        <w:rPr>
          <w:noProof w:val="0"/>
          <w:sz w:val="18"/>
          <w:szCs w:val="18"/>
        </w:rPr>
        <w:t>ó</w:t>
      </w:r>
      <w:r w:rsidRPr="00991425">
        <w:rPr>
          <w:noProof w:val="0"/>
          <w:sz w:val="18"/>
          <w:szCs w:val="18"/>
        </w:rPr>
        <w:t>n a su capacidad reproductiva. El Estado deberá asegurar que las víctimas no tengan que sufrir obstáculos de accesibilidad o de otra índole para la obtención de la atención integral en los términos de</w:t>
      </w:r>
      <w:r w:rsidR="008556EB" w:rsidRPr="00991425">
        <w:rPr>
          <w:noProof w:val="0"/>
          <w:sz w:val="18"/>
          <w:szCs w:val="18"/>
        </w:rPr>
        <w:t xml:space="preserve"> dicha</w:t>
      </w:r>
      <w:r w:rsidRPr="00991425">
        <w:rPr>
          <w:noProof w:val="0"/>
          <w:sz w:val="18"/>
          <w:szCs w:val="18"/>
        </w:rPr>
        <w:t xml:space="preserve"> recomendación.</w:t>
      </w:r>
    </w:p>
    <w:p w14:paraId="20832397" w14:textId="77777777" w:rsidR="005B7B52" w:rsidRPr="00991425" w:rsidRDefault="005B7B52" w:rsidP="009F7070">
      <w:pPr>
        <w:autoSpaceDE w:val="0"/>
        <w:autoSpaceDN w:val="0"/>
        <w:adjustRightInd w:val="0"/>
        <w:ind w:left="1701" w:right="720"/>
        <w:contextualSpacing/>
        <w:rPr>
          <w:noProof w:val="0"/>
          <w:sz w:val="18"/>
          <w:szCs w:val="18"/>
        </w:rPr>
      </w:pPr>
    </w:p>
    <w:p w14:paraId="61F92D7F" w14:textId="6D0A9C77" w:rsidR="005B7B52" w:rsidRPr="00991425" w:rsidRDefault="005B7B52" w:rsidP="009F7070">
      <w:pPr>
        <w:autoSpaceDE w:val="0"/>
        <w:autoSpaceDN w:val="0"/>
        <w:adjustRightInd w:val="0"/>
        <w:ind w:left="1701" w:right="720"/>
        <w:contextualSpacing/>
        <w:rPr>
          <w:noProof w:val="0"/>
          <w:sz w:val="18"/>
          <w:szCs w:val="18"/>
        </w:rPr>
      </w:pPr>
      <w:r w:rsidRPr="00991425">
        <w:rPr>
          <w:noProof w:val="0"/>
          <w:sz w:val="18"/>
          <w:szCs w:val="18"/>
        </w:rPr>
        <w:t xml:space="preserve">3. </w:t>
      </w:r>
      <w:r w:rsidR="00991425">
        <w:rPr>
          <w:noProof w:val="0"/>
          <w:sz w:val="18"/>
          <w:szCs w:val="18"/>
        </w:rPr>
        <w:tab/>
      </w:r>
      <w:r w:rsidRPr="00991425">
        <w:rPr>
          <w:noProof w:val="0"/>
          <w:sz w:val="18"/>
          <w:szCs w:val="18"/>
        </w:rPr>
        <w:t>Disponer mecanismos de no repetición que incluyan, entre otras, i) la provisión de tratamiento y atención en salud gratuita, integral e ininterrumpida a las personas con VIH/SIDA que no cuenten con recursos para ello; ii) la implementación de mecanismos serios y efectivos de supervisión y fiscalización periódica de los hospitales públicos a fin de asegurar que se brinde una atención integral en materia de salud a las personas con VIH/SIDA que no cuenten con recursos para ello</w:t>
      </w:r>
      <w:r w:rsidR="00DE3512" w:rsidRPr="00991425">
        <w:rPr>
          <w:noProof w:val="0"/>
          <w:sz w:val="18"/>
          <w:szCs w:val="18"/>
        </w:rPr>
        <w:t>,</w:t>
      </w:r>
      <w:r w:rsidRPr="00991425">
        <w:rPr>
          <w:noProof w:val="0"/>
          <w:sz w:val="18"/>
          <w:szCs w:val="18"/>
        </w:rPr>
        <w:t xml:space="preserve"> y iii) la implementación de programas de capacitación al personal de hospitales públicos a fin de asegurar que ejerzan sus labores de manera compatible con los estándares reconocidos internacionalmente y descritos en el informe.</w:t>
      </w:r>
    </w:p>
    <w:p w14:paraId="2F535294" w14:textId="77777777" w:rsidR="009A4176" w:rsidRPr="0060216C" w:rsidRDefault="009A4176" w:rsidP="009F7070">
      <w:pPr>
        <w:autoSpaceDE w:val="0"/>
        <w:autoSpaceDN w:val="0"/>
        <w:adjustRightInd w:val="0"/>
        <w:contextualSpacing/>
        <w:rPr>
          <w:noProof w:val="0"/>
          <w:szCs w:val="20"/>
        </w:rPr>
      </w:pPr>
    </w:p>
    <w:p w14:paraId="2A93D1C2" w14:textId="043D9231" w:rsidR="009A4176" w:rsidRPr="0060216C" w:rsidRDefault="009A4176" w:rsidP="009F7070">
      <w:pPr>
        <w:numPr>
          <w:ilvl w:val="1"/>
          <w:numId w:val="4"/>
        </w:numPr>
        <w:ind w:left="709" w:right="-6" w:firstLine="0"/>
        <w:contextualSpacing/>
        <w:rPr>
          <w:noProof w:val="0"/>
          <w:szCs w:val="20"/>
        </w:rPr>
      </w:pPr>
      <w:r w:rsidRPr="0060216C">
        <w:rPr>
          <w:i/>
          <w:noProof w:val="0"/>
          <w:szCs w:val="20"/>
        </w:rPr>
        <w:t xml:space="preserve">Notificación al Estado. – </w:t>
      </w:r>
      <w:r w:rsidRPr="0060216C">
        <w:rPr>
          <w:noProof w:val="0"/>
        </w:rPr>
        <w:t xml:space="preserve">El Informe de Fondo fue notificado al Estado el 2 de </w:t>
      </w:r>
      <w:r w:rsidR="00192B39" w:rsidRPr="0060216C">
        <w:rPr>
          <w:noProof w:val="0"/>
        </w:rPr>
        <w:t>junio de 2016</w:t>
      </w:r>
      <w:r w:rsidRPr="0060216C">
        <w:rPr>
          <w:noProof w:val="0"/>
        </w:rPr>
        <w:t>, otorgándose un plazo de dos meses para informar sobre el cumplimiento de las recomendaciones.</w:t>
      </w:r>
      <w:r w:rsidR="00921688" w:rsidRPr="0060216C">
        <w:rPr>
          <w:noProof w:val="0"/>
        </w:rPr>
        <w:t xml:space="preserve"> </w:t>
      </w:r>
      <w:r w:rsidR="00921688" w:rsidRPr="0060216C">
        <w:rPr>
          <w:noProof w:val="0"/>
          <w:lang w:val="es-CR"/>
        </w:rPr>
        <w:t>El Estado de Guatemala presentó un escrito en el cual inform</w:t>
      </w:r>
      <w:r w:rsidR="00EA1A8A" w:rsidRPr="0060216C">
        <w:rPr>
          <w:noProof w:val="0"/>
          <w:lang w:val="es-CR"/>
        </w:rPr>
        <w:t>ó</w:t>
      </w:r>
      <w:r w:rsidR="00921688" w:rsidRPr="0060216C">
        <w:rPr>
          <w:noProof w:val="0"/>
          <w:lang w:val="es-CR"/>
        </w:rPr>
        <w:t xml:space="preserve"> sobre acercamientos con los peticionarios y solicitó una prórroga, la cual fue otorgada por la </w:t>
      </w:r>
      <w:r w:rsidR="00EA1A8A" w:rsidRPr="0060216C">
        <w:rPr>
          <w:noProof w:val="0"/>
          <w:lang w:val="es-CR"/>
        </w:rPr>
        <w:t>Comisión</w:t>
      </w:r>
      <w:r w:rsidR="00921688" w:rsidRPr="0060216C">
        <w:rPr>
          <w:noProof w:val="0"/>
          <w:lang w:val="es-CR"/>
        </w:rPr>
        <w:t xml:space="preserve"> por un plazo de tres meses. Posteriormente, el Estado present</w:t>
      </w:r>
      <w:r w:rsidR="00EA1A8A" w:rsidRPr="0060216C">
        <w:rPr>
          <w:noProof w:val="0"/>
          <w:lang w:val="es-CR"/>
        </w:rPr>
        <w:t>ó</w:t>
      </w:r>
      <w:r w:rsidR="00921688" w:rsidRPr="0060216C">
        <w:rPr>
          <w:noProof w:val="0"/>
          <w:lang w:val="es-CR"/>
        </w:rPr>
        <w:t xml:space="preserve"> un nuevo informe en el cual hizo referencia a medidas de alcance general respecto de las personas con</w:t>
      </w:r>
      <w:r w:rsidR="00071964">
        <w:rPr>
          <w:noProof w:val="0"/>
          <w:lang w:val="es-CR"/>
        </w:rPr>
        <w:t xml:space="preserve"> el</w:t>
      </w:r>
      <w:r w:rsidR="00921688" w:rsidRPr="0060216C">
        <w:rPr>
          <w:noProof w:val="0"/>
          <w:lang w:val="es-CR"/>
        </w:rPr>
        <w:t xml:space="preserve"> VIH/SIDA en Guatemala.</w:t>
      </w:r>
    </w:p>
    <w:p w14:paraId="03E2B8BA" w14:textId="77777777" w:rsidR="00921688" w:rsidRPr="0060216C" w:rsidRDefault="00921688" w:rsidP="009F7070">
      <w:pPr>
        <w:ind w:left="284" w:right="-6"/>
        <w:contextualSpacing/>
        <w:rPr>
          <w:noProof w:val="0"/>
          <w:szCs w:val="20"/>
          <w:highlight w:val="yellow"/>
        </w:rPr>
      </w:pPr>
    </w:p>
    <w:p w14:paraId="2BD5625B" w14:textId="77777777" w:rsidR="009A4176" w:rsidRPr="0060216C" w:rsidRDefault="009A4176" w:rsidP="009F7070">
      <w:pPr>
        <w:numPr>
          <w:ilvl w:val="0"/>
          <w:numId w:val="3"/>
        </w:numPr>
        <w:ind w:left="0" w:right="-4" w:firstLine="0"/>
        <w:contextualSpacing/>
        <w:rPr>
          <w:noProof w:val="0"/>
          <w:szCs w:val="20"/>
        </w:rPr>
      </w:pPr>
      <w:r w:rsidRPr="0060216C">
        <w:rPr>
          <w:i/>
          <w:noProof w:val="0"/>
          <w:szCs w:val="20"/>
        </w:rPr>
        <w:t>Sometimiento a la Corte. –</w:t>
      </w:r>
      <w:r w:rsidRPr="0060216C">
        <w:rPr>
          <w:noProof w:val="0"/>
          <w:szCs w:val="20"/>
        </w:rPr>
        <w:t xml:space="preserve"> </w:t>
      </w:r>
      <w:r w:rsidR="00192B39" w:rsidRPr="0060216C">
        <w:rPr>
          <w:noProof w:val="0"/>
        </w:rPr>
        <w:t>El 2</w:t>
      </w:r>
      <w:r w:rsidRPr="0060216C">
        <w:rPr>
          <w:noProof w:val="0"/>
        </w:rPr>
        <w:t xml:space="preserve"> de </w:t>
      </w:r>
      <w:r w:rsidR="00192B39" w:rsidRPr="0060216C">
        <w:rPr>
          <w:noProof w:val="0"/>
        </w:rPr>
        <w:t>diciembre de 2016</w:t>
      </w:r>
      <w:r w:rsidRPr="0060216C">
        <w:rPr>
          <w:noProof w:val="0"/>
        </w:rPr>
        <w:t xml:space="preserve"> la Comisión sometió </w:t>
      </w:r>
      <w:r w:rsidRPr="0060216C">
        <w:rPr>
          <w:rFonts w:eastAsia="Calibri" w:cs="Verdana"/>
          <w:noProof w:val="0"/>
          <w:szCs w:val="20"/>
          <w:lang w:val="es-ES"/>
        </w:rPr>
        <w:t>a la jurisdicción de la Corte Interamericana la totalidad de los hechos y supuestas violaciones de derechos humanos reseñadas en el Informe de Fondo</w:t>
      </w:r>
      <w:r w:rsidRPr="0060216C">
        <w:rPr>
          <w:noProof w:val="0"/>
          <w:szCs w:val="20"/>
        </w:rPr>
        <w:t xml:space="preserve">. </w:t>
      </w:r>
    </w:p>
    <w:p w14:paraId="342B0C09" w14:textId="77777777" w:rsidR="009A4176" w:rsidRPr="0060216C" w:rsidRDefault="009A4176" w:rsidP="009F7070">
      <w:pPr>
        <w:ind w:right="-4"/>
        <w:contextualSpacing/>
        <w:rPr>
          <w:noProof w:val="0"/>
          <w:szCs w:val="20"/>
          <w:highlight w:val="yellow"/>
        </w:rPr>
      </w:pPr>
    </w:p>
    <w:p w14:paraId="727979FA" w14:textId="679A7076" w:rsidR="009A4176" w:rsidRDefault="009A4176" w:rsidP="009F7070">
      <w:pPr>
        <w:numPr>
          <w:ilvl w:val="0"/>
          <w:numId w:val="3"/>
        </w:numPr>
        <w:ind w:left="0" w:right="-4" w:firstLine="0"/>
        <w:contextualSpacing/>
        <w:rPr>
          <w:noProof w:val="0"/>
          <w:szCs w:val="20"/>
        </w:rPr>
      </w:pPr>
      <w:r w:rsidRPr="0060216C">
        <w:rPr>
          <w:i/>
          <w:noProof w:val="0"/>
          <w:szCs w:val="20"/>
        </w:rPr>
        <w:t>Solicitud</w:t>
      </w:r>
      <w:r w:rsidR="00991425">
        <w:rPr>
          <w:i/>
          <w:noProof w:val="0"/>
          <w:szCs w:val="20"/>
        </w:rPr>
        <w:t xml:space="preserve">es </w:t>
      </w:r>
      <w:r w:rsidRPr="0060216C">
        <w:rPr>
          <w:i/>
          <w:noProof w:val="0"/>
          <w:szCs w:val="20"/>
        </w:rPr>
        <w:t xml:space="preserve">de la Comisión. – </w:t>
      </w:r>
      <w:r w:rsidRPr="0060216C">
        <w:rPr>
          <w:noProof w:val="0"/>
          <w:szCs w:val="20"/>
        </w:rPr>
        <w:t xml:space="preserve">Con base en lo anterior, </w:t>
      </w:r>
      <w:r w:rsidR="00921688" w:rsidRPr="0060216C">
        <w:rPr>
          <w:noProof w:val="0"/>
          <w:szCs w:val="20"/>
        </w:rPr>
        <w:t xml:space="preserve">la Comisión </w:t>
      </w:r>
      <w:r w:rsidRPr="0060216C">
        <w:rPr>
          <w:noProof w:val="0"/>
          <w:szCs w:val="20"/>
        </w:rPr>
        <w:t xml:space="preserve">solicitó a la Corte que concluya y declare la responsabilidad internacional de </w:t>
      </w:r>
      <w:r w:rsidR="00921688" w:rsidRPr="0060216C">
        <w:rPr>
          <w:noProof w:val="0"/>
          <w:szCs w:val="20"/>
        </w:rPr>
        <w:t>Guatemala</w:t>
      </w:r>
      <w:r w:rsidRPr="0060216C">
        <w:rPr>
          <w:noProof w:val="0"/>
          <w:szCs w:val="20"/>
        </w:rPr>
        <w:t xml:space="preserve"> por la violación a los derechos indicados en las conclusiones del Informe de Fondo</w:t>
      </w:r>
      <w:r w:rsidRPr="0060216C">
        <w:rPr>
          <w:rFonts w:eastAsia="Calibri" w:cs="Arial"/>
          <w:bCs/>
          <w:noProof w:val="0"/>
          <w:szCs w:val="20"/>
          <w:lang w:val="es-CR"/>
        </w:rPr>
        <w:t xml:space="preserve">. </w:t>
      </w:r>
      <w:r w:rsidRPr="0060216C">
        <w:rPr>
          <w:rFonts w:eastAsia="Calibri" w:cs="Verdana"/>
          <w:noProof w:val="0"/>
          <w:szCs w:val="20"/>
        </w:rPr>
        <w:t>Adicionalmente</w:t>
      </w:r>
      <w:r w:rsidR="009F7070">
        <w:rPr>
          <w:rFonts w:eastAsia="Calibri" w:cs="Verdana"/>
          <w:noProof w:val="0"/>
          <w:szCs w:val="20"/>
        </w:rPr>
        <w:t>,</w:t>
      </w:r>
      <w:r w:rsidRPr="0060216C">
        <w:rPr>
          <w:noProof w:val="0"/>
          <w:szCs w:val="20"/>
        </w:rPr>
        <w:t xml:space="preserve"> solicitó a la Corte que ordene al Estado determinadas medidas de reparación</w:t>
      </w:r>
      <w:r w:rsidR="00991425">
        <w:rPr>
          <w:noProof w:val="0"/>
          <w:szCs w:val="20"/>
        </w:rPr>
        <w:t>.</w:t>
      </w:r>
    </w:p>
    <w:p w14:paraId="0321ABBC" w14:textId="77777777" w:rsidR="009F7070" w:rsidRDefault="009F7070" w:rsidP="009F7070">
      <w:pPr>
        <w:ind w:right="-4"/>
        <w:contextualSpacing/>
        <w:rPr>
          <w:noProof w:val="0"/>
          <w:szCs w:val="20"/>
        </w:rPr>
      </w:pPr>
    </w:p>
    <w:p w14:paraId="581291B6" w14:textId="77777777" w:rsidR="00FB1E38" w:rsidRDefault="00FB1E38" w:rsidP="009F7070">
      <w:pPr>
        <w:ind w:right="-4"/>
        <w:contextualSpacing/>
        <w:rPr>
          <w:noProof w:val="0"/>
          <w:szCs w:val="20"/>
        </w:rPr>
      </w:pPr>
    </w:p>
    <w:p w14:paraId="03B3574B" w14:textId="77777777" w:rsidR="00FB1E38" w:rsidRPr="0060216C" w:rsidRDefault="00FB1E38" w:rsidP="009F7070">
      <w:pPr>
        <w:ind w:right="-4"/>
        <w:contextualSpacing/>
        <w:rPr>
          <w:noProof w:val="0"/>
          <w:szCs w:val="20"/>
        </w:rPr>
      </w:pPr>
    </w:p>
    <w:p w14:paraId="39495B50" w14:textId="1D96BAF1" w:rsidR="006761DC" w:rsidRDefault="006761DC" w:rsidP="009F7070">
      <w:pPr>
        <w:pStyle w:val="Ttulo1"/>
        <w:spacing w:before="0" w:after="0"/>
        <w:rPr>
          <w:lang w:val="es-ES_tradnl"/>
        </w:rPr>
      </w:pPr>
      <w:bookmarkStart w:id="10" w:name="_Toc359314415"/>
      <w:bookmarkStart w:id="11" w:name="_Toc361671572"/>
      <w:bookmarkStart w:id="12" w:name="_Toc361671992"/>
      <w:bookmarkStart w:id="13" w:name="_Toc361732789"/>
      <w:bookmarkStart w:id="14" w:name="_Toc361732832"/>
      <w:bookmarkStart w:id="15" w:name="_Toc362456863"/>
      <w:bookmarkStart w:id="16" w:name="_Toc365021392"/>
      <w:bookmarkStart w:id="17" w:name="_Toc369076778"/>
      <w:bookmarkStart w:id="18" w:name="_Toc369989362"/>
      <w:bookmarkStart w:id="19" w:name="_Toc369989449"/>
      <w:bookmarkStart w:id="20" w:name="_Toc369989730"/>
      <w:bookmarkStart w:id="21" w:name="_Toc438132270"/>
      <w:bookmarkStart w:id="22" w:name="_Toc311128156"/>
      <w:bookmarkStart w:id="23" w:name="_Toc311128353"/>
      <w:bookmarkStart w:id="24" w:name="_Toc486693352"/>
      <w:bookmarkStart w:id="25" w:name="_Toc486842768"/>
      <w:bookmarkStart w:id="26" w:name="_Toc486842906"/>
      <w:bookmarkStart w:id="27" w:name="_Toc508792631"/>
      <w:bookmarkStart w:id="28" w:name="_Toc510690626"/>
      <w:bookmarkStart w:id="29" w:name="_Toc527466463"/>
      <w:r w:rsidRPr="0060216C">
        <w:rPr>
          <w:lang w:val="es-ES_tradnl"/>
        </w:rPr>
        <w:t>II</w:t>
      </w:r>
      <w:r w:rsidR="001D1187">
        <w:rPr>
          <w:lang w:val="es-ES_tradnl"/>
        </w:rPr>
        <w:t>.</w:t>
      </w:r>
      <w:r w:rsidRPr="0060216C">
        <w:rPr>
          <w:color w:val="FFFFFF" w:themeColor="background1"/>
          <w:lang w:val="es-ES_tradnl"/>
        </w:rPr>
        <w:t>.</w:t>
      </w:r>
      <w:r w:rsidRPr="0060216C">
        <w:rPr>
          <w:lang w:val="es-ES_tradnl"/>
        </w:rPr>
        <w:br/>
        <w:t>PROCEDIMIENTO ANTE LA CORTE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0A0053C" w14:textId="77777777" w:rsidR="009F7070" w:rsidRPr="009F7070" w:rsidRDefault="009F7070" w:rsidP="009F7070">
      <w:pPr>
        <w:rPr>
          <w:lang w:eastAsia="es-ES"/>
        </w:rPr>
      </w:pPr>
    </w:p>
    <w:p w14:paraId="4E40F0B1" w14:textId="3595C552" w:rsidR="009B1CA2" w:rsidRPr="000415C0" w:rsidRDefault="009B1CA2" w:rsidP="009F7070">
      <w:pPr>
        <w:pStyle w:val="Estilo1"/>
        <w:numPr>
          <w:ilvl w:val="0"/>
          <w:numId w:val="3"/>
        </w:numPr>
        <w:tabs>
          <w:tab w:val="left" w:pos="0"/>
        </w:tabs>
        <w:spacing w:after="0"/>
        <w:ind w:left="0" w:right="-4" w:firstLine="0"/>
        <w:rPr>
          <w:szCs w:val="20"/>
        </w:rPr>
      </w:pPr>
      <w:r w:rsidRPr="0060216C">
        <w:rPr>
          <w:szCs w:val="20"/>
          <w:lang w:eastAsia="es-ES"/>
        </w:rPr>
        <w:t xml:space="preserve">Notificación al Estado y a los representantes. – </w:t>
      </w:r>
      <w:r w:rsidRPr="0060216C">
        <w:rPr>
          <w:i w:val="0"/>
          <w:szCs w:val="20"/>
        </w:rPr>
        <w:t xml:space="preserve">El sometimiento del caso fue notificado al Estado y a los representantes </w:t>
      </w:r>
      <w:r w:rsidR="00D5565D" w:rsidRPr="0060216C">
        <w:rPr>
          <w:i w:val="0"/>
          <w:szCs w:val="20"/>
        </w:rPr>
        <w:t xml:space="preserve">de las presuntas víctimas </w:t>
      </w:r>
      <w:r w:rsidR="00E83E54" w:rsidRPr="0060216C">
        <w:rPr>
          <w:i w:val="0"/>
          <w:szCs w:val="20"/>
        </w:rPr>
        <w:t>el 27 de enero de 2017</w:t>
      </w:r>
      <w:r w:rsidRPr="0060216C">
        <w:rPr>
          <w:i w:val="0"/>
          <w:szCs w:val="20"/>
        </w:rPr>
        <w:t>.</w:t>
      </w:r>
    </w:p>
    <w:p w14:paraId="3EA14E65" w14:textId="77777777" w:rsidR="000415C0" w:rsidRPr="0060216C" w:rsidRDefault="000415C0" w:rsidP="000415C0">
      <w:pPr>
        <w:pStyle w:val="Estilo1"/>
        <w:tabs>
          <w:tab w:val="left" w:pos="0"/>
        </w:tabs>
        <w:spacing w:after="0"/>
        <w:ind w:left="0" w:right="-4" w:firstLine="0"/>
        <w:rPr>
          <w:szCs w:val="20"/>
        </w:rPr>
      </w:pPr>
    </w:p>
    <w:p w14:paraId="2C5E8DF8" w14:textId="11528122" w:rsidR="009B1CA2" w:rsidRDefault="009B1CA2" w:rsidP="009F7070">
      <w:pPr>
        <w:pStyle w:val="Estilo1"/>
        <w:numPr>
          <w:ilvl w:val="0"/>
          <w:numId w:val="3"/>
        </w:numPr>
        <w:tabs>
          <w:tab w:val="left" w:pos="0"/>
        </w:tabs>
        <w:spacing w:after="0"/>
        <w:ind w:left="0" w:right="-4" w:firstLine="0"/>
        <w:rPr>
          <w:szCs w:val="20"/>
        </w:rPr>
      </w:pPr>
      <w:r w:rsidRPr="0060216C">
        <w:rPr>
          <w:szCs w:val="20"/>
          <w:lang w:eastAsia="es-ES"/>
        </w:rPr>
        <w:lastRenderedPageBreak/>
        <w:t xml:space="preserve">Escrito de solicitudes, argumentos y pruebas. – </w:t>
      </w:r>
      <w:r w:rsidRPr="0060216C">
        <w:rPr>
          <w:i w:val="0"/>
          <w:szCs w:val="20"/>
        </w:rPr>
        <w:t xml:space="preserve">El </w:t>
      </w:r>
      <w:r w:rsidR="00D6437F" w:rsidRPr="0060216C">
        <w:rPr>
          <w:i w:val="0"/>
          <w:szCs w:val="20"/>
        </w:rPr>
        <w:t xml:space="preserve">30 de marzo </w:t>
      </w:r>
      <w:r w:rsidR="002C4118" w:rsidRPr="0060216C">
        <w:rPr>
          <w:i w:val="0"/>
          <w:szCs w:val="20"/>
        </w:rPr>
        <w:t>de 2017</w:t>
      </w:r>
      <w:r w:rsidRPr="0060216C">
        <w:rPr>
          <w:i w:val="0"/>
          <w:szCs w:val="20"/>
        </w:rPr>
        <w:t xml:space="preserve"> </w:t>
      </w:r>
      <w:r w:rsidR="00D55A40">
        <w:rPr>
          <w:i w:val="0"/>
          <w:szCs w:val="20"/>
        </w:rPr>
        <w:t>la doctora Cristina Calderón, la Asociación de Salud Integral (ASI) y el Centro por la Justicia y el Derecho Internacional (CEJIL) (en adelante “los representantes”)</w:t>
      </w:r>
      <w:r w:rsidRPr="0060216C">
        <w:rPr>
          <w:i w:val="0"/>
          <w:szCs w:val="20"/>
        </w:rPr>
        <w:t xml:space="preserve"> presentaron su escrito de solicitudes, argumentos y pruebas (en adelante “escrito de solicitudes y argumentos”), en los términos de los artículos 25 y 40 del Reglamento de la Corte</w:t>
      </w:r>
      <w:r w:rsidR="007B4398">
        <w:rPr>
          <w:i w:val="0"/>
          <w:szCs w:val="20"/>
        </w:rPr>
        <w:t>. Los representantes</w:t>
      </w:r>
      <w:r w:rsidRPr="0060216C">
        <w:rPr>
          <w:i w:val="0"/>
          <w:szCs w:val="20"/>
        </w:rPr>
        <w:t xml:space="preserve"> coincidieron con lo alegado por la Comisión y agregaron que el Estado también era responsable por </w:t>
      </w:r>
      <w:r w:rsidR="00475F55">
        <w:rPr>
          <w:i w:val="0"/>
          <w:szCs w:val="20"/>
        </w:rPr>
        <w:t>la violación del derecho a la salud a la luz del artículo 26 y en relación con los artículos 1.1 y 2 de la Convención. Asimismo, los representantes solicitaron que se ordenara al Estado adoptar diversas medidas de reparación y el reintegro de determinadas costas y gastos. Finalmente, los representantes solicitaron acogerse al Fondo de Asistencia Legal de Víctimas de la Corte Interamericana (en adelante “el Fondo de Asistencia Legal”)</w:t>
      </w:r>
      <w:r w:rsidR="00D55A40">
        <w:rPr>
          <w:i w:val="0"/>
          <w:szCs w:val="20"/>
        </w:rPr>
        <w:t>.</w:t>
      </w:r>
    </w:p>
    <w:p w14:paraId="21D95B81" w14:textId="77777777" w:rsidR="00D55A40" w:rsidRPr="00D55A40" w:rsidRDefault="00D55A40" w:rsidP="00D55A40">
      <w:pPr>
        <w:pStyle w:val="Estilo1"/>
        <w:tabs>
          <w:tab w:val="left" w:pos="0"/>
        </w:tabs>
        <w:spacing w:after="0"/>
        <w:ind w:left="0" w:right="-4" w:firstLine="0"/>
        <w:rPr>
          <w:i w:val="0"/>
          <w:szCs w:val="20"/>
        </w:rPr>
      </w:pPr>
    </w:p>
    <w:p w14:paraId="42792A80" w14:textId="42FD7128" w:rsidR="009B1CA2" w:rsidRPr="00D55A40" w:rsidRDefault="009B1CA2" w:rsidP="009F7070">
      <w:pPr>
        <w:pStyle w:val="Estilo1"/>
        <w:numPr>
          <w:ilvl w:val="0"/>
          <w:numId w:val="3"/>
        </w:numPr>
        <w:tabs>
          <w:tab w:val="left" w:pos="0"/>
        </w:tabs>
        <w:spacing w:after="0"/>
        <w:ind w:left="0" w:right="-4" w:firstLine="0"/>
        <w:rPr>
          <w:szCs w:val="20"/>
        </w:rPr>
      </w:pPr>
      <w:r w:rsidRPr="0060216C">
        <w:rPr>
          <w:rFonts w:eastAsia="Calibri"/>
          <w:bCs/>
          <w:szCs w:val="20"/>
        </w:rPr>
        <w:t>Escrito de contestación</w:t>
      </w:r>
      <w:r w:rsidRPr="007F07E3">
        <w:rPr>
          <w:rStyle w:val="Refdenotaalpie"/>
          <w:rFonts w:eastAsia="Calibri"/>
          <w:bCs/>
          <w:i w:val="0"/>
        </w:rPr>
        <w:footnoteReference w:id="3"/>
      </w:r>
      <w:r w:rsidRPr="0060216C">
        <w:rPr>
          <w:rFonts w:eastAsia="Calibri"/>
          <w:bCs/>
          <w:szCs w:val="20"/>
        </w:rPr>
        <w:t xml:space="preserve">. – </w:t>
      </w:r>
      <w:r w:rsidRPr="0060216C">
        <w:rPr>
          <w:i w:val="0"/>
          <w:szCs w:val="20"/>
        </w:rPr>
        <w:t xml:space="preserve">El </w:t>
      </w:r>
      <w:r w:rsidR="00995DD7" w:rsidRPr="0060216C">
        <w:rPr>
          <w:i w:val="0"/>
          <w:szCs w:val="20"/>
        </w:rPr>
        <w:t>3</w:t>
      </w:r>
      <w:r w:rsidRPr="0060216C">
        <w:rPr>
          <w:i w:val="0"/>
          <w:szCs w:val="20"/>
        </w:rPr>
        <w:t xml:space="preserve"> d</w:t>
      </w:r>
      <w:r w:rsidR="00995DD7" w:rsidRPr="0060216C">
        <w:rPr>
          <w:i w:val="0"/>
          <w:szCs w:val="20"/>
        </w:rPr>
        <w:t>e julio de 2017</w:t>
      </w:r>
      <w:r w:rsidRPr="0060216C">
        <w:rPr>
          <w:i w:val="0"/>
          <w:szCs w:val="20"/>
        </w:rPr>
        <w:t xml:space="preserve"> el Estado presentó ante la Corte su escrito de</w:t>
      </w:r>
      <w:r w:rsidR="00E64224" w:rsidRPr="0060216C">
        <w:rPr>
          <w:i w:val="0"/>
          <w:szCs w:val="20"/>
        </w:rPr>
        <w:t xml:space="preserve"> interposición de</w:t>
      </w:r>
      <w:r w:rsidRPr="0060216C">
        <w:rPr>
          <w:i w:val="0"/>
          <w:szCs w:val="20"/>
        </w:rPr>
        <w:t xml:space="preserve"> </w:t>
      </w:r>
      <w:r w:rsidR="00995DD7" w:rsidRPr="0060216C">
        <w:rPr>
          <w:i w:val="0"/>
          <w:szCs w:val="20"/>
        </w:rPr>
        <w:t xml:space="preserve">excepción preliminar y </w:t>
      </w:r>
      <w:r w:rsidRPr="0060216C">
        <w:rPr>
          <w:i w:val="0"/>
          <w:szCs w:val="20"/>
        </w:rPr>
        <w:t>contestación al sometimiento del caso y al escrito de solicitudes y argumentos (en adelante “contestación” o “escrito de contestación”), en los términos del artículo 41 del Reglamento del Tribunal</w:t>
      </w:r>
      <w:r w:rsidR="00995DD7" w:rsidRPr="0060216C">
        <w:rPr>
          <w:i w:val="0"/>
          <w:szCs w:val="20"/>
        </w:rPr>
        <w:t>. El Estado interpuso una excepción preliminar</w:t>
      </w:r>
      <w:r w:rsidR="00475F55">
        <w:rPr>
          <w:i w:val="0"/>
          <w:szCs w:val="20"/>
        </w:rPr>
        <w:t xml:space="preserve"> por falta de agotamiento de los recursos internos</w:t>
      </w:r>
      <w:r w:rsidR="00995DD7" w:rsidRPr="0060216C">
        <w:rPr>
          <w:i w:val="0"/>
          <w:szCs w:val="20"/>
        </w:rPr>
        <w:t xml:space="preserve"> y se opuso a las violaciones alegadas</w:t>
      </w:r>
      <w:r w:rsidRPr="0060216C">
        <w:rPr>
          <w:i w:val="0"/>
        </w:rPr>
        <w:t>.</w:t>
      </w:r>
    </w:p>
    <w:p w14:paraId="395D6EB0" w14:textId="77777777" w:rsidR="00D55A40" w:rsidRPr="00D55A40" w:rsidRDefault="00D55A40" w:rsidP="00D55A40">
      <w:pPr>
        <w:pStyle w:val="Estilo1"/>
        <w:tabs>
          <w:tab w:val="left" w:pos="0"/>
        </w:tabs>
        <w:spacing w:after="0"/>
        <w:ind w:left="0" w:right="-4" w:firstLine="0"/>
        <w:rPr>
          <w:i w:val="0"/>
          <w:szCs w:val="20"/>
        </w:rPr>
      </w:pPr>
    </w:p>
    <w:p w14:paraId="2BA8FE21" w14:textId="6266DF05" w:rsidR="00D06499" w:rsidRPr="00D55A40" w:rsidRDefault="00D06499" w:rsidP="009F7070">
      <w:pPr>
        <w:pStyle w:val="Estilo1"/>
        <w:numPr>
          <w:ilvl w:val="0"/>
          <w:numId w:val="3"/>
        </w:numPr>
        <w:tabs>
          <w:tab w:val="left" w:pos="0"/>
        </w:tabs>
        <w:spacing w:after="0"/>
        <w:ind w:left="0" w:right="-4" w:firstLine="0"/>
        <w:rPr>
          <w:szCs w:val="20"/>
        </w:rPr>
      </w:pPr>
      <w:r>
        <w:rPr>
          <w:rFonts w:eastAsia="Calibri"/>
          <w:bCs/>
          <w:szCs w:val="20"/>
        </w:rPr>
        <w:t>Fondo de Asistencia Legal.</w:t>
      </w:r>
      <w:r>
        <w:rPr>
          <w:szCs w:val="20"/>
        </w:rPr>
        <w:t xml:space="preserve"> </w:t>
      </w:r>
      <w:r w:rsidRPr="0060216C">
        <w:rPr>
          <w:rFonts w:eastAsia="Calibri"/>
          <w:bCs/>
          <w:szCs w:val="20"/>
        </w:rPr>
        <w:t>–</w:t>
      </w:r>
      <w:r>
        <w:rPr>
          <w:rFonts w:eastAsia="Calibri"/>
          <w:bCs/>
          <w:szCs w:val="20"/>
        </w:rPr>
        <w:t xml:space="preserve"> </w:t>
      </w:r>
      <w:r w:rsidR="006226C4">
        <w:rPr>
          <w:rFonts w:eastAsia="Calibri"/>
          <w:bCs/>
          <w:i w:val="0"/>
          <w:szCs w:val="20"/>
        </w:rPr>
        <w:t>Mediante resolución de 24 de julio de 2017 el Presidente de la Corte declaró procedente la solicitud presentada por los representantes para acogerse al Fondo de Asistencia Legal</w:t>
      </w:r>
      <w:r w:rsidR="006226C4">
        <w:rPr>
          <w:rStyle w:val="Refdenotaalpie"/>
          <w:rFonts w:eastAsia="Calibri"/>
          <w:bCs/>
          <w:i w:val="0"/>
        </w:rPr>
        <w:footnoteReference w:id="4"/>
      </w:r>
      <w:r w:rsidR="00D55A40">
        <w:rPr>
          <w:rFonts w:eastAsia="Calibri"/>
          <w:bCs/>
          <w:i w:val="0"/>
          <w:szCs w:val="20"/>
        </w:rPr>
        <w:t>.</w:t>
      </w:r>
    </w:p>
    <w:p w14:paraId="1F86AF17" w14:textId="77777777" w:rsidR="00D55A40" w:rsidRPr="00D55A40" w:rsidRDefault="00D55A40" w:rsidP="00D55A40">
      <w:pPr>
        <w:pStyle w:val="Estilo1"/>
        <w:tabs>
          <w:tab w:val="left" w:pos="0"/>
        </w:tabs>
        <w:spacing w:after="0"/>
        <w:ind w:left="0" w:right="-4" w:firstLine="0"/>
        <w:rPr>
          <w:i w:val="0"/>
          <w:szCs w:val="20"/>
        </w:rPr>
      </w:pPr>
    </w:p>
    <w:p w14:paraId="3D604E50" w14:textId="3F6F9997" w:rsidR="00E83E54" w:rsidRPr="00D55A40" w:rsidRDefault="00E83E54" w:rsidP="009F7070">
      <w:pPr>
        <w:pStyle w:val="Estilo1"/>
        <w:numPr>
          <w:ilvl w:val="0"/>
          <w:numId w:val="3"/>
        </w:numPr>
        <w:tabs>
          <w:tab w:val="left" w:pos="0"/>
        </w:tabs>
        <w:spacing w:after="0"/>
        <w:ind w:left="0" w:right="-4" w:firstLine="0"/>
        <w:rPr>
          <w:b/>
          <w:bCs/>
          <w:i w:val="0"/>
          <w:szCs w:val="20"/>
          <w:u w:val="single"/>
          <w:lang w:val="es-CR"/>
        </w:rPr>
      </w:pPr>
      <w:r w:rsidRPr="0060216C">
        <w:rPr>
          <w:szCs w:val="20"/>
          <w:lang w:val="es-CR"/>
        </w:rPr>
        <w:t>O</w:t>
      </w:r>
      <w:r w:rsidR="00A31FBB">
        <w:rPr>
          <w:szCs w:val="20"/>
          <w:lang w:val="es-CR"/>
        </w:rPr>
        <w:t>bservaciones a la excepción preliminar</w:t>
      </w:r>
      <w:r w:rsidRPr="0060216C">
        <w:rPr>
          <w:szCs w:val="20"/>
          <w:lang w:val="es-CR"/>
        </w:rPr>
        <w:t xml:space="preserve">. </w:t>
      </w:r>
      <w:r w:rsidR="00E64224" w:rsidRPr="0060216C">
        <w:rPr>
          <w:i w:val="0"/>
          <w:szCs w:val="20"/>
          <w:lang w:val="es-CR"/>
        </w:rPr>
        <w:t>– El 20</w:t>
      </w:r>
      <w:r w:rsidRPr="0060216C">
        <w:rPr>
          <w:i w:val="0"/>
          <w:szCs w:val="20"/>
          <w:lang w:val="es-CR"/>
        </w:rPr>
        <w:t xml:space="preserve"> de </w:t>
      </w:r>
      <w:r w:rsidR="00E64224" w:rsidRPr="0060216C">
        <w:rPr>
          <w:i w:val="0"/>
          <w:szCs w:val="20"/>
          <w:lang w:val="es-CR"/>
        </w:rPr>
        <w:t>septiembre de 2017</w:t>
      </w:r>
      <w:r w:rsidRPr="0060216C">
        <w:rPr>
          <w:i w:val="0"/>
          <w:szCs w:val="20"/>
          <w:lang w:val="es-CR"/>
        </w:rPr>
        <w:t xml:space="preserve"> los representantes y la Comisión Interamericana pre</w:t>
      </w:r>
      <w:r w:rsidR="002E14F2" w:rsidRPr="0060216C">
        <w:rPr>
          <w:i w:val="0"/>
          <w:szCs w:val="20"/>
          <w:lang w:val="es-CR"/>
        </w:rPr>
        <w:t>sentaron sus observaciones a la excepción</w:t>
      </w:r>
      <w:r w:rsidRPr="0060216C">
        <w:rPr>
          <w:i w:val="0"/>
          <w:szCs w:val="20"/>
          <w:lang w:val="es-CR"/>
        </w:rPr>
        <w:t xml:space="preserve"> preliminar</w:t>
      </w:r>
      <w:r w:rsidR="002E14F2" w:rsidRPr="0060216C">
        <w:rPr>
          <w:i w:val="0"/>
          <w:szCs w:val="20"/>
          <w:lang w:val="es-CR"/>
        </w:rPr>
        <w:t xml:space="preserve"> interpuesta</w:t>
      </w:r>
      <w:r w:rsidR="007F07E3">
        <w:rPr>
          <w:i w:val="0"/>
          <w:szCs w:val="20"/>
          <w:lang w:val="es-CR"/>
        </w:rPr>
        <w:t xml:space="preserve"> por el Estado.</w:t>
      </w:r>
    </w:p>
    <w:p w14:paraId="567DCC3F" w14:textId="77777777" w:rsidR="00D55A40" w:rsidRPr="00D55A40" w:rsidRDefault="00D55A40" w:rsidP="00D55A40">
      <w:pPr>
        <w:pStyle w:val="Estilo1"/>
        <w:tabs>
          <w:tab w:val="left" w:pos="0"/>
        </w:tabs>
        <w:spacing w:after="0"/>
        <w:ind w:left="0" w:right="-4" w:firstLine="0"/>
        <w:rPr>
          <w:bCs/>
          <w:i w:val="0"/>
          <w:szCs w:val="20"/>
          <w:u w:val="single"/>
          <w:lang w:val="es-CR"/>
        </w:rPr>
      </w:pPr>
    </w:p>
    <w:p w14:paraId="32A9166D" w14:textId="3081F39F" w:rsidR="009B1CA2" w:rsidRDefault="009B1CA2" w:rsidP="009F7070">
      <w:pPr>
        <w:pStyle w:val="Estilo1"/>
        <w:numPr>
          <w:ilvl w:val="0"/>
          <w:numId w:val="3"/>
        </w:numPr>
        <w:tabs>
          <w:tab w:val="left" w:pos="0"/>
        </w:tabs>
        <w:spacing w:after="0"/>
        <w:ind w:left="0" w:right="-4" w:firstLine="0"/>
        <w:rPr>
          <w:i w:val="0"/>
          <w:szCs w:val="20"/>
          <w:lang w:eastAsia="es-ES"/>
        </w:rPr>
      </w:pPr>
      <w:r w:rsidRPr="0060216C">
        <w:rPr>
          <w:szCs w:val="20"/>
          <w:lang w:eastAsia="es-ES"/>
        </w:rPr>
        <w:t xml:space="preserve">Amici </w:t>
      </w:r>
      <w:proofErr w:type="spellStart"/>
      <w:r w:rsidRPr="0060216C">
        <w:rPr>
          <w:szCs w:val="20"/>
          <w:lang w:eastAsia="es-ES"/>
        </w:rPr>
        <w:t>curiae</w:t>
      </w:r>
      <w:proofErr w:type="spellEnd"/>
      <w:r w:rsidRPr="0060216C">
        <w:rPr>
          <w:szCs w:val="20"/>
          <w:lang w:eastAsia="es-ES"/>
        </w:rPr>
        <w:t xml:space="preserve">.- </w:t>
      </w:r>
      <w:r w:rsidRPr="0060216C">
        <w:rPr>
          <w:i w:val="0"/>
          <w:szCs w:val="20"/>
          <w:lang w:eastAsia="es-ES"/>
        </w:rPr>
        <w:t xml:space="preserve">El Tribunal recibió </w:t>
      </w:r>
      <w:r w:rsidR="00CB1036" w:rsidRPr="0060216C">
        <w:rPr>
          <w:i w:val="0"/>
          <w:szCs w:val="20"/>
          <w:lang w:eastAsia="es-ES"/>
        </w:rPr>
        <w:t>tres</w:t>
      </w:r>
      <w:r w:rsidRPr="0060216C">
        <w:rPr>
          <w:i w:val="0"/>
          <w:szCs w:val="20"/>
          <w:lang w:eastAsia="es-ES"/>
        </w:rPr>
        <w:t xml:space="preserve"> escritos de </w:t>
      </w:r>
      <w:proofErr w:type="spellStart"/>
      <w:r w:rsidRPr="0060216C">
        <w:rPr>
          <w:szCs w:val="20"/>
          <w:lang w:eastAsia="es-ES"/>
        </w:rPr>
        <w:t>amicus</w:t>
      </w:r>
      <w:proofErr w:type="spellEnd"/>
      <w:r w:rsidRPr="0060216C">
        <w:rPr>
          <w:szCs w:val="20"/>
          <w:lang w:eastAsia="es-ES"/>
        </w:rPr>
        <w:t xml:space="preserve"> </w:t>
      </w:r>
      <w:proofErr w:type="spellStart"/>
      <w:r w:rsidRPr="0060216C">
        <w:rPr>
          <w:szCs w:val="20"/>
          <w:lang w:eastAsia="es-ES"/>
        </w:rPr>
        <w:t>curiae</w:t>
      </w:r>
      <w:proofErr w:type="spellEnd"/>
      <w:r w:rsidRPr="0060216C">
        <w:rPr>
          <w:i w:val="0"/>
          <w:szCs w:val="20"/>
          <w:lang w:val="es-CR"/>
        </w:rPr>
        <w:t xml:space="preserve"> presentados por</w:t>
      </w:r>
      <w:r w:rsidRPr="0060216C">
        <w:rPr>
          <w:i w:val="0"/>
          <w:szCs w:val="20"/>
          <w:lang w:eastAsia="es-ES"/>
        </w:rPr>
        <w:t xml:space="preserve">: 1) </w:t>
      </w:r>
      <w:r w:rsidR="0054272D" w:rsidRPr="0060216C">
        <w:rPr>
          <w:i w:val="0"/>
          <w:szCs w:val="20"/>
          <w:lang w:eastAsia="es-ES"/>
        </w:rPr>
        <w:t>alumnos de la Clínica del Sistema Interamericano de Protección de Derechos Humanos de la Universidad Carlos III de Madrid</w:t>
      </w:r>
      <w:r w:rsidR="00BB34F7">
        <w:rPr>
          <w:rStyle w:val="Refdenotaalpie"/>
          <w:i w:val="0"/>
          <w:lang w:eastAsia="es-ES"/>
        </w:rPr>
        <w:footnoteReference w:id="5"/>
      </w:r>
      <w:r w:rsidR="002222FF" w:rsidRPr="0060216C">
        <w:rPr>
          <w:i w:val="0"/>
          <w:szCs w:val="20"/>
          <w:lang w:eastAsia="es-ES"/>
        </w:rPr>
        <w:t xml:space="preserve">; 2) </w:t>
      </w:r>
      <w:r w:rsidR="00FB1E38">
        <w:rPr>
          <w:i w:val="0"/>
          <w:szCs w:val="20"/>
          <w:lang w:eastAsia="es-ES"/>
        </w:rPr>
        <w:t xml:space="preserve">la </w:t>
      </w:r>
      <w:r w:rsidR="002222FF" w:rsidRPr="0060216C">
        <w:rPr>
          <w:i w:val="0"/>
          <w:szCs w:val="20"/>
          <w:lang w:eastAsia="es-ES"/>
        </w:rPr>
        <w:t xml:space="preserve">Clínica de Derechos Humanos de la Escuela de Derecho </w:t>
      </w:r>
      <w:r w:rsidR="002222FF" w:rsidRPr="0060216C">
        <w:rPr>
          <w:i w:val="0"/>
          <w:szCs w:val="20"/>
          <w:lang w:eastAsia="es-ES"/>
        </w:rPr>
        <w:lastRenderedPageBreak/>
        <w:t xml:space="preserve">y la Escuela de Medicina </w:t>
      </w:r>
      <w:r w:rsidR="00FB1E38">
        <w:rPr>
          <w:i w:val="0"/>
          <w:szCs w:val="20"/>
          <w:lang w:eastAsia="es-ES"/>
        </w:rPr>
        <w:t>Dell de la Universidad de Texas en</w:t>
      </w:r>
      <w:r w:rsidR="002222FF" w:rsidRPr="0060216C">
        <w:rPr>
          <w:i w:val="0"/>
          <w:szCs w:val="20"/>
          <w:lang w:eastAsia="es-ES"/>
        </w:rPr>
        <w:t xml:space="preserve"> Austin</w:t>
      </w:r>
      <w:r w:rsidR="00BB34F7">
        <w:rPr>
          <w:rStyle w:val="Refdenotaalpie"/>
          <w:i w:val="0"/>
          <w:lang w:eastAsia="es-ES"/>
        </w:rPr>
        <w:footnoteReference w:id="6"/>
      </w:r>
      <w:r w:rsidR="00BB34F7">
        <w:rPr>
          <w:i w:val="0"/>
          <w:szCs w:val="20"/>
          <w:lang w:eastAsia="es-ES"/>
        </w:rPr>
        <w:t>;</w:t>
      </w:r>
      <w:r w:rsidR="00CB1036" w:rsidRPr="0060216C">
        <w:rPr>
          <w:i w:val="0"/>
          <w:szCs w:val="20"/>
          <w:lang w:eastAsia="es-ES"/>
        </w:rPr>
        <w:t xml:space="preserve"> y 3) del Centro de Estudios de Derechos Humanos de la Universidad Autónoma de Yucatán</w:t>
      </w:r>
      <w:r w:rsidR="00BB34F7">
        <w:rPr>
          <w:rStyle w:val="Refdenotaalpie"/>
          <w:i w:val="0"/>
          <w:lang w:eastAsia="es-ES"/>
        </w:rPr>
        <w:footnoteReference w:id="7"/>
      </w:r>
      <w:r w:rsidR="00D55A40">
        <w:rPr>
          <w:i w:val="0"/>
          <w:szCs w:val="20"/>
          <w:lang w:eastAsia="es-ES"/>
        </w:rPr>
        <w:t>.</w:t>
      </w:r>
    </w:p>
    <w:p w14:paraId="09288DAE" w14:textId="77777777" w:rsidR="00D55A40" w:rsidRPr="0060216C" w:rsidRDefault="00D55A40" w:rsidP="00D55A40">
      <w:pPr>
        <w:pStyle w:val="Estilo1"/>
        <w:tabs>
          <w:tab w:val="left" w:pos="0"/>
        </w:tabs>
        <w:spacing w:after="0"/>
        <w:ind w:left="0" w:right="-4" w:firstLine="0"/>
        <w:rPr>
          <w:i w:val="0"/>
          <w:szCs w:val="20"/>
          <w:lang w:eastAsia="es-ES"/>
        </w:rPr>
      </w:pPr>
    </w:p>
    <w:p w14:paraId="1BCE1264" w14:textId="045BC432" w:rsidR="009B1CA2" w:rsidRDefault="009B1CA2" w:rsidP="009F7070">
      <w:pPr>
        <w:pStyle w:val="Estilo1"/>
        <w:numPr>
          <w:ilvl w:val="0"/>
          <w:numId w:val="3"/>
        </w:numPr>
        <w:tabs>
          <w:tab w:val="left" w:pos="0"/>
        </w:tabs>
        <w:spacing w:after="0"/>
        <w:ind w:left="0" w:right="-4" w:firstLine="0"/>
        <w:rPr>
          <w:i w:val="0"/>
          <w:szCs w:val="20"/>
          <w:lang w:eastAsia="es-ES"/>
        </w:rPr>
      </w:pPr>
      <w:r w:rsidRPr="0060216C">
        <w:rPr>
          <w:szCs w:val="20"/>
          <w:lang w:eastAsia="es-ES"/>
        </w:rPr>
        <w:t>Audiencia pública.-</w:t>
      </w:r>
      <w:r w:rsidRPr="0060216C">
        <w:rPr>
          <w:i w:val="0"/>
          <w:szCs w:val="20"/>
          <w:lang w:eastAsia="es-ES"/>
        </w:rPr>
        <w:t xml:space="preserve"> Mediante la Resolución de </w:t>
      </w:r>
      <w:r w:rsidR="001D34D3" w:rsidRPr="0060216C">
        <w:rPr>
          <w:i w:val="0"/>
          <w:szCs w:val="20"/>
          <w:lang w:eastAsia="es-ES"/>
        </w:rPr>
        <w:t>8</w:t>
      </w:r>
      <w:r w:rsidRPr="0060216C">
        <w:rPr>
          <w:i w:val="0"/>
          <w:szCs w:val="20"/>
          <w:lang w:eastAsia="es-ES"/>
        </w:rPr>
        <w:t xml:space="preserve"> de </w:t>
      </w:r>
      <w:r w:rsidR="001D34D3" w:rsidRPr="0060216C">
        <w:rPr>
          <w:i w:val="0"/>
          <w:szCs w:val="20"/>
          <w:lang w:eastAsia="es-ES"/>
        </w:rPr>
        <w:t>febrero de 2018</w:t>
      </w:r>
      <w:r w:rsidRPr="0060216C">
        <w:rPr>
          <w:rStyle w:val="Refdenotaalpie"/>
          <w:i w:val="0"/>
          <w:lang w:eastAsia="es-ES"/>
        </w:rPr>
        <w:footnoteReference w:id="8"/>
      </w:r>
      <w:r w:rsidRPr="0060216C">
        <w:rPr>
          <w:i w:val="0"/>
          <w:szCs w:val="20"/>
          <w:lang w:eastAsia="es-ES"/>
        </w:rPr>
        <w:t>, el Presidente de la Corte ordenó recibir declaraciones rendidas ante fedatario público (</w:t>
      </w:r>
      <w:r w:rsidRPr="0060216C">
        <w:rPr>
          <w:szCs w:val="20"/>
          <w:lang w:eastAsia="es-ES"/>
        </w:rPr>
        <w:t>affidavit</w:t>
      </w:r>
      <w:r w:rsidRPr="0060216C">
        <w:rPr>
          <w:i w:val="0"/>
          <w:szCs w:val="20"/>
          <w:lang w:eastAsia="es-ES"/>
        </w:rPr>
        <w:t xml:space="preserve">) de </w:t>
      </w:r>
      <w:r w:rsidR="00293300" w:rsidRPr="0060216C">
        <w:rPr>
          <w:i w:val="0"/>
          <w:szCs w:val="20"/>
          <w:lang w:eastAsia="es-ES"/>
        </w:rPr>
        <w:t>cuatro</w:t>
      </w:r>
      <w:r w:rsidRPr="0060216C">
        <w:rPr>
          <w:i w:val="0"/>
          <w:szCs w:val="20"/>
          <w:lang w:eastAsia="es-ES"/>
        </w:rPr>
        <w:t xml:space="preserve"> presuntas víctimas, </w:t>
      </w:r>
      <w:r w:rsidR="00293300" w:rsidRPr="0060216C">
        <w:rPr>
          <w:i w:val="0"/>
          <w:szCs w:val="20"/>
          <w:lang w:eastAsia="es-ES"/>
        </w:rPr>
        <w:t>dos declarantes a título informativo pro</w:t>
      </w:r>
      <w:r w:rsidR="0061598B" w:rsidRPr="0060216C">
        <w:rPr>
          <w:i w:val="0"/>
          <w:szCs w:val="20"/>
          <w:lang w:eastAsia="es-ES"/>
        </w:rPr>
        <w:t>puestos por los representantes,</w:t>
      </w:r>
      <w:r w:rsidR="00293300" w:rsidRPr="0060216C">
        <w:rPr>
          <w:i w:val="0"/>
          <w:szCs w:val="20"/>
          <w:lang w:eastAsia="es-ES"/>
        </w:rPr>
        <w:t xml:space="preserve"> </w:t>
      </w:r>
      <w:r w:rsidR="00A31FBB">
        <w:rPr>
          <w:i w:val="0"/>
          <w:szCs w:val="20"/>
          <w:lang w:eastAsia="es-ES"/>
        </w:rPr>
        <w:t>dos</w:t>
      </w:r>
      <w:r w:rsidRPr="0060216C">
        <w:rPr>
          <w:i w:val="0"/>
          <w:szCs w:val="20"/>
          <w:lang w:eastAsia="es-ES"/>
        </w:rPr>
        <w:t xml:space="preserve"> perit</w:t>
      </w:r>
      <w:r w:rsidR="00293300" w:rsidRPr="0060216C">
        <w:rPr>
          <w:i w:val="0"/>
          <w:szCs w:val="20"/>
          <w:lang w:eastAsia="es-ES"/>
        </w:rPr>
        <w:t>as propuesta</w:t>
      </w:r>
      <w:r w:rsidRPr="0060216C">
        <w:rPr>
          <w:i w:val="0"/>
          <w:szCs w:val="20"/>
          <w:lang w:eastAsia="es-ES"/>
        </w:rPr>
        <w:t>s por</w:t>
      </w:r>
      <w:r w:rsidR="00293300" w:rsidRPr="0060216C">
        <w:rPr>
          <w:i w:val="0"/>
          <w:szCs w:val="20"/>
          <w:lang w:eastAsia="es-ES"/>
        </w:rPr>
        <w:t xml:space="preserve"> los representantes</w:t>
      </w:r>
      <w:r w:rsidR="00A31FBB">
        <w:rPr>
          <w:i w:val="0"/>
          <w:szCs w:val="20"/>
          <w:lang w:eastAsia="es-ES"/>
        </w:rPr>
        <w:t>, y un</w:t>
      </w:r>
      <w:r w:rsidR="0061598B" w:rsidRPr="0060216C">
        <w:rPr>
          <w:i w:val="0"/>
          <w:szCs w:val="20"/>
          <w:lang w:eastAsia="es-ES"/>
        </w:rPr>
        <w:t xml:space="preserve"> perito propuesto por la Comisión</w:t>
      </w:r>
      <w:r w:rsidRPr="0060216C">
        <w:rPr>
          <w:i w:val="0"/>
          <w:szCs w:val="20"/>
          <w:lang w:eastAsia="es-ES"/>
        </w:rPr>
        <w:t>. Asimismo, en esa Resolución</w:t>
      </w:r>
      <w:r w:rsidR="007F07E3">
        <w:rPr>
          <w:i w:val="0"/>
          <w:szCs w:val="20"/>
          <w:lang w:eastAsia="es-ES"/>
        </w:rPr>
        <w:t>,</w:t>
      </w:r>
      <w:r w:rsidRPr="0060216C">
        <w:rPr>
          <w:i w:val="0"/>
          <w:szCs w:val="20"/>
          <w:lang w:eastAsia="es-ES"/>
        </w:rPr>
        <w:t xml:space="preserve"> el Presidente convocó a las partes y a la Comisión a una audiencia pública que fue celebrada durante el </w:t>
      </w:r>
      <w:r w:rsidR="00293300" w:rsidRPr="0060216C">
        <w:rPr>
          <w:rFonts w:cs="Verdana"/>
          <w:i w:val="0"/>
          <w:szCs w:val="20"/>
          <w:lang w:bidi="en-US"/>
        </w:rPr>
        <w:t>122</w:t>
      </w:r>
      <w:r w:rsidRPr="0060216C">
        <w:rPr>
          <w:rFonts w:cs="Verdana"/>
          <w:i w:val="0"/>
          <w:szCs w:val="20"/>
          <w:vertAlign w:val="superscript"/>
          <w:lang w:bidi="en-US"/>
        </w:rPr>
        <w:t>º</w:t>
      </w:r>
      <w:r w:rsidRPr="0060216C">
        <w:rPr>
          <w:rFonts w:cs="Verdana"/>
          <w:i w:val="0"/>
          <w:szCs w:val="20"/>
          <w:lang w:bidi="en-US"/>
        </w:rPr>
        <w:t xml:space="preserve"> Período Ordinario de Sesiones de la Corte</w:t>
      </w:r>
      <w:r w:rsidRPr="0060216C">
        <w:rPr>
          <w:i w:val="0"/>
          <w:szCs w:val="20"/>
          <w:lang w:eastAsia="es-ES"/>
        </w:rPr>
        <w:t>, la cual tuvo lugar en su sede</w:t>
      </w:r>
      <w:r w:rsidRPr="0060216C">
        <w:rPr>
          <w:rStyle w:val="Refdenotaalpie"/>
          <w:i w:val="0"/>
        </w:rPr>
        <w:footnoteReference w:id="9"/>
      </w:r>
      <w:r w:rsidRPr="0060216C">
        <w:rPr>
          <w:i w:val="0"/>
          <w:szCs w:val="20"/>
          <w:lang w:eastAsia="es-ES"/>
        </w:rPr>
        <w:t xml:space="preserve">. En la audiencia se recibieron las declaraciones de  </w:t>
      </w:r>
      <w:r w:rsidR="00293300" w:rsidRPr="0060216C">
        <w:rPr>
          <w:i w:val="0"/>
          <w:szCs w:val="20"/>
          <w:lang w:eastAsia="es-ES"/>
        </w:rPr>
        <w:t>dos</w:t>
      </w:r>
      <w:r w:rsidRPr="0060216C">
        <w:rPr>
          <w:i w:val="0"/>
          <w:szCs w:val="20"/>
          <w:lang w:eastAsia="es-ES"/>
        </w:rPr>
        <w:t xml:space="preserve"> presunta</w:t>
      </w:r>
      <w:r w:rsidR="00293300" w:rsidRPr="0060216C">
        <w:rPr>
          <w:i w:val="0"/>
          <w:szCs w:val="20"/>
          <w:lang w:eastAsia="es-ES"/>
        </w:rPr>
        <w:t>s</w:t>
      </w:r>
      <w:r w:rsidRPr="0060216C">
        <w:rPr>
          <w:i w:val="0"/>
          <w:szCs w:val="20"/>
          <w:lang w:eastAsia="es-ES"/>
        </w:rPr>
        <w:t xml:space="preserve"> víctima</w:t>
      </w:r>
      <w:r w:rsidR="00293300" w:rsidRPr="0060216C">
        <w:rPr>
          <w:i w:val="0"/>
          <w:szCs w:val="20"/>
          <w:lang w:eastAsia="es-ES"/>
        </w:rPr>
        <w:t>s</w:t>
      </w:r>
      <w:r w:rsidR="00A31FBB">
        <w:rPr>
          <w:i w:val="0"/>
          <w:szCs w:val="20"/>
          <w:lang w:eastAsia="es-ES"/>
        </w:rPr>
        <w:t xml:space="preserve"> y un</w:t>
      </w:r>
      <w:r w:rsidRPr="0060216C">
        <w:rPr>
          <w:i w:val="0"/>
          <w:szCs w:val="20"/>
          <w:lang w:eastAsia="es-ES"/>
        </w:rPr>
        <w:t xml:space="preserve"> perito propuesto por l</w:t>
      </w:r>
      <w:r w:rsidR="00BC47AB" w:rsidRPr="0060216C">
        <w:rPr>
          <w:i w:val="0"/>
          <w:szCs w:val="20"/>
          <w:lang w:eastAsia="es-ES"/>
        </w:rPr>
        <w:t>os representantes</w:t>
      </w:r>
      <w:r w:rsidRPr="0060216C">
        <w:rPr>
          <w:i w:val="0"/>
          <w:szCs w:val="20"/>
          <w:lang w:eastAsia="es-ES"/>
        </w:rPr>
        <w:t>, así como las observaciones y alegatos finales orales de la Comisión, los representantes y el Estado, respectivamente.</w:t>
      </w:r>
    </w:p>
    <w:p w14:paraId="373CCA1F" w14:textId="77777777" w:rsidR="00D55A40" w:rsidRDefault="00D55A40" w:rsidP="00D55A40">
      <w:pPr>
        <w:pStyle w:val="Estilo1"/>
        <w:tabs>
          <w:tab w:val="left" w:pos="0"/>
        </w:tabs>
        <w:spacing w:after="0"/>
        <w:ind w:left="0" w:right="-4" w:firstLine="0"/>
        <w:rPr>
          <w:i w:val="0"/>
          <w:szCs w:val="20"/>
          <w:lang w:eastAsia="es-ES"/>
        </w:rPr>
      </w:pPr>
    </w:p>
    <w:p w14:paraId="4BA4420C" w14:textId="1DED254B" w:rsidR="009B1CA2" w:rsidRPr="00D55A40" w:rsidRDefault="009B1CA2" w:rsidP="009F7070">
      <w:pPr>
        <w:pStyle w:val="Estilo1"/>
        <w:numPr>
          <w:ilvl w:val="0"/>
          <w:numId w:val="3"/>
        </w:numPr>
        <w:tabs>
          <w:tab w:val="left" w:pos="0"/>
        </w:tabs>
        <w:spacing w:after="0"/>
        <w:ind w:left="0" w:right="-4" w:firstLine="0"/>
        <w:rPr>
          <w:i w:val="0"/>
          <w:szCs w:val="20"/>
          <w:lang w:eastAsia="es-ES"/>
        </w:rPr>
      </w:pPr>
      <w:r w:rsidRPr="0060216C">
        <w:rPr>
          <w:rFonts w:cs="Arial"/>
          <w:szCs w:val="20"/>
          <w:lang w:eastAsia="es-ES"/>
        </w:rPr>
        <w:t>A</w:t>
      </w:r>
      <w:r w:rsidRPr="0060216C">
        <w:rPr>
          <w:rFonts w:cs="Verdana"/>
          <w:szCs w:val="20"/>
          <w:lang w:eastAsia="es-ES"/>
        </w:rPr>
        <w:t xml:space="preserve">legatos y observaciones finales escritos.- </w:t>
      </w:r>
      <w:r w:rsidRPr="0060216C">
        <w:rPr>
          <w:rFonts w:cs="Verdana"/>
          <w:i w:val="0"/>
          <w:szCs w:val="20"/>
          <w:lang w:eastAsia="es-ES"/>
        </w:rPr>
        <w:t xml:space="preserve">El </w:t>
      </w:r>
      <w:r w:rsidR="000B3CDB" w:rsidRPr="0060216C">
        <w:rPr>
          <w:rFonts w:cs="Verdana"/>
          <w:i w:val="0"/>
          <w:szCs w:val="20"/>
          <w:lang w:eastAsia="es-ES"/>
        </w:rPr>
        <w:t>9</w:t>
      </w:r>
      <w:r w:rsidRPr="0060216C">
        <w:rPr>
          <w:rFonts w:cs="Verdana"/>
          <w:i w:val="0"/>
          <w:szCs w:val="20"/>
          <w:lang w:eastAsia="es-ES"/>
        </w:rPr>
        <w:t xml:space="preserve"> de </w:t>
      </w:r>
      <w:r w:rsidR="000B3CDB" w:rsidRPr="0060216C">
        <w:rPr>
          <w:rFonts w:cs="Verdana"/>
          <w:i w:val="0"/>
          <w:szCs w:val="20"/>
          <w:lang w:eastAsia="es-ES"/>
        </w:rPr>
        <w:t>abril de 2018</w:t>
      </w:r>
      <w:r w:rsidRPr="0060216C">
        <w:rPr>
          <w:rFonts w:cs="Verdana"/>
          <w:i w:val="0"/>
          <w:szCs w:val="20"/>
          <w:lang w:eastAsia="es-ES"/>
        </w:rPr>
        <w:t xml:space="preserve"> los representantes y el Estado presentaron sus respectivos alegatos finales escritos y</w:t>
      </w:r>
      <w:r w:rsidR="00A31FBB">
        <w:rPr>
          <w:rFonts w:cs="Verdana"/>
          <w:i w:val="0"/>
          <w:szCs w:val="20"/>
          <w:lang w:eastAsia="es-ES"/>
        </w:rPr>
        <w:t xml:space="preserve"> determinados</w:t>
      </w:r>
      <w:r w:rsidRPr="0060216C">
        <w:rPr>
          <w:rFonts w:cs="Verdana"/>
          <w:i w:val="0"/>
          <w:szCs w:val="20"/>
          <w:lang w:eastAsia="es-ES"/>
        </w:rPr>
        <w:t xml:space="preserve"> anexos, y la Comisión Interamericana remitió sus </w:t>
      </w:r>
      <w:r w:rsidR="007F07E3">
        <w:rPr>
          <w:rFonts w:cs="Verdana"/>
          <w:i w:val="0"/>
          <w:szCs w:val="20"/>
          <w:lang w:eastAsia="es-ES"/>
        </w:rPr>
        <w:t>observaciones finales escritas.</w:t>
      </w:r>
    </w:p>
    <w:p w14:paraId="38F56E4F" w14:textId="77777777" w:rsidR="00D55A40" w:rsidRPr="007F07E3" w:rsidRDefault="00D55A40" w:rsidP="00D55A40">
      <w:pPr>
        <w:pStyle w:val="Estilo1"/>
        <w:tabs>
          <w:tab w:val="left" w:pos="0"/>
        </w:tabs>
        <w:spacing w:after="0"/>
        <w:ind w:left="0" w:right="-4" w:firstLine="0"/>
        <w:rPr>
          <w:i w:val="0"/>
          <w:szCs w:val="20"/>
          <w:lang w:eastAsia="es-ES"/>
        </w:rPr>
      </w:pPr>
    </w:p>
    <w:p w14:paraId="78D94A31" w14:textId="47FA211D" w:rsidR="007F07E3" w:rsidRPr="00D55A40" w:rsidRDefault="00FB1E38" w:rsidP="009F7070">
      <w:pPr>
        <w:pStyle w:val="Estilo1"/>
        <w:numPr>
          <w:ilvl w:val="0"/>
          <w:numId w:val="3"/>
        </w:numPr>
        <w:tabs>
          <w:tab w:val="left" w:pos="0"/>
        </w:tabs>
        <w:spacing w:after="0"/>
        <w:ind w:left="0" w:right="-4" w:firstLine="0"/>
        <w:rPr>
          <w:i w:val="0"/>
          <w:szCs w:val="20"/>
          <w:lang w:eastAsia="es-ES"/>
        </w:rPr>
      </w:pPr>
      <w:r>
        <w:rPr>
          <w:iCs/>
        </w:rPr>
        <w:t>Hechos supervinientes</w:t>
      </w:r>
      <w:r w:rsidR="003978B2" w:rsidRPr="003978B2">
        <w:t xml:space="preserve">.- </w:t>
      </w:r>
      <w:r w:rsidR="003978B2" w:rsidRPr="003978B2">
        <w:rPr>
          <w:i w:val="0"/>
        </w:rPr>
        <w:t xml:space="preserve">El 2 de marzo de 2018, los representantes presentaron información y documentación sobre </w:t>
      </w:r>
      <w:r>
        <w:rPr>
          <w:i w:val="0"/>
        </w:rPr>
        <w:t>alegados hechos</w:t>
      </w:r>
      <w:r w:rsidR="003978B2" w:rsidRPr="003978B2">
        <w:rPr>
          <w:i w:val="0"/>
        </w:rPr>
        <w:t xml:space="preserve"> ocurridos con posterioridad a la presentación del escrito de solicitudes, argumentos y pruebas</w:t>
      </w:r>
      <w:r w:rsidR="00E50366">
        <w:rPr>
          <w:i w:val="0"/>
        </w:rPr>
        <w:t>.</w:t>
      </w:r>
      <w:r>
        <w:rPr>
          <w:i w:val="0"/>
        </w:rPr>
        <w:t xml:space="preserve"> La Comisión y el Estado no presentaron información al respecto.</w:t>
      </w:r>
    </w:p>
    <w:p w14:paraId="547F0D97" w14:textId="77777777" w:rsidR="00D55A40" w:rsidRPr="003978B2" w:rsidRDefault="00D55A40" w:rsidP="00D55A40">
      <w:pPr>
        <w:pStyle w:val="Estilo1"/>
        <w:tabs>
          <w:tab w:val="left" w:pos="0"/>
        </w:tabs>
        <w:spacing w:after="0"/>
        <w:ind w:left="0" w:right="-4" w:firstLine="0"/>
        <w:rPr>
          <w:i w:val="0"/>
          <w:szCs w:val="20"/>
          <w:lang w:eastAsia="es-ES"/>
        </w:rPr>
      </w:pPr>
    </w:p>
    <w:p w14:paraId="0F840CFE" w14:textId="4E642C63" w:rsidR="00D55A40" w:rsidRPr="00D55A40" w:rsidRDefault="003978B2" w:rsidP="009F7070">
      <w:pPr>
        <w:pStyle w:val="Estilo1"/>
        <w:numPr>
          <w:ilvl w:val="0"/>
          <w:numId w:val="3"/>
        </w:numPr>
        <w:tabs>
          <w:tab w:val="left" w:pos="0"/>
        </w:tabs>
        <w:spacing w:after="0"/>
        <w:ind w:left="0" w:right="-4" w:firstLine="0"/>
        <w:rPr>
          <w:i w:val="0"/>
          <w:szCs w:val="20"/>
          <w:lang w:eastAsia="es-ES"/>
        </w:rPr>
      </w:pPr>
      <w:r w:rsidRPr="003978B2">
        <w:rPr>
          <w:iCs/>
        </w:rPr>
        <w:t>Prueba para mejor resolver</w:t>
      </w:r>
      <w:r w:rsidRPr="003978B2">
        <w:t xml:space="preserve">.- </w:t>
      </w:r>
      <w:r w:rsidRPr="003978B2">
        <w:rPr>
          <w:i w:val="0"/>
        </w:rPr>
        <w:t xml:space="preserve">El 28 de junio de 2018 se solicitó a los representantes prueba para mejor resolver. </w:t>
      </w:r>
      <w:r w:rsidRPr="009F4A44">
        <w:rPr>
          <w:i w:val="0"/>
        </w:rPr>
        <w:t xml:space="preserve">El </w:t>
      </w:r>
      <w:r w:rsidR="009F4A44" w:rsidRPr="009F4A44">
        <w:rPr>
          <w:i w:val="0"/>
        </w:rPr>
        <w:t>31 de julio</w:t>
      </w:r>
      <w:r w:rsidRPr="009F4A44">
        <w:rPr>
          <w:i w:val="0"/>
        </w:rPr>
        <w:t xml:space="preserve"> de 2018 los representantes remitieron la información solicitada</w:t>
      </w:r>
      <w:r w:rsidR="009F4A44" w:rsidRPr="009F4A44">
        <w:rPr>
          <w:i w:val="0"/>
        </w:rPr>
        <w:t>, y</w:t>
      </w:r>
      <w:r w:rsidR="00675628">
        <w:rPr>
          <w:i w:val="0"/>
        </w:rPr>
        <w:t xml:space="preserve"> en esa misma fecha</w:t>
      </w:r>
      <w:r w:rsidR="009F4A44" w:rsidRPr="009F4A44">
        <w:rPr>
          <w:i w:val="0"/>
        </w:rPr>
        <w:t xml:space="preserve"> la Corte solicitó al Estado que proveyera cierta información relacionada con la prueba solicitada a los representantes</w:t>
      </w:r>
      <w:r w:rsidRPr="009F4A44">
        <w:rPr>
          <w:i w:val="0"/>
        </w:rPr>
        <w:t>.</w:t>
      </w:r>
      <w:r w:rsidR="009F4A44" w:rsidRPr="009F4A44">
        <w:rPr>
          <w:i w:val="0"/>
        </w:rPr>
        <w:t xml:space="preserve"> El 14 de agosto de 2018 el Estado solicitó una prórroga para remitir la información solicitada, la cual fue </w:t>
      </w:r>
      <w:r w:rsidR="009F4A44" w:rsidRPr="009F4A44">
        <w:rPr>
          <w:i w:val="0"/>
        </w:rPr>
        <w:lastRenderedPageBreak/>
        <w:t>concedida</w:t>
      </w:r>
      <w:r w:rsidR="00675628">
        <w:rPr>
          <w:i w:val="0"/>
        </w:rPr>
        <w:t xml:space="preserve"> por la Corte</w:t>
      </w:r>
      <w:r w:rsidR="009F4A44" w:rsidRPr="009F4A44">
        <w:rPr>
          <w:i w:val="0"/>
        </w:rPr>
        <w:t>. El 21 de agosto de 2018 el Estado dio respuesta definitiva a la solicitud realizada por la Corte.</w:t>
      </w:r>
    </w:p>
    <w:p w14:paraId="75013267" w14:textId="2F2CE13C" w:rsidR="001F42BC" w:rsidRPr="003978B2" w:rsidRDefault="001F42BC" w:rsidP="00D55A40">
      <w:pPr>
        <w:pStyle w:val="Estilo1"/>
        <w:tabs>
          <w:tab w:val="left" w:pos="0"/>
        </w:tabs>
        <w:spacing w:after="0"/>
        <w:ind w:left="0" w:right="-4" w:firstLine="0"/>
        <w:rPr>
          <w:i w:val="0"/>
          <w:szCs w:val="20"/>
          <w:lang w:eastAsia="es-ES"/>
        </w:rPr>
      </w:pPr>
    </w:p>
    <w:p w14:paraId="77869747" w14:textId="778C9C84" w:rsidR="009B1CA2" w:rsidRPr="004B7E67" w:rsidRDefault="009B1CA2" w:rsidP="009F7070">
      <w:pPr>
        <w:pStyle w:val="Estilo1"/>
        <w:numPr>
          <w:ilvl w:val="0"/>
          <w:numId w:val="3"/>
        </w:numPr>
        <w:tabs>
          <w:tab w:val="left" w:pos="0"/>
        </w:tabs>
        <w:spacing w:after="0"/>
        <w:ind w:left="0" w:right="-4" w:firstLine="0"/>
        <w:rPr>
          <w:rFonts w:cs="Verdana"/>
          <w:i w:val="0"/>
          <w:szCs w:val="20"/>
          <w:lang w:eastAsia="es-ES"/>
        </w:rPr>
      </w:pPr>
      <w:r w:rsidRPr="0060216C">
        <w:rPr>
          <w:szCs w:val="20"/>
          <w:lang w:eastAsia="es-CR"/>
        </w:rPr>
        <w:t xml:space="preserve">Deliberación del </w:t>
      </w:r>
      <w:r w:rsidRPr="0060216C">
        <w:rPr>
          <w:rFonts w:cs="Verdana"/>
          <w:szCs w:val="20"/>
          <w:lang w:eastAsia="es-ES"/>
        </w:rPr>
        <w:t>presente</w:t>
      </w:r>
      <w:r w:rsidRPr="0060216C">
        <w:rPr>
          <w:szCs w:val="20"/>
          <w:lang w:eastAsia="es-CR"/>
        </w:rPr>
        <w:t xml:space="preserve"> caso. - </w:t>
      </w:r>
      <w:r w:rsidRPr="0060216C">
        <w:rPr>
          <w:i w:val="0"/>
          <w:lang w:eastAsia="es-CR"/>
        </w:rPr>
        <w:t xml:space="preserve">La Corte inició la deliberación de la presente Sentencia el </w:t>
      </w:r>
      <w:r w:rsidR="000A2830">
        <w:rPr>
          <w:i w:val="0"/>
          <w:lang w:eastAsia="es-CR"/>
        </w:rPr>
        <w:t>22</w:t>
      </w:r>
      <w:r w:rsidRPr="0060216C">
        <w:rPr>
          <w:i w:val="0"/>
          <w:lang w:eastAsia="es-CR"/>
        </w:rPr>
        <w:t xml:space="preserve"> de </w:t>
      </w:r>
      <w:r w:rsidR="0021750D">
        <w:rPr>
          <w:i w:val="0"/>
          <w:lang w:eastAsia="es-CR"/>
        </w:rPr>
        <w:t>agosto</w:t>
      </w:r>
      <w:r w:rsidR="0021750D" w:rsidRPr="0060216C">
        <w:rPr>
          <w:i w:val="0"/>
          <w:lang w:eastAsia="es-CR"/>
        </w:rPr>
        <w:t xml:space="preserve"> </w:t>
      </w:r>
      <w:r w:rsidRPr="0060216C">
        <w:rPr>
          <w:i w:val="0"/>
          <w:lang w:eastAsia="es-CR"/>
        </w:rPr>
        <w:t>de 2018</w:t>
      </w:r>
      <w:r w:rsidRPr="0060216C">
        <w:rPr>
          <w:i w:val="0"/>
          <w:szCs w:val="20"/>
          <w:lang w:eastAsia="es-CR"/>
        </w:rPr>
        <w:t>.</w:t>
      </w:r>
    </w:p>
    <w:p w14:paraId="7BB4FEAF" w14:textId="77777777" w:rsidR="004B7E67" w:rsidRPr="0060216C" w:rsidRDefault="004B7E67" w:rsidP="004B7E67">
      <w:pPr>
        <w:pStyle w:val="Estilo1"/>
        <w:tabs>
          <w:tab w:val="left" w:pos="0"/>
        </w:tabs>
        <w:spacing w:after="0"/>
        <w:ind w:left="0" w:right="-4" w:firstLine="0"/>
        <w:rPr>
          <w:rFonts w:cs="Verdana"/>
          <w:i w:val="0"/>
          <w:szCs w:val="20"/>
          <w:lang w:eastAsia="es-ES"/>
        </w:rPr>
      </w:pPr>
    </w:p>
    <w:p w14:paraId="01668598" w14:textId="29B89A6E" w:rsidR="00F162A7" w:rsidRDefault="00F162A7" w:rsidP="009F7070">
      <w:pPr>
        <w:pStyle w:val="Ttulo1"/>
        <w:spacing w:before="0" w:after="0"/>
        <w:rPr>
          <w:lang w:val="es-ES_tradnl"/>
        </w:rPr>
      </w:pPr>
      <w:bookmarkStart w:id="30" w:name="_Toc486693353"/>
      <w:bookmarkStart w:id="31" w:name="_Toc486842769"/>
      <w:bookmarkStart w:id="32" w:name="_Toc486842907"/>
      <w:bookmarkStart w:id="33" w:name="_Toc508792632"/>
      <w:bookmarkStart w:id="34" w:name="_Toc510690627"/>
      <w:bookmarkStart w:id="35" w:name="_Toc527466464"/>
      <w:r w:rsidRPr="0060216C">
        <w:rPr>
          <w:lang w:val="es-ES_tradnl"/>
        </w:rPr>
        <w:t>III</w:t>
      </w:r>
      <w:r w:rsidR="001D1187">
        <w:rPr>
          <w:lang w:val="es-ES_tradnl"/>
        </w:rPr>
        <w:t>.</w:t>
      </w:r>
      <w:r w:rsidRPr="0060216C">
        <w:rPr>
          <w:color w:val="FFFFFF" w:themeColor="background1"/>
          <w:lang w:val="es-ES_tradnl"/>
        </w:rPr>
        <w:t>.</w:t>
      </w:r>
      <w:r w:rsidRPr="0060216C">
        <w:rPr>
          <w:lang w:val="es-ES_tradnl"/>
        </w:rPr>
        <w:br/>
        <w:t>COMPETENCIA</w:t>
      </w:r>
      <w:bookmarkEnd w:id="30"/>
      <w:bookmarkEnd w:id="31"/>
      <w:bookmarkEnd w:id="32"/>
      <w:bookmarkEnd w:id="33"/>
      <w:bookmarkEnd w:id="34"/>
      <w:bookmarkEnd w:id="35"/>
    </w:p>
    <w:p w14:paraId="753A92B8" w14:textId="77777777" w:rsidR="00091D29" w:rsidRPr="00091D29" w:rsidRDefault="00091D29" w:rsidP="00091D29">
      <w:pPr>
        <w:rPr>
          <w:lang w:eastAsia="es-ES"/>
        </w:rPr>
      </w:pPr>
    </w:p>
    <w:p w14:paraId="551FC300" w14:textId="39747E0B" w:rsidR="009C20FF" w:rsidRDefault="009C20FF" w:rsidP="009F7070">
      <w:pPr>
        <w:widowControl w:val="0"/>
        <w:numPr>
          <w:ilvl w:val="0"/>
          <w:numId w:val="3"/>
        </w:numPr>
        <w:tabs>
          <w:tab w:val="left" w:pos="567"/>
        </w:tabs>
        <w:adjustRightInd w:val="0"/>
        <w:ind w:left="0" w:right="4" w:firstLine="0"/>
        <w:rPr>
          <w:rFonts w:eastAsia="Calibri" w:cs="Verdana"/>
          <w:spacing w:val="-2"/>
          <w:szCs w:val="20"/>
        </w:rPr>
      </w:pPr>
      <w:r w:rsidRPr="0060216C">
        <w:rPr>
          <w:rFonts w:eastAsia="Calibri" w:cs="Verdana"/>
          <w:spacing w:val="-2"/>
          <w:szCs w:val="20"/>
        </w:rPr>
        <w:t>La Corte Interamericana es competente</w:t>
      </w:r>
      <w:r w:rsidR="00091D29">
        <w:rPr>
          <w:rFonts w:eastAsia="Calibri" w:cs="Verdana"/>
          <w:spacing w:val="-2"/>
          <w:szCs w:val="20"/>
        </w:rPr>
        <w:t xml:space="preserve"> para conocer del presente caso</w:t>
      </w:r>
      <w:r w:rsidRPr="0060216C">
        <w:rPr>
          <w:rFonts w:eastAsia="Calibri" w:cs="Verdana"/>
          <w:spacing w:val="-2"/>
          <w:szCs w:val="20"/>
        </w:rPr>
        <w:t>, en los términos del artículo 62.3</w:t>
      </w:r>
      <w:r w:rsidR="002A056D">
        <w:rPr>
          <w:rStyle w:val="Refdenotaalpie"/>
          <w:rFonts w:eastAsia="Calibri"/>
          <w:spacing w:val="-2"/>
        </w:rPr>
        <w:footnoteReference w:id="10"/>
      </w:r>
      <w:r w:rsidRPr="0060216C">
        <w:rPr>
          <w:rFonts w:eastAsia="Calibri" w:cs="Verdana"/>
          <w:spacing w:val="-2"/>
          <w:szCs w:val="20"/>
        </w:rPr>
        <w:t xml:space="preserve"> de la Convención Americana, debido a que Guatemala es Estado Parte de la Convención Americana desde el 25 de mayo de 1978 y reconoció la competencia contenciosa de la Corte el 9 de marzo de 1987</w:t>
      </w:r>
      <w:r w:rsidR="00E50A20" w:rsidRPr="0060216C">
        <w:rPr>
          <w:rFonts w:eastAsia="Calibri" w:cs="Verdana"/>
          <w:spacing w:val="-2"/>
          <w:szCs w:val="20"/>
        </w:rPr>
        <w:t>.</w:t>
      </w:r>
    </w:p>
    <w:p w14:paraId="073E7E26" w14:textId="77777777" w:rsidR="00091D29" w:rsidRPr="0060216C" w:rsidRDefault="00091D29" w:rsidP="00091D29">
      <w:pPr>
        <w:widowControl w:val="0"/>
        <w:tabs>
          <w:tab w:val="left" w:pos="567"/>
        </w:tabs>
        <w:adjustRightInd w:val="0"/>
        <w:ind w:right="4"/>
        <w:rPr>
          <w:rFonts w:eastAsia="Calibri" w:cs="Verdana"/>
          <w:spacing w:val="-2"/>
          <w:szCs w:val="20"/>
        </w:rPr>
      </w:pPr>
    </w:p>
    <w:p w14:paraId="2113F5C8" w14:textId="104D32AC" w:rsidR="009455ED" w:rsidRDefault="009455ED" w:rsidP="009F7070">
      <w:pPr>
        <w:pStyle w:val="Ttulo1"/>
        <w:spacing w:before="0" w:after="0"/>
      </w:pPr>
      <w:bookmarkStart w:id="36" w:name="_Toc501211894"/>
      <w:bookmarkStart w:id="37" w:name="_Toc527466465"/>
      <w:r w:rsidRPr="0060216C">
        <w:t>IV</w:t>
      </w:r>
      <w:r w:rsidR="001D1187">
        <w:t>.</w:t>
      </w:r>
      <w:r w:rsidRPr="0060216C">
        <w:br/>
        <w:t>EXCEPCIÓN PRELIMINAR</w:t>
      </w:r>
      <w:bookmarkEnd w:id="36"/>
      <w:bookmarkEnd w:id="37"/>
    </w:p>
    <w:p w14:paraId="5CBE56CD" w14:textId="77777777" w:rsidR="00860796" w:rsidRPr="00860796" w:rsidRDefault="00860796" w:rsidP="00860796">
      <w:pPr>
        <w:rPr>
          <w:lang w:val="es-CR" w:eastAsia="es-ES"/>
        </w:rPr>
      </w:pPr>
    </w:p>
    <w:p w14:paraId="15C8BAC6" w14:textId="7B91C518" w:rsidR="009455ED" w:rsidRDefault="009455ED" w:rsidP="009F7070">
      <w:pPr>
        <w:pStyle w:val="Ttulo2"/>
        <w:spacing w:before="0" w:after="0"/>
      </w:pPr>
      <w:bookmarkStart w:id="38" w:name="_Toc495272915"/>
      <w:bookmarkStart w:id="39" w:name="_Toc501211895"/>
      <w:bookmarkStart w:id="40" w:name="_Toc527466466"/>
      <w:r w:rsidRPr="0060216C">
        <w:t>Excepción por falta de agotamiento de los recursos internos</w:t>
      </w:r>
      <w:bookmarkEnd w:id="38"/>
      <w:bookmarkEnd w:id="39"/>
      <w:bookmarkEnd w:id="40"/>
    </w:p>
    <w:p w14:paraId="36A4DC53" w14:textId="77777777" w:rsidR="00860796" w:rsidRPr="00860796" w:rsidRDefault="00860796" w:rsidP="00860796">
      <w:pPr>
        <w:rPr>
          <w:lang w:val="es-CR"/>
        </w:rPr>
      </w:pPr>
    </w:p>
    <w:p w14:paraId="54A3DEAB" w14:textId="137443EE" w:rsidR="009455ED" w:rsidRDefault="00EC1C6C" w:rsidP="009F7070">
      <w:pPr>
        <w:pStyle w:val="Ttulo3"/>
        <w:spacing w:before="0"/>
      </w:pPr>
      <w:bookmarkStart w:id="41" w:name="_Toc501211896"/>
      <w:r w:rsidRPr="00F441D1">
        <w:tab/>
      </w:r>
      <w:bookmarkStart w:id="42" w:name="_Toc527466467"/>
      <w:r w:rsidR="009455ED" w:rsidRPr="003222C3">
        <w:t>A.1</w:t>
      </w:r>
      <w:r w:rsidR="001D1187" w:rsidRPr="003222C3">
        <w:t>.</w:t>
      </w:r>
      <w:r w:rsidR="009455ED" w:rsidRPr="003222C3">
        <w:t xml:space="preserve"> </w:t>
      </w:r>
      <w:r w:rsidR="009455ED" w:rsidRPr="003222C3">
        <w:tab/>
      </w:r>
      <w:bookmarkEnd w:id="41"/>
      <w:r w:rsidR="003222C3" w:rsidRPr="003222C3">
        <w:t>Alegatos de las partes y observaciones de la Comisión</w:t>
      </w:r>
      <w:bookmarkEnd w:id="42"/>
    </w:p>
    <w:p w14:paraId="48CEB3F6" w14:textId="77777777" w:rsidR="00860796" w:rsidRPr="00860796" w:rsidRDefault="00860796" w:rsidP="00860796">
      <w:pPr>
        <w:rPr>
          <w:lang w:val="es-CR"/>
        </w:rPr>
      </w:pPr>
    </w:p>
    <w:p w14:paraId="2DA2322B" w14:textId="5014C102" w:rsidR="00101969" w:rsidRDefault="009455ED" w:rsidP="009F7070">
      <w:pPr>
        <w:widowControl w:val="0"/>
        <w:numPr>
          <w:ilvl w:val="0"/>
          <w:numId w:val="3"/>
        </w:numPr>
        <w:tabs>
          <w:tab w:val="left" w:pos="567"/>
        </w:tabs>
        <w:adjustRightInd w:val="0"/>
        <w:ind w:left="0" w:right="4" w:firstLine="0"/>
        <w:rPr>
          <w:rFonts w:eastAsia="Calibri" w:cs="Verdana"/>
          <w:spacing w:val="-2"/>
          <w:szCs w:val="20"/>
        </w:rPr>
      </w:pPr>
      <w:r w:rsidRPr="0060216C">
        <w:rPr>
          <w:rFonts w:eastAsia="Calibri" w:cs="Verdana"/>
          <w:spacing w:val="-2"/>
          <w:szCs w:val="20"/>
        </w:rPr>
        <w:t xml:space="preserve">El </w:t>
      </w:r>
      <w:r w:rsidRPr="0060216C">
        <w:rPr>
          <w:rFonts w:eastAsia="Calibri" w:cs="Verdana"/>
          <w:b/>
          <w:i/>
          <w:spacing w:val="-2"/>
          <w:szCs w:val="20"/>
        </w:rPr>
        <w:t>Estado</w:t>
      </w:r>
      <w:r w:rsidRPr="0060216C">
        <w:rPr>
          <w:rFonts w:eastAsia="Calibri" w:cs="Verdana"/>
          <w:spacing w:val="-2"/>
          <w:szCs w:val="20"/>
        </w:rPr>
        <w:t xml:space="preserve"> alegó que las presuntas víctimas no interpusieron ni agotaron los recursos de la jurisdicción interna, por lo que la Corte debía abstenerse de conocer sobre el caso en términos del artículo 46 de la Convención Americana. Al respecto, afirmó que los representantes no hicieron uso de los artículos 70 y 71 previstos en la Ley de Amparo</w:t>
      </w:r>
      <w:r w:rsidR="003222C3">
        <w:rPr>
          <w:rFonts w:eastAsia="Calibri" w:cs="Verdana"/>
          <w:spacing w:val="-2"/>
          <w:szCs w:val="20"/>
        </w:rPr>
        <w:t>, Exhibición Personal y de Constitucionalidad</w:t>
      </w:r>
      <w:r w:rsidRPr="0060216C">
        <w:rPr>
          <w:rFonts w:eastAsia="Calibri" w:cs="Verdana"/>
          <w:spacing w:val="-2"/>
          <w:szCs w:val="20"/>
        </w:rPr>
        <w:t>. En consecuencia, el Estado alegó que el caso es inadmisible, pues al momento de los hechos existían remedios procesales que facultaban a las presuntas víctimas a interponer una aclaración o ampli</w:t>
      </w:r>
      <w:r w:rsidR="003222C3">
        <w:rPr>
          <w:rFonts w:eastAsia="Calibri" w:cs="Verdana"/>
          <w:spacing w:val="-2"/>
          <w:szCs w:val="20"/>
        </w:rPr>
        <w:t>ación de la sentencia de amparo</w:t>
      </w:r>
      <w:r w:rsidRPr="0060216C">
        <w:rPr>
          <w:rFonts w:eastAsia="Calibri" w:cs="Verdana"/>
          <w:spacing w:val="-2"/>
          <w:szCs w:val="20"/>
        </w:rPr>
        <w:t>.</w:t>
      </w:r>
    </w:p>
    <w:p w14:paraId="6A336AFC" w14:textId="77777777" w:rsidR="003222C3" w:rsidRPr="0060216C" w:rsidRDefault="003222C3" w:rsidP="003222C3">
      <w:pPr>
        <w:widowControl w:val="0"/>
        <w:tabs>
          <w:tab w:val="left" w:pos="567"/>
        </w:tabs>
        <w:adjustRightInd w:val="0"/>
        <w:ind w:right="4"/>
        <w:rPr>
          <w:rFonts w:eastAsia="Calibri" w:cs="Verdana"/>
          <w:spacing w:val="-2"/>
          <w:szCs w:val="20"/>
        </w:rPr>
      </w:pPr>
    </w:p>
    <w:p w14:paraId="426B729D" w14:textId="71956C96" w:rsidR="00101969" w:rsidRPr="003222C3" w:rsidRDefault="009455ED" w:rsidP="009F7070">
      <w:pPr>
        <w:widowControl w:val="0"/>
        <w:numPr>
          <w:ilvl w:val="0"/>
          <w:numId w:val="3"/>
        </w:numPr>
        <w:tabs>
          <w:tab w:val="left" w:pos="567"/>
        </w:tabs>
        <w:adjustRightInd w:val="0"/>
        <w:ind w:left="0" w:right="4" w:firstLine="0"/>
        <w:rPr>
          <w:rFonts w:eastAsia="Calibri" w:cs="Verdana"/>
          <w:spacing w:val="-2"/>
          <w:szCs w:val="20"/>
        </w:rPr>
      </w:pPr>
      <w:r w:rsidRPr="0060216C">
        <w:rPr>
          <w:lang w:val="es-MX"/>
        </w:rPr>
        <w:t xml:space="preserve">La </w:t>
      </w:r>
      <w:r w:rsidRPr="0060216C">
        <w:rPr>
          <w:b/>
          <w:i/>
          <w:lang w:val="es-MX"/>
        </w:rPr>
        <w:t xml:space="preserve">Comisión </w:t>
      </w:r>
      <w:r w:rsidRPr="0060216C">
        <w:rPr>
          <w:lang w:val="es-MX"/>
        </w:rPr>
        <w:t>sostuvo que el Estado no alegó la excepción preliminar en el momento procesal oportuno, pues se limitó a instar a las presuntas víctimas a continuar haciendo uso de los recursos existentes en la jurisdicci</w:t>
      </w:r>
      <w:r w:rsidR="0009063B">
        <w:rPr>
          <w:lang w:val="es-MX"/>
        </w:rPr>
        <w:t>ón interna, pero sin indicar cuá</w:t>
      </w:r>
      <w:r w:rsidRPr="0060216C">
        <w:rPr>
          <w:lang w:val="es-MX"/>
        </w:rPr>
        <w:t>les</w:t>
      </w:r>
      <w:r w:rsidR="00CE398D">
        <w:rPr>
          <w:lang w:val="es-MX"/>
        </w:rPr>
        <w:t xml:space="preserve"> recursos</w:t>
      </w:r>
      <w:r w:rsidRPr="0060216C">
        <w:rPr>
          <w:lang w:val="es-MX"/>
        </w:rPr>
        <w:t xml:space="preserve"> debían ser agotados. En consecuencia, alegó que la excepción no fue presentada en los términos exigidos por la Convención y, por lo tanto, es inadmisible. De manera subsidiaria, la Comisión alegó que el Estado no aportó prueba acerca de la pertinencia y eficacia de la solicitud de aclaración o ampliación del amparo, por lo que la excepción es improcedente en lo sustantivo</w:t>
      </w:r>
      <w:r w:rsidR="00CE398D">
        <w:rPr>
          <w:lang w:val="es-MX"/>
        </w:rPr>
        <w:t>.</w:t>
      </w:r>
    </w:p>
    <w:p w14:paraId="6668E0E6" w14:textId="77777777" w:rsidR="003222C3" w:rsidRPr="0060216C" w:rsidRDefault="003222C3" w:rsidP="003222C3">
      <w:pPr>
        <w:widowControl w:val="0"/>
        <w:tabs>
          <w:tab w:val="left" w:pos="567"/>
        </w:tabs>
        <w:adjustRightInd w:val="0"/>
        <w:ind w:right="4"/>
        <w:rPr>
          <w:rFonts w:eastAsia="Calibri" w:cs="Verdana"/>
          <w:spacing w:val="-2"/>
          <w:szCs w:val="20"/>
        </w:rPr>
      </w:pPr>
    </w:p>
    <w:p w14:paraId="321A4DD2" w14:textId="43BFA14D" w:rsidR="001D1187" w:rsidRPr="003222C3" w:rsidRDefault="009455ED" w:rsidP="009F7070">
      <w:pPr>
        <w:widowControl w:val="0"/>
        <w:numPr>
          <w:ilvl w:val="0"/>
          <w:numId w:val="3"/>
        </w:numPr>
        <w:tabs>
          <w:tab w:val="left" w:pos="567"/>
        </w:tabs>
        <w:adjustRightInd w:val="0"/>
        <w:ind w:left="0" w:right="4" w:firstLine="0"/>
        <w:rPr>
          <w:rFonts w:eastAsia="Calibri" w:cs="Verdana"/>
          <w:spacing w:val="-2"/>
          <w:szCs w:val="20"/>
        </w:rPr>
      </w:pPr>
      <w:r w:rsidRPr="0060216C">
        <w:rPr>
          <w:lang w:val="es-MX"/>
        </w:rPr>
        <w:t xml:space="preserve">Los </w:t>
      </w:r>
      <w:r w:rsidRPr="0060216C">
        <w:rPr>
          <w:b/>
          <w:i/>
          <w:lang w:val="es-MX"/>
        </w:rPr>
        <w:t xml:space="preserve">representantes </w:t>
      </w:r>
      <w:r w:rsidRPr="0060216C">
        <w:rPr>
          <w:lang w:val="es-MX"/>
        </w:rPr>
        <w:t>s</w:t>
      </w:r>
      <w:r w:rsidRPr="0060216C">
        <w:rPr>
          <w:rFonts w:eastAsia="Calibri" w:cs="Verdana"/>
          <w:bCs/>
          <w:iCs/>
          <w:szCs w:val="20"/>
          <w:lang w:val="es-MX" w:eastAsia="es-CR"/>
        </w:rPr>
        <w:t>ostuvieron que la excepción preliminar interpuesta por el Estado no reúne ni los aspectos formales ni materiales establecidos por la Convención y la jurisprudencia de la Corte. En lo que respecta a los aspectos formales, alegó que esta excepción no fue presentada en el momento procesa</w:t>
      </w:r>
      <w:r w:rsidRPr="0060216C">
        <w:rPr>
          <w:lang w:val="es-MX"/>
        </w:rPr>
        <w:t>l oportuno, es decir en la decisión de admisibilidad de la Comisión. En lo que respecta a los elementos materiales, señaló que el Estado no demostró que los recursos disponibles eran adecuados, idóneos y efectivos. En consecuencia</w:t>
      </w:r>
      <w:r w:rsidR="0009063B">
        <w:rPr>
          <w:lang w:val="es-MX"/>
        </w:rPr>
        <w:t>,</w:t>
      </w:r>
      <w:r w:rsidRPr="0060216C">
        <w:rPr>
          <w:lang w:val="es-MX"/>
        </w:rPr>
        <w:t xml:space="preserve"> solicitó a la Corte que desestime la excepción prel</w:t>
      </w:r>
      <w:r w:rsidR="003222C3">
        <w:rPr>
          <w:lang w:val="es-MX"/>
        </w:rPr>
        <w:t>iminar presentada por el Estado</w:t>
      </w:r>
      <w:r w:rsidRPr="0060216C">
        <w:rPr>
          <w:lang w:val="es-MX"/>
        </w:rPr>
        <w:t>.</w:t>
      </w:r>
      <w:bookmarkStart w:id="43" w:name="_Toc501211897"/>
    </w:p>
    <w:p w14:paraId="0CCD2D6B" w14:textId="77777777" w:rsidR="003222C3" w:rsidRPr="00594B60" w:rsidRDefault="003222C3" w:rsidP="003222C3">
      <w:pPr>
        <w:widowControl w:val="0"/>
        <w:tabs>
          <w:tab w:val="left" w:pos="567"/>
        </w:tabs>
        <w:adjustRightInd w:val="0"/>
        <w:ind w:right="4"/>
        <w:rPr>
          <w:rFonts w:eastAsia="Calibri" w:cs="Verdana"/>
          <w:spacing w:val="-2"/>
          <w:szCs w:val="20"/>
        </w:rPr>
      </w:pPr>
    </w:p>
    <w:p w14:paraId="70F8CF32" w14:textId="5944F47D" w:rsidR="009455ED" w:rsidRDefault="001D1187" w:rsidP="009F7070">
      <w:pPr>
        <w:pStyle w:val="Ttulo3"/>
        <w:spacing w:before="0"/>
      </w:pPr>
      <w:r>
        <w:tab/>
      </w:r>
      <w:bookmarkStart w:id="44" w:name="_Toc527466468"/>
      <w:r w:rsidR="009455ED" w:rsidRPr="001D1187">
        <w:rPr>
          <w:lang w:val="x-none"/>
        </w:rPr>
        <w:t>A.</w:t>
      </w:r>
      <w:r w:rsidR="009455ED" w:rsidRPr="001D1187">
        <w:t>2</w:t>
      </w:r>
      <w:r w:rsidRPr="001D1187">
        <w:t>.</w:t>
      </w:r>
      <w:r w:rsidR="009455ED" w:rsidRPr="001D1187">
        <w:rPr>
          <w:lang w:val="x-none"/>
        </w:rPr>
        <w:t xml:space="preserve"> </w:t>
      </w:r>
      <w:r w:rsidR="009455ED" w:rsidRPr="001D1187">
        <w:rPr>
          <w:lang w:val="x-none"/>
        </w:rPr>
        <w:tab/>
      </w:r>
      <w:r w:rsidR="009455ED" w:rsidRPr="001D1187">
        <w:t>Consideraciones de la Corte</w:t>
      </w:r>
      <w:bookmarkEnd w:id="43"/>
      <w:bookmarkEnd w:id="44"/>
    </w:p>
    <w:p w14:paraId="189817EB" w14:textId="77777777" w:rsidR="003222C3" w:rsidRPr="003222C3" w:rsidRDefault="003222C3" w:rsidP="003222C3">
      <w:pPr>
        <w:rPr>
          <w:lang w:val="es-CR"/>
        </w:rPr>
      </w:pPr>
    </w:p>
    <w:p w14:paraId="5A9E1212" w14:textId="760FE695" w:rsidR="00BB34F7" w:rsidRPr="003222C3" w:rsidRDefault="003222C3" w:rsidP="009F7070">
      <w:pPr>
        <w:widowControl w:val="0"/>
        <w:numPr>
          <w:ilvl w:val="0"/>
          <w:numId w:val="3"/>
        </w:numPr>
        <w:tabs>
          <w:tab w:val="left" w:pos="567"/>
        </w:tabs>
        <w:adjustRightInd w:val="0"/>
        <w:ind w:left="0" w:right="4" w:firstLine="0"/>
        <w:rPr>
          <w:rFonts w:eastAsia="Calibri" w:cs="Verdana"/>
          <w:spacing w:val="-2"/>
          <w:szCs w:val="20"/>
        </w:rPr>
      </w:pPr>
      <w:r>
        <w:rPr>
          <w:szCs w:val="20"/>
          <w:lang w:val="es-MX"/>
        </w:rPr>
        <w:lastRenderedPageBreak/>
        <w:t>E</w:t>
      </w:r>
      <w:r w:rsidR="009455ED" w:rsidRPr="00BB34F7">
        <w:rPr>
          <w:szCs w:val="20"/>
          <w:lang w:val="es-MX"/>
        </w:rPr>
        <w:t>l artículo 46.1.a) de la Convención dispone que, para determinar la admisibilidad de una petición o comunicación presentada ante la Comisión, de conformidad con los artículos 44 o 45 de la Convención, es necesario que se hayan interpuesto y agotado los recursos de la jurisdicción interna, conforme a los principios del Derecho Internacional generalmente reconocidos</w:t>
      </w:r>
      <w:r w:rsidR="009455ED" w:rsidRPr="00BB34F7">
        <w:rPr>
          <w:rStyle w:val="Refdenotaalpie"/>
          <w:bCs/>
          <w:iCs/>
        </w:rPr>
        <w:footnoteReference w:id="11"/>
      </w:r>
      <w:r w:rsidR="009455ED" w:rsidRPr="00BB34F7">
        <w:rPr>
          <w:szCs w:val="20"/>
          <w:lang w:val="es-MX"/>
        </w:rPr>
        <w:t>.</w:t>
      </w:r>
    </w:p>
    <w:p w14:paraId="6A66FF0A" w14:textId="77777777" w:rsidR="003222C3" w:rsidRDefault="003222C3" w:rsidP="003222C3">
      <w:pPr>
        <w:widowControl w:val="0"/>
        <w:tabs>
          <w:tab w:val="left" w:pos="567"/>
        </w:tabs>
        <w:adjustRightInd w:val="0"/>
        <w:ind w:right="4"/>
        <w:rPr>
          <w:rFonts w:eastAsia="Calibri" w:cs="Verdana"/>
          <w:spacing w:val="-2"/>
          <w:szCs w:val="20"/>
        </w:rPr>
      </w:pPr>
    </w:p>
    <w:p w14:paraId="1597D413" w14:textId="422B2F5D" w:rsidR="00BB34F7" w:rsidRPr="00BB34F7" w:rsidRDefault="00565A66" w:rsidP="009F7070">
      <w:pPr>
        <w:widowControl w:val="0"/>
        <w:numPr>
          <w:ilvl w:val="0"/>
          <w:numId w:val="3"/>
        </w:numPr>
        <w:tabs>
          <w:tab w:val="left" w:pos="567"/>
        </w:tabs>
        <w:adjustRightInd w:val="0"/>
        <w:ind w:left="0" w:right="4" w:firstLine="0"/>
        <w:rPr>
          <w:rFonts w:eastAsia="Calibri" w:cs="Verdana"/>
          <w:spacing w:val="-2"/>
          <w:szCs w:val="20"/>
        </w:rPr>
      </w:pPr>
      <w:r>
        <w:rPr>
          <w:szCs w:val="20"/>
          <w:lang w:eastAsia="es-ES"/>
        </w:rPr>
        <w:t>E</w:t>
      </w:r>
      <w:r w:rsidR="009455ED" w:rsidRPr="00BB34F7">
        <w:rPr>
          <w:szCs w:val="20"/>
        </w:rPr>
        <w:t xml:space="preserve">l Tribunal ha desarrollado pautas para analizar una excepción basada en un presunto incumplimiento del requisito de agotamiento de los recursos internos. Primero, ha interpretado la excepción como una defensa disponible para el Estado, y como tal, puede renunciar a ella, ya sea expresa o tácitamente. Segundo, esta excepción debe presentarse oportunamente con el propósito de que el Estado pueda ejercer su derecho a la defensa. Tercero, la Corte ha afirmado que el Estado que presenta esta excepción debe especificar los recursos internos que aún no se han agotado, y demostrar que estos recursos son </w:t>
      </w:r>
      <w:r w:rsidR="001070DA" w:rsidRPr="00BB34F7">
        <w:rPr>
          <w:szCs w:val="20"/>
        </w:rPr>
        <w:t>disponi</w:t>
      </w:r>
      <w:r w:rsidR="009455ED" w:rsidRPr="00BB34F7">
        <w:rPr>
          <w:szCs w:val="20"/>
        </w:rPr>
        <w:t>bles y efectivos</w:t>
      </w:r>
      <w:r w:rsidR="009455ED" w:rsidRPr="00BB34F7">
        <w:rPr>
          <w:vertAlign w:val="superscript"/>
        </w:rPr>
        <w:footnoteReference w:id="12"/>
      </w:r>
      <w:r w:rsidR="00101969" w:rsidRPr="00BB34F7">
        <w:rPr>
          <w:szCs w:val="20"/>
        </w:rPr>
        <w:t>.</w:t>
      </w:r>
    </w:p>
    <w:p w14:paraId="79844567" w14:textId="77777777" w:rsidR="00BB34F7" w:rsidRDefault="00BB34F7" w:rsidP="009F7070">
      <w:pPr>
        <w:rPr>
          <w:rFonts w:eastAsia="Calibri" w:cs="Verdana"/>
          <w:spacing w:val="-2"/>
          <w:szCs w:val="20"/>
        </w:rPr>
      </w:pPr>
    </w:p>
    <w:p w14:paraId="5A0A87DC" w14:textId="3E70E3FB" w:rsidR="00BB34F7" w:rsidRPr="00BB34F7" w:rsidRDefault="009455ED" w:rsidP="009F7070">
      <w:pPr>
        <w:pStyle w:val="Prrafodelista"/>
        <w:numPr>
          <w:ilvl w:val="0"/>
          <w:numId w:val="3"/>
        </w:numPr>
        <w:ind w:left="0" w:firstLine="0"/>
        <w:rPr>
          <w:rFonts w:eastAsia="Calibri" w:cs="Verdana"/>
          <w:spacing w:val="-2"/>
          <w:szCs w:val="20"/>
        </w:rPr>
      </w:pPr>
      <w:r w:rsidRPr="00BB34F7">
        <w:t>En este sentido, el Tribunal constata que el Estado, en la comunicación de 18 de junio de 2004, mediante la cual responde a la petición de los representantes ante la Comisión Interamericana, instó a las presuntas víctimas a “continuar haciendo uso de los recursos jurídicos y políticos existentes en la jurisdicción interna hasta agotarlos”</w:t>
      </w:r>
      <w:r w:rsidR="00610ED3">
        <w:rPr>
          <w:rStyle w:val="Refdenotaalpie"/>
        </w:rPr>
        <w:footnoteReference w:id="13"/>
      </w:r>
      <w:r w:rsidRPr="00BB34F7">
        <w:t xml:space="preserve">. Asimismo, el Tribunal advierte que el Estado no realizó ninguna otra manifestación respecto a los recursos que debían ser agotados hasta su escrito de contestación de 3 de julio de 2017, es decir ya en la etapa procesal seguida ante esta Corte. En efecto, en dicho escrito, el Estado </w:t>
      </w:r>
      <w:r w:rsidR="00565A66">
        <w:t>informó</w:t>
      </w:r>
      <w:r w:rsidRPr="00BB34F7">
        <w:t xml:space="preserve"> que las presuntas víctimas “no hicieron uso de los artículos 70 y 71 previstos en el Capítulo Nueve Aclaración y Ampliación de la Ley de Amparo, Exhibición Pe</w:t>
      </w:r>
      <w:r w:rsidR="00565A66">
        <w:t>rsonal y de Constitucionalidad”</w:t>
      </w:r>
      <w:r w:rsidR="00BB34F7">
        <w:t>.</w:t>
      </w:r>
    </w:p>
    <w:p w14:paraId="7922D23E" w14:textId="77777777" w:rsidR="00BB34F7" w:rsidRPr="00BB34F7" w:rsidRDefault="00BB34F7" w:rsidP="009F7070">
      <w:pPr>
        <w:rPr>
          <w:szCs w:val="20"/>
        </w:rPr>
      </w:pPr>
    </w:p>
    <w:p w14:paraId="0F89B2F6" w14:textId="6AD83E21" w:rsidR="00BB34F7" w:rsidRPr="00BB34F7" w:rsidRDefault="009455ED" w:rsidP="009F7070">
      <w:pPr>
        <w:pStyle w:val="Prrafodelista"/>
        <w:numPr>
          <w:ilvl w:val="0"/>
          <w:numId w:val="3"/>
        </w:numPr>
        <w:ind w:left="0" w:firstLine="0"/>
        <w:rPr>
          <w:rFonts w:eastAsia="Calibri" w:cs="Verdana"/>
          <w:spacing w:val="-2"/>
          <w:szCs w:val="20"/>
        </w:rPr>
      </w:pPr>
      <w:r w:rsidRPr="00BB34F7">
        <w:rPr>
          <w:szCs w:val="20"/>
        </w:rPr>
        <w:t xml:space="preserve">Al respecto, la Corte advierte que, </w:t>
      </w:r>
      <w:r w:rsidR="00565A66" w:rsidRPr="00BB34F7">
        <w:rPr>
          <w:szCs w:val="20"/>
        </w:rPr>
        <w:t>aun</w:t>
      </w:r>
      <w:r w:rsidRPr="00BB34F7">
        <w:rPr>
          <w:szCs w:val="20"/>
        </w:rPr>
        <w:t xml:space="preserve"> cuando el Estado manifestó, durante la etapa de admisibilidad ante la Comisión, que los peticionarios debían continuar haciendo uso de los recursos jurídicos y políticos existentes en la jurisdicción interna, dichas manifestaciones fueron realizadas de manera genérica, sin indicar los recursos que no se habían agotado ni su efectividad. La Corte recuerda que fue hasta su escrito de contestación que el Estado indicó, por vez primera, los recursos que debían ser agotados por las presuntas víctimas antes de acudir a la jurisdicción internacional.</w:t>
      </w:r>
      <w:r w:rsidRPr="00BB34F7">
        <w:rPr>
          <w:szCs w:val="20"/>
          <w:lang w:eastAsia="es-ES"/>
        </w:rPr>
        <w:t xml:space="preserve"> </w:t>
      </w:r>
      <w:r w:rsidRPr="00BB34F7">
        <w:rPr>
          <w:szCs w:val="20"/>
        </w:rPr>
        <w:t>De esta forma, la Corte considera que, en ningún momento, durante la etapa de admisibilidad, el cual es el momento procesal oportuno para formular una excepción por falta de agotamiento de los recursos internos, el E</w:t>
      </w:r>
      <w:r w:rsidR="0009063B">
        <w:rPr>
          <w:szCs w:val="20"/>
        </w:rPr>
        <w:t>stado invocó de manera clara cuá</w:t>
      </w:r>
      <w:r w:rsidRPr="00BB34F7">
        <w:rPr>
          <w:szCs w:val="20"/>
        </w:rPr>
        <w:t>les eran los recursos que debían ser agotados ni comprobó su efectividad, en los términos del</w:t>
      </w:r>
      <w:r w:rsidR="00101969" w:rsidRPr="00BB34F7">
        <w:rPr>
          <w:szCs w:val="20"/>
        </w:rPr>
        <w:t xml:space="preserve"> artículo 46.1 de la Convención.</w:t>
      </w:r>
    </w:p>
    <w:p w14:paraId="02AD6FC8" w14:textId="77777777" w:rsidR="00BB34F7" w:rsidRPr="00BB34F7" w:rsidRDefault="00BB34F7" w:rsidP="009F7070">
      <w:pPr>
        <w:rPr>
          <w:szCs w:val="20"/>
        </w:rPr>
      </w:pPr>
    </w:p>
    <w:p w14:paraId="4C2FF4EE" w14:textId="3509753A" w:rsidR="009455ED" w:rsidRPr="00BB34F7" w:rsidRDefault="009455ED" w:rsidP="009F7070">
      <w:pPr>
        <w:pStyle w:val="Prrafodelista"/>
        <w:numPr>
          <w:ilvl w:val="0"/>
          <w:numId w:val="3"/>
        </w:numPr>
        <w:ind w:left="0" w:firstLine="0"/>
        <w:rPr>
          <w:rFonts w:eastAsia="Calibri" w:cs="Verdana"/>
          <w:spacing w:val="-2"/>
          <w:szCs w:val="20"/>
        </w:rPr>
      </w:pPr>
      <w:r w:rsidRPr="00BB34F7">
        <w:rPr>
          <w:szCs w:val="20"/>
        </w:rPr>
        <w:t>Por lo anterior, la Corte considera improcedente la excepción prelimin</w:t>
      </w:r>
      <w:r w:rsidR="00CE398D">
        <w:rPr>
          <w:szCs w:val="20"/>
        </w:rPr>
        <w:t>a</w:t>
      </w:r>
      <w:r w:rsidRPr="00BB34F7">
        <w:rPr>
          <w:szCs w:val="20"/>
        </w:rPr>
        <w:t>r de falta de agotamiento de los recursos internos presentada por Guatemala, al haber sido presentada de forma extemporánea.</w:t>
      </w:r>
    </w:p>
    <w:p w14:paraId="66D42AD8" w14:textId="188DC174" w:rsidR="009455ED" w:rsidRDefault="009455ED" w:rsidP="009F7070">
      <w:pPr>
        <w:pStyle w:val="Ttulo1"/>
        <w:spacing w:before="0" w:after="0"/>
      </w:pPr>
      <w:bookmarkStart w:id="45" w:name="_Toc527466469"/>
      <w:r w:rsidRPr="009562E1">
        <w:t>V</w:t>
      </w:r>
      <w:r w:rsidR="001D1187">
        <w:t>.</w:t>
      </w:r>
      <w:r w:rsidRPr="009562E1">
        <w:br/>
        <w:t>consideración previa</w:t>
      </w:r>
      <w:bookmarkEnd w:id="45"/>
    </w:p>
    <w:p w14:paraId="0C23BAA0" w14:textId="77777777" w:rsidR="00565A66" w:rsidRPr="00565A66" w:rsidRDefault="00565A66" w:rsidP="00565A66">
      <w:pPr>
        <w:rPr>
          <w:lang w:val="es-CR" w:eastAsia="es-ES"/>
        </w:rPr>
      </w:pPr>
    </w:p>
    <w:p w14:paraId="747C9F3F" w14:textId="77777777" w:rsidR="009455ED" w:rsidRDefault="009455ED" w:rsidP="009F7070">
      <w:pPr>
        <w:pStyle w:val="Ttulo2"/>
        <w:numPr>
          <w:ilvl w:val="0"/>
          <w:numId w:val="29"/>
        </w:numPr>
        <w:spacing w:before="0" w:after="0"/>
      </w:pPr>
      <w:bookmarkStart w:id="46" w:name="_Toc527466470"/>
      <w:r w:rsidRPr="00F441D1">
        <w:lastRenderedPageBreak/>
        <w:t>Sobre la determinación de las presuntas víctimas en el presente caso</w:t>
      </w:r>
      <w:bookmarkEnd w:id="46"/>
    </w:p>
    <w:p w14:paraId="69D1A844" w14:textId="77777777" w:rsidR="00565A66" w:rsidRPr="00565A66" w:rsidRDefault="00565A66" w:rsidP="00565A66">
      <w:pPr>
        <w:rPr>
          <w:lang w:val="es-CR"/>
        </w:rPr>
      </w:pPr>
    </w:p>
    <w:p w14:paraId="6BF61A9C" w14:textId="59EC204A" w:rsidR="009455ED" w:rsidRPr="001D1187" w:rsidRDefault="00C87515" w:rsidP="009F7070">
      <w:pPr>
        <w:pStyle w:val="Ttulo3"/>
        <w:spacing w:before="0"/>
        <w:rPr>
          <w:b w:val="0"/>
          <w:i w:val="0"/>
        </w:rPr>
      </w:pPr>
      <w:r w:rsidRPr="00BB34F7">
        <w:tab/>
      </w:r>
      <w:bookmarkStart w:id="47" w:name="_Toc527466471"/>
      <w:r w:rsidR="009455ED" w:rsidRPr="001D1187">
        <w:t>A.1</w:t>
      </w:r>
      <w:r w:rsidR="001D1187">
        <w:t>.</w:t>
      </w:r>
      <w:r w:rsidR="009455ED" w:rsidRPr="001D1187">
        <w:t xml:space="preserve"> </w:t>
      </w:r>
      <w:r w:rsidR="009455ED" w:rsidRPr="001D1187">
        <w:tab/>
        <w:t>Alegatos d</w:t>
      </w:r>
      <w:r w:rsidR="007E6B9B">
        <w:t>e las partes y observaciones de la Comisión</w:t>
      </w:r>
      <w:bookmarkEnd w:id="47"/>
    </w:p>
    <w:p w14:paraId="6C4F13FC" w14:textId="77777777" w:rsidR="00BB34F7" w:rsidRDefault="00BB34F7" w:rsidP="009F7070">
      <w:pPr>
        <w:pStyle w:val="Prrafodelista"/>
        <w:ind w:left="0"/>
        <w:rPr>
          <w:rFonts w:eastAsia="Calibri" w:cs="Verdana"/>
          <w:spacing w:val="-2"/>
          <w:szCs w:val="20"/>
        </w:rPr>
      </w:pPr>
    </w:p>
    <w:p w14:paraId="78D5DF71" w14:textId="29E0A206" w:rsidR="007E6B9B" w:rsidRDefault="007E6B9B" w:rsidP="00037DF9">
      <w:pPr>
        <w:pStyle w:val="Prrafodelista"/>
        <w:numPr>
          <w:ilvl w:val="0"/>
          <w:numId w:val="3"/>
        </w:numPr>
        <w:ind w:left="0" w:firstLine="0"/>
        <w:rPr>
          <w:spacing w:val="-2"/>
        </w:rPr>
      </w:pPr>
      <w:r w:rsidRPr="00BB34F7">
        <w:t xml:space="preserve">Los </w:t>
      </w:r>
      <w:r w:rsidRPr="00F947B1">
        <w:rPr>
          <w:i/>
        </w:rPr>
        <w:t>representantes</w:t>
      </w:r>
      <w:r w:rsidRPr="00BB34F7">
        <w:t xml:space="preserve"> manifestaron que Roberto Gómez García, L.A.L., María Elena Morale</w:t>
      </w:r>
      <w:r>
        <w:t>s</w:t>
      </w:r>
      <w:r w:rsidR="00EC402C">
        <w:t xml:space="preserve"> Villafuerte</w:t>
      </w:r>
      <w:r>
        <w:t>, Heidi Mariela Lucas Gonzáles</w:t>
      </w:r>
      <w:r w:rsidRPr="00BB34F7">
        <w:t xml:space="preserve"> y Marvin Josué Lucas González, incluidos como familiares de las víctimas por la Comisión en su Informe de Fondo, son también personas</w:t>
      </w:r>
      <w:r w:rsidR="000A2830">
        <w:t xml:space="preserve"> que viven</w:t>
      </w:r>
      <w:r w:rsidRPr="00BB34F7">
        <w:t xml:space="preserve"> con</w:t>
      </w:r>
      <w:r w:rsidR="00071964">
        <w:t xml:space="preserve"> el</w:t>
      </w:r>
      <w:r w:rsidRPr="00BB34F7">
        <w:t xml:space="preserve"> VIH que se han enfrentado a las mismas violaciones expuestas a lo largo del litigio y, por tanto, </w:t>
      </w:r>
      <w:r>
        <w:t>que debían</w:t>
      </w:r>
      <w:r w:rsidRPr="00BB34F7">
        <w:t xml:space="preserve"> ser consideradas como víctimas directas que no han recibido una atención integral como personas</w:t>
      </w:r>
      <w:r w:rsidR="000A2830">
        <w:t xml:space="preserve"> que viven</w:t>
      </w:r>
      <w:r w:rsidRPr="00BB34F7">
        <w:t xml:space="preserve"> con</w:t>
      </w:r>
      <w:r w:rsidR="00071964">
        <w:t xml:space="preserve"> el</w:t>
      </w:r>
      <w:r w:rsidRPr="00BB34F7">
        <w:t xml:space="preserve"> VIH</w:t>
      </w:r>
      <w:r w:rsidRPr="007E6B9B">
        <w:t>.</w:t>
      </w:r>
      <w:r w:rsidRPr="00F947B1">
        <w:t xml:space="preserve"> </w:t>
      </w:r>
      <w:r w:rsidRPr="00F947B1">
        <w:rPr>
          <w:lang w:val="es-CR"/>
        </w:rPr>
        <w:t xml:space="preserve">Adicionalmente, alegaron que es posible que Katherine Girón Zepeda sea considerada como víctima del presente caso a través de la aplicación del artículo 35.2 del Reglamento, toda vez que se trata de un caso de naturaleza colectiva en la medida en que se trata de 49 presuntas víctimas que no han recibido atención integral, que se encuentran en situación de vulnerabilidad, y que la señora Girón Zepeda se contagió de VIH por la falta de adecuada atención médica a su madre, lo cual derivó </w:t>
      </w:r>
      <w:r>
        <w:rPr>
          <w:lang w:val="es-CR"/>
        </w:rPr>
        <w:t xml:space="preserve">a su vez </w:t>
      </w:r>
      <w:r w:rsidRPr="00F947B1">
        <w:rPr>
          <w:lang w:val="es-CR"/>
        </w:rPr>
        <w:t>en su contagio.</w:t>
      </w:r>
    </w:p>
    <w:p w14:paraId="3282FDA7" w14:textId="77777777" w:rsidR="007E6B9B" w:rsidRPr="00BB34F7" w:rsidRDefault="007E6B9B" w:rsidP="009F7070">
      <w:pPr>
        <w:pStyle w:val="Prrafodelista"/>
        <w:ind w:left="0"/>
        <w:rPr>
          <w:rFonts w:eastAsia="Calibri" w:cs="Verdana"/>
          <w:spacing w:val="-2"/>
          <w:szCs w:val="20"/>
        </w:rPr>
      </w:pPr>
    </w:p>
    <w:p w14:paraId="3F495DAE" w14:textId="5069938F" w:rsidR="009455ED" w:rsidRPr="007E6B9B" w:rsidRDefault="009455ED" w:rsidP="007E6B9B">
      <w:pPr>
        <w:pStyle w:val="Prrafodelista"/>
        <w:numPr>
          <w:ilvl w:val="0"/>
          <w:numId w:val="3"/>
        </w:numPr>
        <w:ind w:left="0" w:firstLine="0"/>
        <w:rPr>
          <w:rFonts w:eastAsia="Calibri" w:cs="Verdana"/>
          <w:spacing w:val="-2"/>
          <w:szCs w:val="20"/>
        </w:rPr>
      </w:pPr>
      <w:r w:rsidRPr="00BB34F7">
        <w:rPr>
          <w:szCs w:val="20"/>
        </w:rPr>
        <w:t xml:space="preserve">La </w:t>
      </w:r>
      <w:r w:rsidRPr="00BB34F7">
        <w:rPr>
          <w:b/>
          <w:i/>
          <w:szCs w:val="20"/>
        </w:rPr>
        <w:t>Comisión</w:t>
      </w:r>
      <w:r w:rsidRPr="00BB34F7">
        <w:rPr>
          <w:szCs w:val="20"/>
        </w:rPr>
        <w:t xml:space="preserve"> manifestó durante la audiencia pública que la información que ha surgido en el presente caso podría justificar la aplicación del artículo 35.2 del Reglamento en cuanto a la necesaria flexibilidad para la individualización de las víctimas, de forma tal que se consideren como víctimas directas a algunas víctimas identificadas como familiares en el Informe de Fondo</w:t>
      </w:r>
      <w:r w:rsidR="00F947B1">
        <w:rPr>
          <w:szCs w:val="20"/>
        </w:rPr>
        <w:t>.</w:t>
      </w:r>
      <w:r w:rsidR="007E6B9B">
        <w:rPr>
          <w:rFonts w:eastAsia="Calibri" w:cs="Verdana"/>
          <w:spacing w:val="-2"/>
          <w:szCs w:val="20"/>
        </w:rPr>
        <w:t xml:space="preserve"> </w:t>
      </w:r>
      <w:r w:rsidRPr="007E6B9B">
        <w:rPr>
          <w:lang w:val="es-CR"/>
        </w:rPr>
        <w:t xml:space="preserve">El </w:t>
      </w:r>
      <w:r w:rsidRPr="007E6B9B">
        <w:rPr>
          <w:b/>
          <w:i/>
          <w:lang w:val="es-CR"/>
        </w:rPr>
        <w:t xml:space="preserve">Estado </w:t>
      </w:r>
      <w:r w:rsidRPr="007E6B9B">
        <w:rPr>
          <w:lang w:val="es-CR"/>
        </w:rPr>
        <w:t>no se pronunció respecto a ninguna de las dos solicitudes.</w:t>
      </w:r>
    </w:p>
    <w:p w14:paraId="39B3F6EE" w14:textId="77777777" w:rsidR="00F947B1" w:rsidRPr="00F947B1" w:rsidRDefault="00F947B1" w:rsidP="009F7070">
      <w:pPr>
        <w:pStyle w:val="Prrafodelista"/>
        <w:ind w:left="0"/>
        <w:rPr>
          <w:rFonts w:eastAsia="Calibri" w:cs="Verdana"/>
          <w:spacing w:val="-2"/>
          <w:szCs w:val="20"/>
        </w:rPr>
      </w:pPr>
    </w:p>
    <w:p w14:paraId="43B18011" w14:textId="4379A4DB" w:rsidR="00F441D1" w:rsidRPr="001D1187" w:rsidRDefault="008E3B9C" w:rsidP="009F7070">
      <w:pPr>
        <w:pStyle w:val="Ttulo3"/>
        <w:spacing w:before="0"/>
        <w:rPr>
          <w:b w:val="0"/>
          <w:i w:val="0"/>
        </w:rPr>
      </w:pPr>
      <w:r w:rsidRPr="00BB34F7">
        <w:tab/>
      </w:r>
      <w:bookmarkStart w:id="48" w:name="_Toc527466472"/>
      <w:r w:rsidR="009455ED" w:rsidRPr="001D1187">
        <w:rPr>
          <w:lang w:val="x-none"/>
        </w:rPr>
        <w:t>A.</w:t>
      </w:r>
      <w:r w:rsidR="009455ED" w:rsidRPr="001D1187">
        <w:t>2</w:t>
      </w:r>
      <w:r w:rsidR="001D1187" w:rsidRPr="001D1187">
        <w:t>.</w:t>
      </w:r>
      <w:r w:rsidR="009455ED" w:rsidRPr="001D1187">
        <w:rPr>
          <w:lang w:val="x-none"/>
        </w:rPr>
        <w:t xml:space="preserve"> </w:t>
      </w:r>
      <w:r w:rsidR="009455ED" w:rsidRPr="001D1187">
        <w:rPr>
          <w:lang w:val="x-none"/>
        </w:rPr>
        <w:tab/>
      </w:r>
      <w:r w:rsidR="009455ED" w:rsidRPr="001D1187">
        <w:t>Consideraciones de la Corte</w:t>
      </w:r>
      <w:bookmarkEnd w:id="48"/>
    </w:p>
    <w:p w14:paraId="6BCF0BCD" w14:textId="77777777" w:rsidR="00F441D1" w:rsidRPr="00F441D1" w:rsidRDefault="00F441D1" w:rsidP="009F7070">
      <w:pPr>
        <w:rPr>
          <w:lang w:val="es-CR"/>
        </w:rPr>
      </w:pPr>
    </w:p>
    <w:p w14:paraId="0BCA9267" w14:textId="183A7DEF" w:rsidR="00F947B1" w:rsidRPr="00F947B1" w:rsidRDefault="00F947B1" w:rsidP="009F7070">
      <w:pPr>
        <w:pStyle w:val="Prrafodelista"/>
        <w:numPr>
          <w:ilvl w:val="0"/>
          <w:numId w:val="3"/>
        </w:numPr>
        <w:ind w:left="0" w:firstLine="0"/>
        <w:rPr>
          <w:rFonts w:eastAsia="Calibri" w:cs="Verdana"/>
          <w:spacing w:val="-2"/>
          <w:szCs w:val="20"/>
        </w:rPr>
      </w:pPr>
      <w:r>
        <w:rPr>
          <w:lang w:val="es-CR"/>
        </w:rPr>
        <w:t>L</w:t>
      </w:r>
      <w:r w:rsidR="009455ED" w:rsidRPr="00F947B1">
        <w:rPr>
          <w:lang w:val="es-CR"/>
        </w:rPr>
        <w:t>a Corte recuerda que, conforme a su jurisprudencia, y de conformidad con el artículo 50 de la Convención, y del artículo 35.1 del Reglamento de la Corte, corresponde a la Comisión</w:t>
      </w:r>
      <w:r w:rsidR="00A131D4">
        <w:rPr>
          <w:lang w:val="es-CR"/>
        </w:rPr>
        <w:t>,</w:t>
      </w:r>
      <w:r w:rsidR="009455ED" w:rsidRPr="00F947B1">
        <w:rPr>
          <w:lang w:val="es-CR"/>
        </w:rPr>
        <w:t xml:space="preserve"> y no a este Tribunal</w:t>
      </w:r>
      <w:r w:rsidR="00A131D4">
        <w:rPr>
          <w:lang w:val="es-CR"/>
        </w:rPr>
        <w:t>,</w:t>
      </w:r>
      <w:r w:rsidR="009455ED" w:rsidRPr="00F947B1">
        <w:rPr>
          <w:lang w:val="es-CR"/>
        </w:rPr>
        <w:t xml:space="preserve"> identificar con precisión, y en la debida oportunidad procesal, a las presuntas víctimas en un caso ante esta Corte</w:t>
      </w:r>
      <w:r w:rsidR="009455ED" w:rsidRPr="00BB34F7">
        <w:rPr>
          <w:vertAlign w:val="superscript"/>
          <w:lang w:val="es-CR"/>
        </w:rPr>
        <w:footnoteReference w:id="14"/>
      </w:r>
      <w:r w:rsidR="00A131D4">
        <w:rPr>
          <w:lang w:val="es-CR"/>
        </w:rPr>
        <w:t>.</w:t>
      </w:r>
      <w:r w:rsidR="009455ED" w:rsidRPr="00F947B1">
        <w:rPr>
          <w:lang w:val="es-CR"/>
        </w:rPr>
        <w:t xml:space="preserve"> La seguridad jurídica exige, como regla general, que todas las presuntas víctimas estén debidamente identificadas en el Informe de Fondo, no siendo posible añadir nuevas presuntas víctimas en etapas posteriores, sin que ello conlleve un perjuicio al derecho a la defensa del Estado demandado</w:t>
      </w:r>
      <w:r w:rsidR="009455ED" w:rsidRPr="00BB34F7">
        <w:rPr>
          <w:vertAlign w:val="superscript"/>
          <w:lang w:val="es-CR"/>
        </w:rPr>
        <w:footnoteReference w:id="15"/>
      </w:r>
      <w:r w:rsidR="009455ED" w:rsidRPr="00F947B1">
        <w:rPr>
          <w:lang w:val="es-CR"/>
        </w:rPr>
        <w:t>. El propio Reglamento prevé la excepción a esta regla en su artículo 35.2, al establecer que “cuando se justificare que no fue posible identificar a alguna o algunas de las presuntas víctimas de los hechos del caso por tratarse de casos de violaciones masivas o colectivas, el Tribunal decidirá en su oportunidad si las considera víctimas”</w:t>
      </w:r>
      <w:r w:rsidR="009455ED" w:rsidRPr="00BB34F7">
        <w:rPr>
          <w:rFonts w:cs="Arial"/>
          <w:vertAlign w:val="superscript"/>
          <w:lang w:val="es-ES"/>
        </w:rPr>
        <w:footnoteReference w:id="16"/>
      </w:r>
      <w:r w:rsidR="009455ED" w:rsidRPr="00F947B1">
        <w:rPr>
          <w:lang w:val="es-CR"/>
        </w:rPr>
        <w:t>.</w:t>
      </w:r>
    </w:p>
    <w:p w14:paraId="61D6A181" w14:textId="77777777" w:rsidR="00F947B1" w:rsidRPr="00F947B1" w:rsidRDefault="00F947B1" w:rsidP="009F7070">
      <w:pPr>
        <w:pStyle w:val="Prrafodelista"/>
        <w:ind w:left="0"/>
        <w:rPr>
          <w:rFonts w:eastAsia="Calibri" w:cs="Verdana"/>
          <w:spacing w:val="-2"/>
          <w:szCs w:val="20"/>
        </w:rPr>
      </w:pPr>
    </w:p>
    <w:p w14:paraId="6D5CEB07" w14:textId="6E8C5329" w:rsidR="00F947B1" w:rsidRPr="00F947B1" w:rsidRDefault="00CA60EE" w:rsidP="009F7070">
      <w:pPr>
        <w:pStyle w:val="Prrafodelista"/>
        <w:numPr>
          <w:ilvl w:val="0"/>
          <w:numId w:val="3"/>
        </w:numPr>
        <w:ind w:left="0" w:firstLine="0"/>
        <w:rPr>
          <w:rFonts w:eastAsia="Calibri" w:cs="Verdana"/>
          <w:spacing w:val="-2"/>
          <w:szCs w:val="20"/>
        </w:rPr>
      </w:pPr>
      <w:r w:rsidRPr="00F947B1">
        <w:rPr>
          <w:rFonts w:eastAsia="Verdana"/>
          <w:lang w:val="es-CR"/>
        </w:rPr>
        <w:t xml:space="preserve">La </w:t>
      </w:r>
      <w:r w:rsidR="009455ED" w:rsidRPr="00F947B1">
        <w:rPr>
          <w:rFonts w:eastAsia="Verdana"/>
          <w:lang w:val="es-CR"/>
        </w:rPr>
        <w:t xml:space="preserve">Corte recuerda </w:t>
      </w:r>
      <w:r w:rsidR="009455ED" w:rsidRPr="00F947B1">
        <w:rPr>
          <w:lang w:val="es-ES"/>
        </w:rPr>
        <w:t>que ha evaluado la aplicación del artículo 35.2 del Reglamento con base en las características particulares de cada caso</w:t>
      </w:r>
      <w:r w:rsidR="009455ED" w:rsidRPr="00BB34F7">
        <w:rPr>
          <w:vertAlign w:val="superscript"/>
          <w:lang w:val="es-ES"/>
        </w:rPr>
        <w:footnoteReference w:id="17"/>
      </w:r>
      <w:r w:rsidR="009455ED" w:rsidRPr="00F947B1">
        <w:rPr>
          <w:lang w:val="es-ES"/>
        </w:rPr>
        <w:t xml:space="preserve">, y lo ha aplicado en casos masivos o </w:t>
      </w:r>
      <w:r w:rsidR="009455ED" w:rsidRPr="00F947B1">
        <w:rPr>
          <w:lang w:val="es-ES"/>
        </w:rPr>
        <w:lastRenderedPageBreak/>
        <w:t>colectivos con dificultades para identificar o contactar a todas las presuntas víctimas, por ejemplo, debido a la presencia de un conflicto armado, el desplazamiento o la quema de los cuerpos de las presuntas víctimas, o en casos en que familias enteras han sido desaparecidas, por lo que no habría nadie que pudiera hablar por ellos. También ha tomado en cuenta la dificultad de acceder al área donde ocurrieron los hechos, la falta de registros respecto de los habitantes del lugar y el transcurso del tiempo, así como características particulares de las presuntas víctimas del caso, por ejemplo, cuando estas han conformado clanes familiares con nombres y apellidos similares, o al tratarse de migrantes. Igualmente, ha considerado la conducta del Estado, por ejemplo, cuando existen alegatos de que la falta de investigación contribuyó a la incompleta identificación de las presuntas víctimas, y en un caso de esclavitud.</w:t>
      </w:r>
    </w:p>
    <w:p w14:paraId="4F0F8C1F" w14:textId="77777777" w:rsidR="00F947B1" w:rsidRPr="00F947B1" w:rsidRDefault="00F947B1" w:rsidP="009F7070">
      <w:pPr>
        <w:pStyle w:val="Prrafodelista"/>
        <w:ind w:left="0"/>
        <w:rPr>
          <w:rFonts w:eastAsia="Calibri" w:cs="Verdana"/>
          <w:spacing w:val="-2"/>
          <w:szCs w:val="20"/>
        </w:rPr>
      </w:pPr>
    </w:p>
    <w:p w14:paraId="2030E56B" w14:textId="0129FE44" w:rsidR="00F947B1" w:rsidRPr="00F947B1" w:rsidRDefault="009455ED" w:rsidP="009F7070">
      <w:pPr>
        <w:pStyle w:val="Prrafodelista"/>
        <w:numPr>
          <w:ilvl w:val="0"/>
          <w:numId w:val="3"/>
        </w:numPr>
        <w:ind w:left="0" w:firstLine="0"/>
        <w:rPr>
          <w:rFonts w:eastAsia="Calibri" w:cs="Verdana"/>
          <w:spacing w:val="-2"/>
          <w:szCs w:val="20"/>
        </w:rPr>
      </w:pPr>
      <w:r w:rsidRPr="00F947B1">
        <w:rPr>
          <w:lang w:val="es-CR"/>
        </w:rPr>
        <w:t>En el presente caso, la Corte constata que Roberto Gómez García, L.A.L., María Elena Morales</w:t>
      </w:r>
      <w:r w:rsidR="00EC402C">
        <w:rPr>
          <w:lang w:val="es-CR"/>
        </w:rPr>
        <w:t xml:space="preserve"> Villafuerte</w:t>
      </w:r>
      <w:r w:rsidR="007E6B9B">
        <w:rPr>
          <w:lang w:val="es-CR"/>
        </w:rPr>
        <w:t xml:space="preserve">, Heidi Mariela Lucas Gonzáles </w:t>
      </w:r>
      <w:r w:rsidRPr="00F947B1">
        <w:rPr>
          <w:lang w:val="es-CR"/>
        </w:rPr>
        <w:t xml:space="preserve">y Marvin Josué Lucas González, no fueron incluidos como víctimas directas por la Comisión en su Informe de Fondo, sino como familiares de las presuntas víctimas. Asimismo, la Corte advierte que los hechos planteados por la Comisión, en su Informe de Fondo, no hacen referencia alguna a la situación de salud de los familiares de las presuntas víctimas, ni a la atención médica que habrían recibido o dejado de recibir, sino que se refiere </w:t>
      </w:r>
      <w:r w:rsidR="00A131D4">
        <w:rPr>
          <w:lang w:val="es-CR"/>
        </w:rPr>
        <w:t>de manera genérica</w:t>
      </w:r>
      <w:r w:rsidRPr="00F947B1">
        <w:rPr>
          <w:lang w:val="es-CR"/>
        </w:rPr>
        <w:t xml:space="preserve"> a las afectaciones a la integridad psíquica y moral que habrían sufrido los familiares y/o el círculo más cercano de las presuntas víctimas directas. Al respecto, la Corte considera que, en virtud del artículo 35.1 del Reglamento, y en resguardo del equilibrio procesal de las partes, y del derecho de defensa del Estado, que incluye el derecho del Estado de pronunciarse, en la debida oportunidad procesal, sobre alegadas violaciones a los derechos de las presuntas víctimas y sobre los hechos que las sustentan, la solicitud de los representantes de incluir a los familiares de las </w:t>
      </w:r>
      <w:r w:rsidR="000A2830">
        <w:rPr>
          <w:lang w:val="es-CR"/>
        </w:rPr>
        <w:t xml:space="preserve">presuntas </w:t>
      </w:r>
      <w:r w:rsidRPr="00F947B1">
        <w:rPr>
          <w:lang w:val="es-CR"/>
        </w:rPr>
        <w:t>víctimas como víctimas directas es improcedente.</w:t>
      </w:r>
    </w:p>
    <w:p w14:paraId="769056D7" w14:textId="77777777" w:rsidR="00F947B1" w:rsidRPr="00F947B1" w:rsidRDefault="00F947B1" w:rsidP="009F7070">
      <w:pPr>
        <w:pStyle w:val="Prrafodelista"/>
        <w:ind w:left="0"/>
        <w:rPr>
          <w:rFonts w:eastAsia="Calibri" w:cs="Verdana"/>
          <w:spacing w:val="-2"/>
          <w:szCs w:val="20"/>
        </w:rPr>
      </w:pPr>
    </w:p>
    <w:p w14:paraId="49594680" w14:textId="126BBD84" w:rsidR="009455ED" w:rsidRPr="007E6B9B" w:rsidRDefault="009455ED" w:rsidP="009F7070">
      <w:pPr>
        <w:pStyle w:val="Prrafodelista"/>
        <w:numPr>
          <w:ilvl w:val="0"/>
          <w:numId w:val="3"/>
        </w:numPr>
        <w:ind w:left="0" w:firstLine="0"/>
        <w:rPr>
          <w:rFonts w:eastAsia="Calibri" w:cs="Verdana"/>
          <w:spacing w:val="-2"/>
          <w:szCs w:val="20"/>
        </w:rPr>
      </w:pPr>
      <w:r w:rsidRPr="00F947B1">
        <w:rPr>
          <w:lang w:val="es-CR"/>
        </w:rPr>
        <w:t>Por otro lado, la Corte considera que el hecho de que el presente caso se relacione con alegadas violaciones de los derechos de 49 personas no implica que se trate de un caso de violaciones masivas o colectivas en términos del artículo 35.2 del Reglamento, ni exime a los representantes de identificar a las presuntas víctimas en el momento procesal oportuno. La Corte advierte que el hecho de que la señora Katherine Alejandra Girón Zepeda fuera diagnosticada con</w:t>
      </w:r>
      <w:r w:rsidR="00071964">
        <w:rPr>
          <w:lang w:val="es-CR"/>
        </w:rPr>
        <w:t xml:space="preserve"> el</w:t>
      </w:r>
      <w:r w:rsidRPr="00F947B1">
        <w:rPr>
          <w:lang w:val="es-CR"/>
        </w:rPr>
        <w:t xml:space="preserve"> VIH en el año 2001 ofreció amplias posibilidades a los representantes para recabar la información relacionada con su condición y presentarla ante la Comisión. En ese sentido, no se evidencian dificultades materiales o prácticas de tal magnitud que podrían haber impedido a los representantes la identificación de la señora Girón Zepeda como presunta víctima del caso. Al respecto, la Corte considera que, aun </w:t>
      </w:r>
      <w:r w:rsidR="00BB34F7" w:rsidRPr="00F947B1">
        <w:rPr>
          <w:lang w:val="es-CR"/>
        </w:rPr>
        <w:t>en la hipótesis en que</w:t>
      </w:r>
      <w:r w:rsidRPr="00F947B1">
        <w:rPr>
          <w:lang w:val="es-CR"/>
        </w:rPr>
        <w:t xml:space="preserve"> una presunta víctima se encuentre en situación de vulnerabilidad, corresponde a los representantes probar ante e</w:t>
      </w:r>
      <w:r w:rsidR="00BB34F7" w:rsidRPr="00F947B1">
        <w:rPr>
          <w:lang w:val="es-CR"/>
        </w:rPr>
        <w:t>ste Tribunal cómo é</w:t>
      </w:r>
      <w:r w:rsidRPr="00F947B1">
        <w:rPr>
          <w:lang w:val="es-CR"/>
        </w:rPr>
        <w:t>sta condición impidió la identificación de una presunta víctima, situación que no ocurrió en el presente caso. En consecuencia, la solicitud de los representantes de incluir a</w:t>
      </w:r>
      <w:r w:rsidR="007E6B9B">
        <w:rPr>
          <w:lang w:val="es-CR"/>
        </w:rPr>
        <w:t xml:space="preserve"> la señora</w:t>
      </w:r>
      <w:r w:rsidRPr="00F947B1">
        <w:rPr>
          <w:lang w:val="es-CR"/>
        </w:rPr>
        <w:t xml:space="preserve"> Girón Zepeda como presunta víctima del caso es improcedente.</w:t>
      </w:r>
    </w:p>
    <w:p w14:paraId="719E321F" w14:textId="77777777" w:rsidR="007E6B9B" w:rsidRPr="00F947B1" w:rsidRDefault="007E6B9B" w:rsidP="007E6B9B">
      <w:pPr>
        <w:pStyle w:val="Prrafodelista"/>
        <w:ind w:left="0"/>
        <w:rPr>
          <w:rFonts w:eastAsia="Calibri" w:cs="Verdana"/>
          <w:spacing w:val="-2"/>
          <w:szCs w:val="20"/>
        </w:rPr>
      </w:pPr>
    </w:p>
    <w:p w14:paraId="00F272AC" w14:textId="3106E216" w:rsidR="00F162A7" w:rsidRDefault="00F162A7" w:rsidP="009F7070">
      <w:pPr>
        <w:pStyle w:val="Ttulo1"/>
        <w:spacing w:before="0" w:after="0"/>
      </w:pPr>
      <w:bookmarkStart w:id="49" w:name="_Toc486693357"/>
      <w:bookmarkStart w:id="50" w:name="_Toc486842773"/>
      <w:bookmarkStart w:id="51" w:name="_Toc486842911"/>
      <w:bookmarkStart w:id="52" w:name="_Toc508792634"/>
      <w:bookmarkStart w:id="53" w:name="_Toc510690629"/>
      <w:bookmarkStart w:id="54" w:name="_Toc527466473"/>
      <w:r w:rsidRPr="0060216C">
        <w:t>V</w:t>
      </w:r>
      <w:r w:rsidR="001E65B3" w:rsidRPr="0060216C">
        <w:t>I</w:t>
      </w:r>
      <w:r w:rsidR="001D1187">
        <w:t>.</w:t>
      </w:r>
      <w:r w:rsidRPr="0060216C">
        <w:rPr>
          <w:color w:val="FFFFFF" w:themeColor="background1"/>
        </w:rPr>
        <w:t>.</w:t>
      </w:r>
      <w:r w:rsidRPr="0060216C">
        <w:br/>
        <w:t>PRUEBA</w:t>
      </w:r>
      <w:bookmarkEnd w:id="49"/>
      <w:bookmarkEnd w:id="50"/>
      <w:bookmarkEnd w:id="51"/>
      <w:bookmarkEnd w:id="52"/>
      <w:bookmarkEnd w:id="53"/>
      <w:bookmarkEnd w:id="54"/>
    </w:p>
    <w:p w14:paraId="10C318B5" w14:textId="77777777" w:rsidR="007E6B9B" w:rsidRPr="007E6B9B" w:rsidRDefault="007E6B9B" w:rsidP="007E6B9B">
      <w:pPr>
        <w:rPr>
          <w:lang w:val="es-CR" w:eastAsia="es-ES"/>
        </w:rPr>
      </w:pPr>
    </w:p>
    <w:p w14:paraId="76710129" w14:textId="5B5DE2F8" w:rsidR="001E7869" w:rsidRDefault="001E7869" w:rsidP="009F7070">
      <w:pPr>
        <w:pStyle w:val="Ttulo2"/>
        <w:numPr>
          <w:ilvl w:val="0"/>
          <w:numId w:val="30"/>
        </w:numPr>
        <w:spacing w:before="0" w:after="0"/>
      </w:pPr>
      <w:bookmarkStart w:id="55" w:name="_Toc527466474"/>
      <w:r>
        <w:t>Admisibilidad de la prueba documental</w:t>
      </w:r>
      <w:bookmarkEnd w:id="55"/>
    </w:p>
    <w:p w14:paraId="143912B3" w14:textId="77777777" w:rsidR="007E6B9B" w:rsidRPr="007E6B9B" w:rsidRDefault="007E6B9B" w:rsidP="007E6B9B">
      <w:pPr>
        <w:rPr>
          <w:lang w:val="es-CR"/>
        </w:rPr>
      </w:pPr>
    </w:p>
    <w:p w14:paraId="39E16CFC" w14:textId="01BC6593" w:rsidR="001E7869" w:rsidRDefault="001E7869" w:rsidP="00037DF9">
      <w:pPr>
        <w:pStyle w:val="Prrafodelista"/>
        <w:numPr>
          <w:ilvl w:val="0"/>
          <w:numId w:val="3"/>
        </w:numPr>
        <w:ind w:left="0" w:firstLine="0"/>
      </w:pPr>
      <w:bookmarkStart w:id="56" w:name="_Toc486693358"/>
      <w:bookmarkStart w:id="57" w:name="_Toc486842774"/>
      <w:bookmarkStart w:id="58" w:name="_Toc486842912"/>
      <w:bookmarkStart w:id="59" w:name="_Toc508792635"/>
      <w:bookmarkStart w:id="60" w:name="_Toc510690630"/>
      <w:r w:rsidRPr="001E7869">
        <w:t>El Tribunal recibió diversos documentos presentados como prueba por la Comisión, los representantes y el Estado</w:t>
      </w:r>
      <w:r w:rsidR="008C74DF">
        <w:t>,</w:t>
      </w:r>
      <w:r w:rsidRPr="001E7869">
        <w:t xml:space="preserve"> o solicitados como prueba para mejor resolver por la Corte o su </w:t>
      </w:r>
      <w:r w:rsidRPr="001E7869">
        <w:lastRenderedPageBreak/>
        <w:t xml:space="preserve">Presidencia, los cuales, como en otros casos, admite </w:t>
      </w:r>
      <w:r w:rsidR="00F8006A">
        <w:t>aquellos</w:t>
      </w:r>
      <w:r w:rsidRPr="001E7869">
        <w:t xml:space="preserve"> que fueron presentados en la debida oportunidad procesal (artículo 57 del Reglamento)</w:t>
      </w:r>
      <w:r w:rsidRPr="001E7869">
        <w:rPr>
          <w:rStyle w:val="Refdenotaalpie"/>
        </w:rPr>
        <w:footnoteReference w:id="18"/>
      </w:r>
      <w:r w:rsidRPr="001E7869">
        <w:t xml:space="preserve"> y su admisibilidad no fue controvertida ni objetada</w:t>
      </w:r>
      <w:r w:rsidRPr="001E7869">
        <w:rPr>
          <w:rStyle w:val="Refdenotaalpie"/>
        </w:rPr>
        <w:footnoteReference w:id="19"/>
      </w:r>
      <w:r w:rsidRPr="001E7869">
        <w:t>.</w:t>
      </w:r>
    </w:p>
    <w:p w14:paraId="4CDAAC03" w14:textId="77777777" w:rsidR="001E7869" w:rsidRDefault="001E7869" w:rsidP="003C2AC6">
      <w:pPr>
        <w:pStyle w:val="PrrafodeSentencia"/>
      </w:pPr>
    </w:p>
    <w:p w14:paraId="60283573" w14:textId="57DEEF39" w:rsidR="001E7869" w:rsidRPr="00B27D31" w:rsidRDefault="003B3DE3" w:rsidP="00037DF9">
      <w:pPr>
        <w:pStyle w:val="Prrafodelista"/>
        <w:numPr>
          <w:ilvl w:val="0"/>
          <w:numId w:val="3"/>
        </w:numPr>
        <w:ind w:left="0" w:firstLine="0"/>
        <w:rPr>
          <w:lang w:val="es-CR"/>
        </w:rPr>
      </w:pPr>
      <w:r>
        <w:t>L</w:t>
      </w:r>
      <w:r w:rsidR="001E7869" w:rsidRPr="0060216C">
        <w:t>os representantes solicitaron a la Corte rechazar los anexos 3, 4, 7 y 10 presentados por el Estado</w:t>
      </w:r>
      <w:r w:rsidR="00385DF7">
        <w:t xml:space="preserve"> como anexos a sus alegatos finales escritos</w:t>
      </w:r>
      <w:r w:rsidR="00385DF7">
        <w:rPr>
          <w:rStyle w:val="Refdenotaalpie"/>
        </w:rPr>
        <w:footnoteReference w:id="20"/>
      </w:r>
      <w:r w:rsidR="001E7869" w:rsidRPr="0060216C">
        <w:t xml:space="preserve">. </w:t>
      </w:r>
      <w:r w:rsidR="00385DF7">
        <w:t xml:space="preserve">Al respecto, este Tribunal advierte que </w:t>
      </w:r>
      <w:r w:rsidR="001E7869" w:rsidRPr="0060216C">
        <w:t>el anexo 10 fue remitido con anterioridad como anexo 1 del escrito de contestación</w:t>
      </w:r>
      <w:r w:rsidR="00385DF7">
        <w:t>, por lo</w:t>
      </w:r>
      <w:r w:rsidR="001E7869" w:rsidRPr="0060216C">
        <w:t xml:space="preserve"> que ambos documentos forman parte del acervo probatorio del presente caso</w:t>
      </w:r>
      <w:r w:rsidR="00385DF7">
        <w:t>.</w:t>
      </w:r>
      <w:r w:rsidR="001E7869" w:rsidRPr="0060216C">
        <w:t xml:space="preserve"> En relación a los anexos 3</w:t>
      </w:r>
      <w:r w:rsidR="001E7869">
        <w:t>,</w:t>
      </w:r>
      <w:r w:rsidR="001E7869" w:rsidRPr="0060216C">
        <w:t xml:space="preserve"> 4</w:t>
      </w:r>
      <w:r w:rsidR="001E7869">
        <w:t xml:space="preserve"> y 7</w:t>
      </w:r>
      <w:r w:rsidR="001E7869" w:rsidRPr="0060216C">
        <w:t xml:space="preserve"> presentados por el Estado</w:t>
      </w:r>
      <w:r w:rsidR="001E7869">
        <w:t>,</w:t>
      </w:r>
      <w:r w:rsidR="001E7869" w:rsidRPr="0060216C">
        <w:t xml:space="preserve"> </w:t>
      </w:r>
      <w:r w:rsidR="001E7869">
        <w:t>los cuales fueron</w:t>
      </w:r>
      <w:r w:rsidR="001E7869" w:rsidRPr="0060216C">
        <w:t xml:space="preserve"> objetados por los representantes, la Corte constata que </w:t>
      </w:r>
      <w:r w:rsidR="001E7869">
        <w:t>éstos</w:t>
      </w:r>
      <w:r w:rsidR="001E7869" w:rsidRPr="0060216C">
        <w:t xml:space="preserve"> </w:t>
      </w:r>
      <w:r w:rsidR="001E7869">
        <w:t>contienen información pertinente que además es útil para la resolución de este caso</w:t>
      </w:r>
      <w:r w:rsidR="00385DF7">
        <w:t xml:space="preserve">. En consecuencia, la Corte admite los anexos </w:t>
      </w:r>
      <w:r w:rsidR="00385DF7" w:rsidRPr="0060216C">
        <w:t>3, 4, 7 y 10</w:t>
      </w:r>
      <w:r w:rsidR="00B27D31">
        <w:t xml:space="preserve"> antes mencionados</w:t>
      </w:r>
      <w:r w:rsidR="001E7869" w:rsidRPr="0060216C">
        <w:t>.</w:t>
      </w:r>
    </w:p>
    <w:p w14:paraId="44B0451F" w14:textId="77777777" w:rsidR="00B27D31" w:rsidRPr="00385DF7" w:rsidRDefault="00B27D31" w:rsidP="003C2AC6">
      <w:pPr>
        <w:pStyle w:val="PrrafodeSentencia"/>
      </w:pPr>
    </w:p>
    <w:p w14:paraId="7025DF9D" w14:textId="0CCC7E5F" w:rsidR="00462A40" w:rsidRDefault="001E7869" w:rsidP="009F7070">
      <w:pPr>
        <w:pStyle w:val="Ttulo2"/>
        <w:numPr>
          <w:ilvl w:val="0"/>
          <w:numId w:val="30"/>
        </w:numPr>
        <w:spacing w:before="0" w:after="0"/>
      </w:pPr>
      <w:bookmarkStart w:id="61" w:name="_Toc527466475"/>
      <w:r>
        <w:t>Admisibilidad de la prueba</w:t>
      </w:r>
      <w:r w:rsidR="00462A40" w:rsidRPr="0060216C">
        <w:t xml:space="preserve"> testimonial y pericial</w:t>
      </w:r>
      <w:bookmarkEnd w:id="56"/>
      <w:bookmarkEnd w:id="57"/>
      <w:bookmarkEnd w:id="58"/>
      <w:bookmarkEnd w:id="59"/>
      <w:bookmarkEnd w:id="60"/>
      <w:bookmarkEnd w:id="61"/>
    </w:p>
    <w:p w14:paraId="3F3CD8B0" w14:textId="77777777" w:rsidR="00B27D31" w:rsidRPr="00B27D31" w:rsidRDefault="00B27D31" w:rsidP="00B27D31">
      <w:pPr>
        <w:rPr>
          <w:lang w:val="es-CR"/>
        </w:rPr>
      </w:pPr>
    </w:p>
    <w:p w14:paraId="437734E7" w14:textId="7FBFD05F" w:rsidR="00002C47" w:rsidRPr="000A2830" w:rsidRDefault="003B3DE3" w:rsidP="009F7070">
      <w:pPr>
        <w:pStyle w:val="Prrafodelista"/>
        <w:numPr>
          <w:ilvl w:val="0"/>
          <w:numId w:val="3"/>
        </w:numPr>
        <w:ind w:left="0" w:firstLine="0"/>
        <w:rPr>
          <w:lang w:val="es-CR"/>
        </w:rPr>
      </w:pPr>
      <w:r>
        <w:rPr>
          <w:lang w:val="es-ES"/>
        </w:rPr>
        <w:t>L</w:t>
      </w:r>
      <w:r w:rsidR="00CF361F" w:rsidRPr="0060216C">
        <w:rPr>
          <w:lang w:val="es-ES"/>
        </w:rPr>
        <w:t>a Corte recibió declaraciones rendidas ante fedatario público (</w:t>
      </w:r>
      <w:r w:rsidR="00CF361F" w:rsidRPr="0060216C">
        <w:rPr>
          <w:iCs/>
          <w:lang w:val="es-ES"/>
        </w:rPr>
        <w:t>affidavit</w:t>
      </w:r>
      <w:r w:rsidR="00CF361F" w:rsidRPr="0060216C">
        <w:rPr>
          <w:lang w:val="es-ES"/>
        </w:rPr>
        <w:t>)</w:t>
      </w:r>
      <w:r>
        <w:rPr>
          <w:lang w:val="es-ES"/>
        </w:rPr>
        <w:t xml:space="preserve"> por el perito</w:t>
      </w:r>
      <w:r w:rsidR="00A131D4">
        <w:rPr>
          <w:szCs w:val="16"/>
        </w:rPr>
        <w:t xml:space="preserve"> </w:t>
      </w:r>
      <w:r w:rsidR="00A131D4" w:rsidRPr="005E0233">
        <w:rPr>
          <w:szCs w:val="16"/>
          <w:lang w:val="es-ES"/>
        </w:rPr>
        <w:t xml:space="preserve">Óscar A. Cabrera, </w:t>
      </w:r>
      <w:r>
        <w:rPr>
          <w:szCs w:val="16"/>
          <w:lang w:val="es-ES"/>
        </w:rPr>
        <w:t xml:space="preserve">así como por las presuntas víctimas </w:t>
      </w:r>
      <w:r w:rsidR="00A131D4" w:rsidRPr="005E0233">
        <w:rPr>
          <w:szCs w:val="16"/>
          <w:lang w:val="es-ES"/>
        </w:rPr>
        <w:t xml:space="preserve">Sandra Lisbeth Zepeda Herrera, Francisco </w:t>
      </w:r>
      <w:proofErr w:type="spellStart"/>
      <w:r w:rsidR="00A131D4" w:rsidRPr="005E0233">
        <w:rPr>
          <w:szCs w:val="16"/>
          <w:lang w:val="es-ES"/>
        </w:rPr>
        <w:t>Sop</w:t>
      </w:r>
      <w:proofErr w:type="spellEnd"/>
      <w:r w:rsidR="00A131D4" w:rsidRPr="005E0233">
        <w:rPr>
          <w:szCs w:val="16"/>
          <w:lang w:val="es-ES"/>
        </w:rPr>
        <w:t xml:space="preserve"> </w:t>
      </w:r>
      <w:proofErr w:type="spellStart"/>
      <w:r w:rsidR="00A131D4" w:rsidRPr="005E0233">
        <w:rPr>
          <w:szCs w:val="16"/>
          <w:lang w:val="es-ES"/>
        </w:rPr>
        <w:t>Qu</w:t>
      </w:r>
      <w:r w:rsidR="00B24375">
        <w:rPr>
          <w:szCs w:val="16"/>
          <w:lang w:val="es-ES"/>
        </w:rPr>
        <w:t>iej</w:t>
      </w:r>
      <w:proofErr w:type="spellEnd"/>
      <w:r w:rsidR="00B24375">
        <w:rPr>
          <w:szCs w:val="16"/>
          <w:lang w:val="es-ES"/>
        </w:rPr>
        <w:t xml:space="preserve">, Dora Marina Martínez </w:t>
      </w:r>
      <w:proofErr w:type="spellStart"/>
      <w:r w:rsidR="00B24375">
        <w:rPr>
          <w:szCs w:val="16"/>
          <w:lang w:val="es-ES"/>
        </w:rPr>
        <w:t>Sofoij</w:t>
      </w:r>
      <w:r w:rsidR="00A131D4" w:rsidRPr="005E0233">
        <w:rPr>
          <w:szCs w:val="16"/>
          <w:lang w:val="es-ES"/>
        </w:rPr>
        <w:t>a</w:t>
      </w:r>
      <w:proofErr w:type="spellEnd"/>
      <w:r w:rsidR="00A131D4" w:rsidRPr="005E0233">
        <w:rPr>
          <w:szCs w:val="16"/>
          <w:lang w:val="es-ES"/>
        </w:rPr>
        <w:t xml:space="preserve">, </w:t>
      </w:r>
      <w:r w:rsidR="00A131D4" w:rsidRPr="005E0233">
        <w:rPr>
          <w:szCs w:val="16"/>
          <w:lang w:val="es-CR"/>
        </w:rPr>
        <w:t xml:space="preserve">Carlos Fernando </w:t>
      </w:r>
      <w:proofErr w:type="spellStart"/>
      <w:r w:rsidR="00A131D4" w:rsidRPr="005E0233">
        <w:rPr>
          <w:szCs w:val="16"/>
          <w:lang w:val="es-CR"/>
        </w:rPr>
        <w:t>Coc</w:t>
      </w:r>
      <w:proofErr w:type="spellEnd"/>
      <w:r w:rsidR="00A131D4" w:rsidRPr="005E0233">
        <w:rPr>
          <w:szCs w:val="16"/>
          <w:lang w:val="es-CR"/>
        </w:rPr>
        <w:t xml:space="preserve"> Chajón, Luis Alberto Hernández Estrada, María Magdalena Rodas Mérida</w:t>
      </w:r>
      <w:r w:rsidR="00A131D4" w:rsidRPr="005E0233">
        <w:rPr>
          <w:rFonts w:cs="Arial Narrow"/>
          <w:szCs w:val="16"/>
          <w:lang w:val="es-ES"/>
        </w:rPr>
        <w:t xml:space="preserve">, Luis Rolando </w:t>
      </w:r>
      <w:proofErr w:type="spellStart"/>
      <w:r w:rsidR="00A131D4" w:rsidRPr="005E0233">
        <w:rPr>
          <w:rFonts w:cs="Arial Narrow"/>
          <w:szCs w:val="16"/>
          <w:lang w:val="es-ES"/>
        </w:rPr>
        <w:t>Cusc</w:t>
      </w:r>
      <w:r w:rsidR="00EC402C">
        <w:rPr>
          <w:rFonts w:cs="Arial Narrow"/>
          <w:szCs w:val="16"/>
          <w:lang w:val="es-ES"/>
        </w:rPr>
        <w:t>u</w:t>
      </w:r>
      <w:r w:rsidR="00A131D4" w:rsidRPr="005E0233">
        <w:rPr>
          <w:rFonts w:cs="Arial Narrow"/>
          <w:szCs w:val="16"/>
          <w:lang w:val="es-ES"/>
        </w:rPr>
        <w:t>l</w:t>
      </w:r>
      <w:proofErr w:type="spellEnd"/>
      <w:r w:rsidR="00A131D4" w:rsidRPr="005E0233">
        <w:rPr>
          <w:rFonts w:cs="Arial Narrow"/>
          <w:szCs w:val="16"/>
          <w:lang w:val="es-ES"/>
        </w:rPr>
        <w:t xml:space="preserve"> Pivaral, Rocío Samayoa Br</w:t>
      </w:r>
      <w:r w:rsidR="00A131D4">
        <w:rPr>
          <w:rFonts w:cs="Arial Narrow"/>
          <w:szCs w:val="16"/>
          <w:lang w:val="es-ES"/>
        </w:rPr>
        <w:t>an y Olga Alicia Paz</w:t>
      </w:r>
      <w:r w:rsidR="00F8006A">
        <w:rPr>
          <w:rFonts w:cs="Arial Narrow"/>
          <w:szCs w:val="16"/>
          <w:lang w:val="es-ES"/>
        </w:rPr>
        <w:t xml:space="preserve"> Bailey</w:t>
      </w:r>
      <w:r w:rsidR="00CF361F" w:rsidRPr="0060216C">
        <w:t xml:space="preserve">. </w:t>
      </w:r>
      <w:r w:rsidR="00002C47" w:rsidRPr="0060216C">
        <w:rPr>
          <w:szCs w:val="20"/>
          <w:lang w:val="es-ES"/>
        </w:rPr>
        <w:t xml:space="preserve">En cuanto a la prueba rendida en audiencia pública, la Corte </w:t>
      </w:r>
      <w:r>
        <w:rPr>
          <w:szCs w:val="20"/>
          <w:lang w:val="es-ES"/>
        </w:rPr>
        <w:t>escuchó</w:t>
      </w:r>
      <w:r w:rsidR="00002C47" w:rsidRPr="0060216C">
        <w:rPr>
          <w:szCs w:val="20"/>
          <w:lang w:val="es-ES"/>
        </w:rPr>
        <w:t xml:space="preserve"> las declaraciones de</w:t>
      </w:r>
      <w:r>
        <w:rPr>
          <w:szCs w:val="20"/>
          <w:lang w:val="es-ES"/>
        </w:rPr>
        <w:t xml:space="preserve"> las presuntas víctimas</w:t>
      </w:r>
      <w:r w:rsidR="00BC47AB" w:rsidRPr="0060216C">
        <w:rPr>
          <w:szCs w:val="20"/>
          <w:lang w:val="es-ES"/>
        </w:rPr>
        <w:t xml:space="preserve"> </w:t>
      </w:r>
      <w:r w:rsidR="00EC402C">
        <w:rPr>
          <w:lang w:val="es-ES"/>
        </w:rPr>
        <w:t>Zoila Marina Pérez Ruí</w:t>
      </w:r>
      <w:r w:rsidR="00BC47AB" w:rsidRPr="0060216C">
        <w:rPr>
          <w:lang w:val="es-ES"/>
        </w:rPr>
        <w:t>z</w:t>
      </w:r>
      <w:r>
        <w:rPr>
          <w:szCs w:val="20"/>
          <w:lang w:val="es-ES"/>
        </w:rPr>
        <w:t xml:space="preserve"> y </w:t>
      </w:r>
      <w:proofErr w:type="spellStart"/>
      <w:r w:rsidR="00BC47AB" w:rsidRPr="0060216C">
        <w:rPr>
          <w:szCs w:val="20"/>
          <w:lang w:val="es-ES"/>
        </w:rPr>
        <w:t>F</w:t>
      </w:r>
      <w:r w:rsidR="00EC402C">
        <w:rPr>
          <w:szCs w:val="20"/>
          <w:lang w:val="es-ES"/>
        </w:rPr>
        <w:t>e</w:t>
      </w:r>
      <w:r w:rsidR="00BC47AB" w:rsidRPr="0060216C">
        <w:rPr>
          <w:szCs w:val="20"/>
          <w:lang w:val="es-ES"/>
        </w:rPr>
        <w:t>lix</w:t>
      </w:r>
      <w:proofErr w:type="spellEnd"/>
      <w:r w:rsidR="00BC47AB" w:rsidRPr="0060216C">
        <w:rPr>
          <w:szCs w:val="20"/>
          <w:lang w:val="es-ES"/>
        </w:rPr>
        <w:t xml:space="preserve"> de Jesús Cabrera</w:t>
      </w:r>
      <w:r w:rsidR="00EC402C">
        <w:rPr>
          <w:szCs w:val="20"/>
          <w:lang w:val="es-ES"/>
        </w:rPr>
        <w:t xml:space="preserve"> Morales</w:t>
      </w:r>
      <w:r>
        <w:rPr>
          <w:szCs w:val="20"/>
          <w:lang w:val="es-ES"/>
        </w:rPr>
        <w:t>, así como el dictamen pericial</w:t>
      </w:r>
      <w:r w:rsidR="00BC47AB" w:rsidRPr="0060216C">
        <w:rPr>
          <w:szCs w:val="20"/>
          <w:lang w:val="es-ES"/>
        </w:rPr>
        <w:t xml:space="preserve"> </w:t>
      </w:r>
      <w:r>
        <w:rPr>
          <w:rFonts w:cs="Arial"/>
          <w:iCs/>
          <w:szCs w:val="20"/>
          <w:lang w:val="es-ES"/>
        </w:rPr>
        <w:t>de</w:t>
      </w:r>
      <w:r w:rsidR="00002C47" w:rsidRPr="0060216C">
        <w:rPr>
          <w:rFonts w:cs="Arial"/>
          <w:iCs/>
          <w:szCs w:val="20"/>
          <w:lang w:val="es-ES"/>
        </w:rPr>
        <w:t xml:space="preserve"> </w:t>
      </w:r>
      <w:r w:rsidR="00BC47AB" w:rsidRPr="0060216C">
        <w:rPr>
          <w:rFonts w:cs="Arial"/>
          <w:iCs/>
          <w:szCs w:val="20"/>
          <w:lang w:val="es-ES"/>
        </w:rPr>
        <w:t>Ricardo Boza Cordero</w:t>
      </w:r>
      <w:r w:rsidR="00385DF7" w:rsidRPr="00385DF7">
        <w:rPr>
          <w:rStyle w:val="Refdenotaalpie"/>
        </w:rPr>
        <w:footnoteReference w:id="21"/>
      </w:r>
      <w:r w:rsidR="00002C47" w:rsidRPr="0060216C">
        <w:t>.</w:t>
      </w:r>
      <w:r>
        <w:t xml:space="preserve"> Al respecto, este Tribunal</w:t>
      </w:r>
      <w:r w:rsidRPr="00043075">
        <w:t xml:space="preserve"> estima pertinente admitir las declaraciones de las presuntas víctimas y </w:t>
      </w:r>
      <w:r>
        <w:t>los dictá</w:t>
      </w:r>
      <w:r w:rsidRPr="00043075">
        <w:t>men</w:t>
      </w:r>
      <w:r>
        <w:t>es</w:t>
      </w:r>
      <w:r w:rsidRPr="00043075">
        <w:t xml:space="preserve"> pericial</w:t>
      </w:r>
      <w:r>
        <w:t>es</w:t>
      </w:r>
      <w:r w:rsidRPr="00043075">
        <w:t>, rendidos en la audiencia pública y ante fedatario público, en lo que se ajusten al objeto que fue definido por la Presidencia en la Resolución mediante la cual se ordenó recibirlos</w:t>
      </w:r>
      <w:r>
        <w:t xml:space="preserve"> y al objeto del presente caso.</w:t>
      </w:r>
    </w:p>
    <w:p w14:paraId="04AE6A10" w14:textId="77777777" w:rsidR="000A2830" w:rsidRPr="00B27D31" w:rsidRDefault="000A2830" w:rsidP="000A2830">
      <w:pPr>
        <w:pStyle w:val="Prrafodelista"/>
        <w:ind w:left="0"/>
        <w:rPr>
          <w:lang w:val="es-CR"/>
        </w:rPr>
      </w:pPr>
    </w:p>
    <w:p w14:paraId="13CA3ACE" w14:textId="4F9A80A7" w:rsidR="00F46845" w:rsidRDefault="00F46845" w:rsidP="00F8006A">
      <w:pPr>
        <w:pStyle w:val="Ttulo1"/>
        <w:spacing w:before="0" w:after="0"/>
      </w:pPr>
      <w:bookmarkStart w:id="62" w:name="_Toc501211920"/>
      <w:bookmarkStart w:id="63" w:name="_Toc527466476"/>
      <w:bookmarkStart w:id="64" w:name="_Toc438132294"/>
      <w:bookmarkStart w:id="65" w:name="_Toc442082547"/>
      <w:r w:rsidRPr="0060216C">
        <w:t>VII</w:t>
      </w:r>
      <w:r w:rsidR="001D1187">
        <w:t>.</w:t>
      </w:r>
      <w:r w:rsidRPr="0060216C">
        <w:br/>
        <w:t>Hechos</w:t>
      </w:r>
      <w:bookmarkEnd w:id="62"/>
      <w:bookmarkEnd w:id="63"/>
    </w:p>
    <w:p w14:paraId="033B238B" w14:textId="77777777" w:rsidR="00F8006A" w:rsidRPr="00F8006A" w:rsidRDefault="00F8006A" w:rsidP="00F8006A">
      <w:pPr>
        <w:rPr>
          <w:lang w:val="es-CR" w:eastAsia="es-ES"/>
        </w:rPr>
      </w:pPr>
    </w:p>
    <w:p w14:paraId="6C0C4337" w14:textId="27E0A86A" w:rsidR="007569A4" w:rsidRDefault="007569A4" w:rsidP="00F8006A">
      <w:pPr>
        <w:pStyle w:val="Estilo1"/>
        <w:numPr>
          <w:ilvl w:val="0"/>
          <w:numId w:val="3"/>
        </w:numPr>
        <w:tabs>
          <w:tab w:val="left" w:pos="709"/>
          <w:tab w:val="left" w:pos="1134"/>
        </w:tabs>
        <w:spacing w:after="0"/>
        <w:ind w:left="0" w:right="-4" w:firstLine="0"/>
        <w:rPr>
          <w:i w:val="0"/>
          <w:szCs w:val="20"/>
        </w:rPr>
      </w:pPr>
      <w:r w:rsidRPr="007569A4">
        <w:rPr>
          <w:i w:val="0"/>
          <w:szCs w:val="20"/>
        </w:rPr>
        <w:t>El presente caso hace referencia a 34 personas que actualmente viven con</w:t>
      </w:r>
      <w:r w:rsidR="00071964">
        <w:rPr>
          <w:i w:val="0"/>
          <w:szCs w:val="20"/>
        </w:rPr>
        <w:t xml:space="preserve"> el</w:t>
      </w:r>
      <w:r w:rsidRPr="007569A4">
        <w:rPr>
          <w:i w:val="0"/>
          <w:szCs w:val="20"/>
        </w:rPr>
        <w:t xml:space="preserve"> Virus de </w:t>
      </w:r>
      <w:proofErr w:type="spellStart"/>
      <w:r w:rsidRPr="007569A4">
        <w:rPr>
          <w:i w:val="0"/>
          <w:szCs w:val="20"/>
        </w:rPr>
        <w:t>Inmuno</w:t>
      </w:r>
      <w:proofErr w:type="spellEnd"/>
      <w:r w:rsidRPr="007569A4">
        <w:rPr>
          <w:i w:val="0"/>
          <w:szCs w:val="20"/>
        </w:rPr>
        <w:t>-Deficiencia Humana</w:t>
      </w:r>
      <w:r w:rsidR="00360A94">
        <w:rPr>
          <w:i w:val="0"/>
          <w:szCs w:val="20"/>
        </w:rPr>
        <w:t xml:space="preserve"> </w:t>
      </w:r>
      <w:r w:rsidR="00360A94" w:rsidRPr="0060216C">
        <w:rPr>
          <w:i w:val="0"/>
          <w:szCs w:val="20"/>
        </w:rPr>
        <w:t>(en adelante también “VIH”)</w:t>
      </w:r>
      <w:r w:rsidR="00071964">
        <w:rPr>
          <w:i w:val="0"/>
          <w:szCs w:val="20"/>
        </w:rPr>
        <w:t xml:space="preserve"> </w:t>
      </w:r>
      <w:r w:rsidRPr="007569A4">
        <w:rPr>
          <w:i w:val="0"/>
          <w:szCs w:val="20"/>
        </w:rPr>
        <w:t xml:space="preserve">en Guatemala, 15 personas que vivieron con esta </w:t>
      </w:r>
      <w:r w:rsidR="00071964">
        <w:rPr>
          <w:i w:val="0"/>
          <w:szCs w:val="20"/>
        </w:rPr>
        <w:t>condición</w:t>
      </w:r>
      <w:r w:rsidRPr="007569A4">
        <w:rPr>
          <w:i w:val="0"/>
          <w:szCs w:val="20"/>
        </w:rPr>
        <w:t xml:space="preserve"> pero que han fallecido y </w:t>
      </w:r>
      <w:r w:rsidR="00CE7943">
        <w:rPr>
          <w:i w:val="0"/>
          <w:szCs w:val="20"/>
        </w:rPr>
        <w:t>sus</w:t>
      </w:r>
      <w:r w:rsidRPr="007569A4">
        <w:rPr>
          <w:i w:val="0"/>
          <w:szCs w:val="20"/>
        </w:rPr>
        <w:t xml:space="preserve"> familiares</w:t>
      </w:r>
      <w:r w:rsidRPr="007569A4">
        <w:rPr>
          <w:rFonts w:cs="Verdana"/>
          <w:i w:val="0"/>
          <w:szCs w:val="20"/>
          <w:vertAlign w:val="superscript"/>
        </w:rPr>
        <w:footnoteReference w:id="22"/>
      </w:r>
      <w:r w:rsidRPr="007569A4">
        <w:rPr>
          <w:i w:val="0"/>
          <w:szCs w:val="20"/>
        </w:rPr>
        <w:t xml:space="preserve">. Las violaciones alegadas </w:t>
      </w:r>
      <w:r w:rsidRPr="007569A4">
        <w:rPr>
          <w:i w:val="0"/>
          <w:szCs w:val="20"/>
        </w:rPr>
        <w:lastRenderedPageBreak/>
        <w:t xml:space="preserve">por la Comisión en su Informe de Fondo ocurrieron por la falta total de atención médica a dicho grupo de personas </w:t>
      </w:r>
      <w:r w:rsidR="00A84478">
        <w:rPr>
          <w:i w:val="0"/>
          <w:szCs w:val="20"/>
        </w:rPr>
        <w:t>previo a</w:t>
      </w:r>
      <w:r w:rsidRPr="007569A4">
        <w:rPr>
          <w:i w:val="0"/>
          <w:szCs w:val="20"/>
        </w:rPr>
        <w:t xml:space="preserve"> los años 2006-2007, por la deficiente atención médica recibida con posterioridad a </w:t>
      </w:r>
      <w:r w:rsidR="00A84478">
        <w:rPr>
          <w:i w:val="0"/>
          <w:szCs w:val="20"/>
        </w:rPr>
        <w:t>esos años</w:t>
      </w:r>
      <w:r w:rsidRPr="007569A4">
        <w:rPr>
          <w:i w:val="0"/>
          <w:szCs w:val="20"/>
        </w:rPr>
        <w:t>, y por la falta de protección judicial. En atención a lo anterior, en el presente apartado se expondrán los principales hechos del caso en el siguiente orden: a) situación</w:t>
      </w:r>
      <w:r w:rsidR="0009063B">
        <w:rPr>
          <w:i w:val="0"/>
          <w:szCs w:val="20"/>
        </w:rPr>
        <w:t xml:space="preserve"> del VIH/SIDA en Guatemala,</w:t>
      </w:r>
      <w:r w:rsidRPr="007569A4">
        <w:rPr>
          <w:i w:val="0"/>
          <w:szCs w:val="20"/>
        </w:rPr>
        <w:t xml:space="preserve"> b) la individualización de las pres</w:t>
      </w:r>
      <w:r w:rsidR="0009063B">
        <w:rPr>
          <w:i w:val="0"/>
          <w:szCs w:val="20"/>
        </w:rPr>
        <w:t>untas víctimas y sus familiares,</w:t>
      </w:r>
      <w:r w:rsidRPr="007569A4">
        <w:rPr>
          <w:i w:val="0"/>
          <w:szCs w:val="20"/>
        </w:rPr>
        <w:t xml:space="preserve"> y c) los recursos y acciones interpuestas por las presuntas víctimas.</w:t>
      </w:r>
    </w:p>
    <w:p w14:paraId="4CB42049" w14:textId="77777777" w:rsidR="00F8006A" w:rsidRPr="007569A4" w:rsidRDefault="00F8006A" w:rsidP="00F8006A">
      <w:pPr>
        <w:pStyle w:val="Estilo1"/>
        <w:tabs>
          <w:tab w:val="left" w:pos="709"/>
          <w:tab w:val="left" w:pos="1134"/>
        </w:tabs>
        <w:spacing w:after="0"/>
        <w:ind w:left="0" w:right="-4" w:firstLine="0"/>
        <w:rPr>
          <w:i w:val="0"/>
          <w:szCs w:val="20"/>
        </w:rPr>
      </w:pPr>
    </w:p>
    <w:p w14:paraId="5D4079EA" w14:textId="32BAA364" w:rsidR="00A42545" w:rsidRDefault="00F46845" w:rsidP="00F8006A">
      <w:pPr>
        <w:pStyle w:val="Ttulo2"/>
        <w:numPr>
          <w:ilvl w:val="0"/>
          <w:numId w:val="31"/>
        </w:numPr>
        <w:spacing w:before="0" w:after="0"/>
      </w:pPr>
      <w:bookmarkStart w:id="66" w:name="_Toc527466477"/>
      <w:r w:rsidRPr="0060216C">
        <w:t>Situación del VIH/SIDA en Guatemala</w:t>
      </w:r>
      <w:bookmarkEnd w:id="66"/>
    </w:p>
    <w:p w14:paraId="4F6CB8B4" w14:textId="77777777" w:rsidR="00F8006A" w:rsidRPr="00F8006A" w:rsidRDefault="00F8006A" w:rsidP="00F8006A">
      <w:pPr>
        <w:rPr>
          <w:lang w:val="es-CR"/>
        </w:rPr>
      </w:pPr>
    </w:p>
    <w:p w14:paraId="69307944" w14:textId="0E0F033C" w:rsidR="00F46845" w:rsidRDefault="00A42545" w:rsidP="00F8006A">
      <w:pPr>
        <w:pStyle w:val="Ttulo3"/>
        <w:spacing w:before="0"/>
      </w:pPr>
      <w:r w:rsidRPr="0060216C">
        <w:rPr>
          <w:rFonts w:eastAsia="Times New Roman"/>
          <w:bCs/>
          <w:lang w:eastAsia="x-none"/>
        </w:rPr>
        <w:tab/>
      </w:r>
      <w:bookmarkStart w:id="67" w:name="_Toc527466478"/>
      <w:r w:rsidR="00F46845" w:rsidRPr="001D1187">
        <w:t>A.1. Generalidades sobre el VIH/SIDA</w:t>
      </w:r>
      <w:bookmarkEnd w:id="67"/>
    </w:p>
    <w:p w14:paraId="5AA23E40" w14:textId="77777777" w:rsidR="00F8006A" w:rsidRPr="00F8006A" w:rsidRDefault="00F8006A" w:rsidP="00F8006A">
      <w:pPr>
        <w:rPr>
          <w:lang w:val="es-CR"/>
        </w:rPr>
      </w:pPr>
    </w:p>
    <w:p w14:paraId="03A910C8" w14:textId="572599A8" w:rsidR="001E65B3" w:rsidRPr="00071964" w:rsidRDefault="00F46845" w:rsidP="00071964">
      <w:pPr>
        <w:pStyle w:val="Estilo1"/>
        <w:numPr>
          <w:ilvl w:val="0"/>
          <w:numId w:val="3"/>
        </w:numPr>
        <w:tabs>
          <w:tab w:val="left" w:pos="709"/>
          <w:tab w:val="left" w:pos="1134"/>
        </w:tabs>
        <w:spacing w:after="0"/>
        <w:ind w:left="0" w:right="-4" w:firstLine="0"/>
        <w:rPr>
          <w:i w:val="0"/>
          <w:szCs w:val="20"/>
        </w:rPr>
      </w:pPr>
      <w:r w:rsidRPr="0060216C">
        <w:rPr>
          <w:i w:val="0"/>
          <w:szCs w:val="20"/>
        </w:rPr>
        <w:t xml:space="preserve">El </w:t>
      </w:r>
      <w:r w:rsidR="00360A94">
        <w:rPr>
          <w:i w:val="0"/>
          <w:szCs w:val="20"/>
        </w:rPr>
        <w:t>VIH</w:t>
      </w:r>
      <w:r w:rsidRPr="0060216C">
        <w:rPr>
          <w:i w:val="0"/>
          <w:szCs w:val="20"/>
        </w:rPr>
        <w:t xml:space="preserve"> ataca el sistema inmunológico (sistema de defensa) del cuerpo humano</w:t>
      </w:r>
      <w:r w:rsidR="00BE31C6">
        <w:rPr>
          <w:i w:val="0"/>
          <w:szCs w:val="20"/>
        </w:rPr>
        <w:t>,</w:t>
      </w:r>
      <w:r w:rsidRPr="0060216C">
        <w:rPr>
          <w:i w:val="0"/>
          <w:szCs w:val="20"/>
        </w:rPr>
        <w:t xml:space="preserve"> destruyendo específicamente los linfocitos T </w:t>
      </w:r>
      <w:proofErr w:type="spellStart"/>
      <w:r w:rsidRPr="0060216C">
        <w:rPr>
          <w:i w:val="0"/>
          <w:szCs w:val="20"/>
        </w:rPr>
        <w:t>ó</w:t>
      </w:r>
      <w:proofErr w:type="spellEnd"/>
      <w:r w:rsidRPr="0060216C">
        <w:rPr>
          <w:i w:val="0"/>
          <w:szCs w:val="20"/>
        </w:rPr>
        <w:t xml:space="preserve"> CD4, que son las células de defensa más importantes del sistema </w:t>
      </w:r>
      <w:r w:rsidR="00911AD9" w:rsidRPr="0060216C">
        <w:rPr>
          <w:i w:val="0"/>
          <w:szCs w:val="20"/>
        </w:rPr>
        <w:t>inmunológico</w:t>
      </w:r>
      <w:r w:rsidR="00911AD9">
        <w:rPr>
          <w:i w:val="0"/>
          <w:szCs w:val="20"/>
        </w:rPr>
        <w:t>.</w:t>
      </w:r>
      <w:r w:rsidR="00911AD9" w:rsidRPr="0060216C">
        <w:rPr>
          <w:rFonts w:cs="Verdana"/>
          <w:i w:val="0"/>
          <w:szCs w:val="20"/>
          <w:vertAlign w:val="superscript"/>
        </w:rPr>
        <w:t xml:space="preserve"> </w:t>
      </w:r>
      <w:r w:rsidR="00911AD9" w:rsidRPr="0060216C">
        <w:rPr>
          <w:i w:val="0"/>
          <w:szCs w:val="20"/>
        </w:rPr>
        <w:t>El</w:t>
      </w:r>
      <w:r w:rsidRPr="0060216C">
        <w:rPr>
          <w:i w:val="0"/>
          <w:szCs w:val="20"/>
        </w:rPr>
        <w:t xml:space="preserve"> VIH puede actuar por años sin que se presente ningún síntoma, por lo que una persona infectada podría pasar ese tiempo sin saber que lo tiene y aunque parezca y se sienta completamente sana, puede transmitirlo a otras personas</w:t>
      </w:r>
      <w:r w:rsidR="00F8006A">
        <w:rPr>
          <w:i w:val="0"/>
          <w:szCs w:val="20"/>
        </w:rPr>
        <w:t>.</w:t>
      </w:r>
      <w:r w:rsidRPr="0060216C">
        <w:rPr>
          <w:i w:val="0"/>
          <w:szCs w:val="20"/>
        </w:rPr>
        <w:t xml:space="preserve"> Las mujeres embarazadas pueden transmitir el VIH durante el embarazo, el trabajo de parto y el parto, o después del parto a través de la leche materna. El Síndrome de </w:t>
      </w:r>
      <w:proofErr w:type="spellStart"/>
      <w:r w:rsidRPr="0060216C">
        <w:rPr>
          <w:i w:val="0"/>
          <w:szCs w:val="20"/>
        </w:rPr>
        <w:t>Inmuno</w:t>
      </w:r>
      <w:proofErr w:type="spellEnd"/>
      <w:r w:rsidRPr="0060216C">
        <w:rPr>
          <w:i w:val="0"/>
          <w:szCs w:val="20"/>
        </w:rPr>
        <w:t>-Deficiencia Adquirida (</w:t>
      </w:r>
      <w:r w:rsidR="00071964">
        <w:rPr>
          <w:i w:val="0"/>
          <w:szCs w:val="20"/>
        </w:rPr>
        <w:t>en adelante también “</w:t>
      </w:r>
      <w:r w:rsidRPr="0060216C">
        <w:rPr>
          <w:i w:val="0"/>
          <w:szCs w:val="20"/>
        </w:rPr>
        <w:t>SIDA</w:t>
      </w:r>
      <w:r w:rsidR="00071964">
        <w:rPr>
          <w:i w:val="0"/>
          <w:szCs w:val="20"/>
        </w:rPr>
        <w:t>”</w:t>
      </w:r>
      <w:r w:rsidRPr="00071964">
        <w:rPr>
          <w:i w:val="0"/>
          <w:szCs w:val="20"/>
        </w:rPr>
        <w:t>) es la etapa final de la infección por el VIH. Se trata de un cuadro clínico que se presenta entre 7 y 10 años después de que la persona ha sido “portadora sin síntomas” del VIH. Se caracteriza por una debilidad muy fuerte del sistema de defensas del organismo, lo que ocasiona un conjunto de graves enfermedades que pueden causar la muerte</w:t>
      </w:r>
      <w:r w:rsidR="00911AD9" w:rsidRPr="00071964">
        <w:rPr>
          <w:i w:val="0"/>
          <w:szCs w:val="20"/>
        </w:rPr>
        <w:t xml:space="preserve">. </w:t>
      </w:r>
      <w:r w:rsidRPr="00071964">
        <w:rPr>
          <w:i w:val="0"/>
          <w:szCs w:val="20"/>
        </w:rPr>
        <w:t>Las infecciones que acompañan al SIDA se denominan “oportunistas”, porque los agentes patógenos causantes aprovechan la debilidad del sistema inmunitario</w:t>
      </w:r>
      <w:r w:rsidRPr="0060216C">
        <w:rPr>
          <w:rFonts w:cs="Verdana"/>
          <w:i w:val="0"/>
          <w:szCs w:val="20"/>
          <w:vertAlign w:val="superscript"/>
        </w:rPr>
        <w:footnoteReference w:id="23"/>
      </w:r>
      <w:r w:rsidRPr="00071964">
        <w:rPr>
          <w:i w:val="0"/>
          <w:szCs w:val="20"/>
        </w:rPr>
        <w:t>.</w:t>
      </w:r>
    </w:p>
    <w:p w14:paraId="08C64CA1" w14:textId="77777777" w:rsidR="00F8006A" w:rsidRPr="0060216C" w:rsidRDefault="00F8006A" w:rsidP="00F8006A">
      <w:pPr>
        <w:pStyle w:val="Estilo1"/>
        <w:tabs>
          <w:tab w:val="left" w:pos="709"/>
          <w:tab w:val="left" w:pos="1134"/>
        </w:tabs>
        <w:spacing w:after="0"/>
        <w:ind w:left="0" w:right="-4" w:firstLine="0"/>
        <w:rPr>
          <w:i w:val="0"/>
          <w:szCs w:val="20"/>
        </w:rPr>
      </w:pPr>
    </w:p>
    <w:p w14:paraId="012664F8" w14:textId="405CA793" w:rsidR="00542B1E" w:rsidRPr="00F8006A" w:rsidRDefault="00F46845" w:rsidP="00F8006A">
      <w:pPr>
        <w:pStyle w:val="Estilo1"/>
        <w:numPr>
          <w:ilvl w:val="0"/>
          <w:numId w:val="3"/>
        </w:numPr>
        <w:tabs>
          <w:tab w:val="left" w:pos="709"/>
          <w:tab w:val="left" w:pos="1134"/>
        </w:tabs>
        <w:spacing w:after="0"/>
        <w:ind w:left="0" w:right="-4" w:firstLine="0"/>
        <w:rPr>
          <w:i w:val="0"/>
          <w:szCs w:val="20"/>
        </w:rPr>
      </w:pPr>
      <w:r w:rsidRPr="0060216C">
        <w:rPr>
          <w:i w:val="0"/>
        </w:rPr>
        <w:t xml:space="preserve">Entre las infecciones y enfermedades oportunistas más frecuentes figuran las enfermedades bacterianas, como la tuberculosis; las enfermedades protozoarias, como la neumonía; las enfermedades micóticas, como la candidiasis; las enfermedades víricas, como el herpes; y las neoplasias asociadas al VIH, como el sarcoma de Kaposi, el linfoma y el carcinoma de células escamosas. La transmisión del VIH sucede por medio de la sangre o productos derivados de la sangre contaminada, por relaciones sexuales, de manera vertical (es decir de la madre a sus hijos) y por accidentes laborales o punciones accidentales con instrumentos médicos o por agujas contaminadas. La historia natural de la infección por VIH se divide en cinco etapas: a) fase eclipse (1-2 semanas); b) infección aguda o primaria (2-4 semanas); c) infección crónica o latencia clínica más no virológica ni inmunológica (2-20 años); d) </w:t>
      </w:r>
      <w:r w:rsidR="00681127" w:rsidRPr="0060216C">
        <w:rPr>
          <w:i w:val="0"/>
        </w:rPr>
        <w:t>estadio</w:t>
      </w:r>
      <w:r w:rsidRPr="0060216C">
        <w:rPr>
          <w:i w:val="0"/>
        </w:rPr>
        <w:t xml:space="preserve"> SIDA (1-2 años)</w:t>
      </w:r>
      <w:r w:rsidRPr="0060216C">
        <w:rPr>
          <w:rStyle w:val="Refdenotaalpie"/>
          <w:i w:val="0"/>
        </w:rPr>
        <w:footnoteReference w:id="24"/>
      </w:r>
      <w:r w:rsidRPr="0060216C">
        <w:rPr>
          <w:i w:val="0"/>
        </w:rPr>
        <w:t>.</w:t>
      </w:r>
    </w:p>
    <w:p w14:paraId="28849633" w14:textId="77777777" w:rsidR="00F8006A" w:rsidRPr="00F8006A" w:rsidRDefault="00F8006A" w:rsidP="00F8006A">
      <w:pPr>
        <w:pStyle w:val="Estilo1"/>
        <w:tabs>
          <w:tab w:val="left" w:pos="709"/>
          <w:tab w:val="left" w:pos="1134"/>
        </w:tabs>
        <w:spacing w:after="0"/>
        <w:ind w:left="0" w:right="-4" w:firstLine="0"/>
        <w:rPr>
          <w:i w:val="0"/>
          <w:szCs w:val="20"/>
        </w:rPr>
      </w:pPr>
    </w:p>
    <w:p w14:paraId="30D9659B" w14:textId="7FF08C32" w:rsidR="00542B1E" w:rsidRDefault="00715C62" w:rsidP="00F8006A">
      <w:pPr>
        <w:pStyle w:val="Estilo1"/>
        <w:numPr>
          <w:ilvl w:val="0"/>
          <w:numId w:val="3"/>
        </w:numPr>
        <w:tabs>
          <w:tab w:val="left" w:pos="709"/>
          <w:tab w:val="left" w:pos="1134"/>
        </w:tabs>
        <w:spacing w:after="0"/>
        <w:ind w:left="0" w:right="-4" w:firstLine="0"/>
        <w:rPr>
          <w:i w:val="0"/>
        </w:rPr>
      </w:pPr>
      <w:r w:rsidRPr="00542B1E">
        <w:rPr>
          <w:i w:val="0"/>
        </w:rPr>
        <w:t>La terapia antir</w:t>
      </w:r>
      <w:r w:rsidR="00461BB6">
        <w:rPr>
          <w:i w:val="0"/>
        </w:rPr>
        <w:t>r</w:t>
      </w:r>
      <w:r w:rsidRPr="00542B1E">
        <w:rPr>
          <w:i w:val="0"/>
        </w:rPr>
        <w:t>etroviral (TARV) hace más lenta la reproducción vírica y puede mejorar mucho la calidad de vida, pero no elimina la infección por el VIH. El primer tratamiento de antirretrovirales ofrece la mejor oportunidad para la supresión viral eficaz, la recuperación inmunitaria y el beneficio clínico, pero para que el tratamiento sea exitoso se requiere que los medicamentos sean consumidos se</w:t>
      </w:r>
      <w:r w:rsidRPr="008C6DDA">
        <w:rPr>
          <w:i w:val="0"/>
        </w:rPr>
        <w:t xml:space="preserve">gún lo prescrito. Una de las características principales del </w:t>
      </w:r>
      <w:r w:rsidRPr="008C6DDA">
        <w:rPr>
          <w:i w:val="0"/>
        </w:rPr>
        <w:lastRenderedPageBreak/>
        <w:t xml:space="preserve">virus del VIH es su diversidad genética, dada su alta replicación, la tendencia a errores en la transcripción reversa y la gran cantidad de personas infectadas. Esta característica produce altas </w:t>
      </w:r>
      <w:r w:rsidRPr="003B0F9E">
        <w:rPr>
          <w:i w:val="0"/>
        </w:rPr>
        <w:t>tasas de mutación del virus. De esta forma, los pacientes con</w:t>
      </w:r>
      <w:r w:rsidR="00071964">
        <w:rPr>
          <w:i w:val="0"/>
        </w:rPr>
        <w:t xml:space="preserve"> el</w:t>
      </w:r>
      <w:r w:rsidRPr="003B0F9E">
        <w:rPr>
          <w:i w:val="0"/>
        </w:rPr>
        <w:t xml:space="preserve"> VIH deben tomar estrictamente su tratamiento, pues de lo contrario ocurren mutaciones en el virus haciéndolo resistente a los medicamentos antirretrovirales</w:t>
      </w:r>
      <w:r w:rsidRPr="008C6DDA">
        <w:rPr>
          <w:rStyle w:val="Refdenotaalpie"/>
          <w:i w:val="0"/>
        </w:rPr>
        <w:footnoteReference w:id="25"/>
      </w:r>
      <w:r w:rsidRPr="008C6DDA">
        <w:rPr>
          <w:i w:val="0"/>
        </w:rPr>
        <w:t>.</w:t>
      </w:r>
    </w:p>
    <w:p w14:paraId="17895208" w14:textId="77777777" w:rsidR="00F8006A" w:rsidRDefault="00F8006A" w:rsidP="00F8006A">
      <w:pPr>
        <w:pStyle w:val="Estilo1"/>
        <w:tabs>
          <w:tab w:val="left" w:pos="709"/>
          <w:tab w:val="left" w:pos="1134"/>
        </w:tabs>
        <w:spacing w:after="0"/>
        <w:ind w:left="0" w:right="-4" w:firstLine="0"/>
        <w:rPr>
          <w:i w:val="0"/>
        </w:rPr>
      </w:pPr>
    </w:p>
    <w:p w14:paraId="7E349C8D" w14:textId="5296910A" w:rsidR="008C6DDA" w:rsidRDefault="008C6DDA" w:rsidP="00F8006A">
      <w:pPr>
        <w:pStyle w:val="Estilo1"/>
        <w:numPr>
          <w:ilvl w:val="0"/>
          <w:numId w:val="3"/>
        </w:numPr>
        <w:tabs>
          <w:tab w:val="left" w:pos="709"/>
          <w:tab w:val="left" w:pos="1134"/>
        </w:tabs>
        <w:spacing w:after="0"/>
        <w:ind w:left="0" w:right="-4" w:firstLine="0"/>
        <w:rPr>
          <w:i w:val="0"/>
        </w:rPr>
      </w:pPr>
      <w:r>
        <w:rPr>
          <w:i w:val="0"/>
        </w:rPr>
        <w:t xml:space="preserve">Según la Organización Mundial de la Salud (en adelante también “OMS”), el uso temprano del TARV </w:t>
      </w:r>
      <w:r w:rsidR="003B0F9E">
        <w:rPr>
          <w:i w:val="0"/>
        </w:rPr>
        <w:t xml:space="preserve">para personas </w:t>
      </w:r>
      <w:r w:rsidR="00071964">
        <w:rPr>
          <w:i w:val="0"/>
        </w:rPr>
        <w:t xml:space="preserve">que viven </w:t>
      </w:r>
      <w:r w:rsidR="003B0F9E">
        <w:rPr>
          <w:i w:val="0"/>
        </w:rPr>
        <w:t>con</w:t>
      </w:r>
      <w:r w:rsidR="00071964">
        <w:rPr>
          <w:i w:val="0"/>
        </w:rPr>
        <w:t xml:space="preserve"> el</w:t>
      </w:r>
      <w:r w:rsidR="003B0F9E">
        <w:rPr>
          <w:i w:val="0"/>
        </w:rPr>
        <w:t xml:space="preserve"> VIH </w:t>
      </w:r>
      <w:r>
        <w:rPr>
          <w:i w:val="0"/>
        </w:rPr>
        <w:t xml:space="preserve">reduce el riesgo de transmitir el virus a las parejas sexuales y a las personas con las que se comparten drogas. </w:t>
      </w:r>
      <w:r w:rsidR="00F035A5">
        <w:rPr>
          <w:i w:val="0"/>
        </w:rPr>
        <w:t xml:space="preserve">De igual forma, se ha establecido que la atención al VIH/SIDA no sólo requiere la atención de las personas portadoras del virus, sino que también es necesario proveerlo a </w:t>
      </w:r>
      <w:r w:rsidR="003B0F9E">
        <w:rPr>
          <w:i w:val="0"/>
        </w:rPr>
        <w:t>sus parejas aunque no sean portadoras del virus</w:t>
      </w:r>
      <w:r w:rsidR="00F035A5">
        <w:rPr>
          <w:i w:val="0"/>
        </w:rPr>
        <w:t xml:space="preserve"> y otras poblaciones clave. En ese sentido, la OMS </w:t>
      </w:r>
      <w:r w:rsidR="003B0F9E">
        <w:rPr>
          <w:i w:val="0"/>
        </w:rPr>
        <w:t>ha recomendado que las parejas donde una de las partes no es portadora de</w:t>
      </w:r>
      <w:r w:rsidR="00071964">
        <w:rPr>
          <w:i w:val="0"/>
        </w:rPr>
        <w:t>l</w:t>
      </w:r>
      <w:r w:rsidR="003B0F9E">
        <w:rPr>
          <w:i w:val="0"/>
        </w:rPr>
        <w:t xml:space="preserve"> VIH deberán recibir TARV para reducir el riesgo de transmisión del virus a su pareja. El acceso universal al TARV es una cuestión de salud pública pues es un mecanismo que permite una reducción de la transmisión del virus en la población</w:t>
      </w:r>
      <w:r w:rsidR="003B0F9E">
        <w:rPr>
          <w:rStyle w:val="Refdenotaalpie"/>
          <w:i w:val="0"/>
        </w:rPr>
        <w:footnoteReference w:id="26"/>
      </w:r>
      <w:r w:rsidR="003B0F9E">
        <w:rPr>
          <w:i w:val="0"/>
        </w:rPr>
        <w:t>.</w:t>
      </w:r>
      <w:r w:rsidR="00F035A5">
        <w:rPr>
          <w:i w:val="0"/>
        </w:rPr>
        <w:t xml:space="preserve"> </w:t>
      </w:r>
    </w:p>
    <w:p w14:paraId="48E9DDD1" w14:textId="0AD55C63" w:rsidR="00542B1E" w:rsidRPr="00F8006A" w:rsidRDefault="00542B1E" w:rsidP="00F8006A"/>
    <w:p w14:paraId="1E7067FF" w14:textId="472A7474" w:rsidR="00542B1E" w:rsidRDefault="00542B1E" w:rsidP="00F8006A">
      <w:pPr>
        <w:pStyle w:val="Prrafodelista"/>
        <w:numPr>
          <w:ilvl w:val="0"/>
          <w:numId w:val="3"/>
        </w:numPr>
        <w:ind w:left="0" w:firstLine="0"/>
      </w:pPr>
      <w:r w:rsidRPr="00BB40FA">
        <w:t>La Corte advierte que los anteriores conceptos se recogen de diferentes fuentes responsables, pero que la ciencia médica avanza continuamente en esta materia, y, por ende, las citas reproducidas aquí para ilustración no obstan ni ponen en duda conocimientos más recientes, ni la Corte toma partida en cuestiones y discusiones técnicas propias de la ciencia médica y biológica</w:t>
      </w:r>
      <w:r>
        <w:t>.</w:t>
      </w:r>
    </w:p>
    <w:p w14:paraId="06A28114" w14:textId="77777777" w:rsidR="00F8006A" w:rsidRPr="00542B1E" w:rsidRDefault="00F8006A" w:rsidP="00F8006A">
      <w:pPr>
        <w:pStyle w:val="Prrafodelista"/>
        <w:ind w:left="0"/>
      </w:pPr>
    </w:p>
    <w:p w14:paraId="42378046" w14:textId="4A57F4DA" w:rsidR="00681127" w:rsidRPr="00F8006A" w:rsidRDefault="00F46845" w:rsidP="00F8006A">
      <w:pPr>
        <w:pStyle w:val="Estilo1"/>
        <w:numPr>
          <w:ilvl w:val="0"/>
          <w:numId w:val="3"/>
        </w:numPr>
        <w:tabs>
          <w:tab w:val="left" w:pos="709"/>
          <w:tab w:val="left" w:pos="1134"/>
        </w:tabs>
        <w:spacing w:after="0"/>
        <w:ind w:left="0" w:right="-4" w:firstLine="0"/>
        <w:rPr>
          <w:i w:val="0"/>
          <w:szCs w:val="20"/>
        </w:rPr>
      </w:pPr>
      <w:r w:rsidRPr="0060216C">
        <w:rPr>
          <w:i w:val="0"/>
        </w:rPr>
        <w:t>Según datos del Programa Conjunto de las Naciones Unidas sobre</w:t>
      </w:r>
      <w:r w:rsidR="002A3409">
        <w:rPr>
          <w:i w:val="0"/>
        </w:rPr>
        <w:t xml:space="preserve"> el</w:t>
      </w:r>
      <w:r w:rsidRPr="0060216C">
        <w:rPr>
          <w:i w:val="0"/>
        </w:rPr>
        <w:t xml:space="preserve"> VIH/SIDA (en adelante también “ONUSIDA”) en el mundo 76.1 millones de personas contrajeron la </w:t>
      </w:r>
      <w:r w:rsidR="00B7716C">
        <w:rPr>
          <w:i w:val="0"/>
        </w:rPr>
        <w:t>infección por el VIH desde 1981,</w:t>
      </w:r>
      <w:r w:rsidRPr="0060216C">
        <w:rPr>
          <w:i w:val="0"/>
        </w:rPr>
        <w:t xml:space="preserve"> 35 millones de personas fallecieron a causa de enfermedades relacionadas con el SID</w:t>
      </w:r>
      <w:r w:rsidR="00B7716C">
        <w:rPr>
          <w:i w:val="0"/>
        </w:rPr>
        <w:t>A desde comienzo de la epidemia,</w:t>
      </w:r>
      <w:r w:rsidRPr="0060216C">
        <w:rPr>
          <w:i w:val="0"/>
        </w:rPr>
        <w:t xml:space="preserve"> 36.7 millones de personas </w:t>
      </w:r>
      <w:r w:rsidR="006E6788" w:rsidRPr="0060216C">
        <w:rPr>
          <w:i w:val="0"/>
        </w:rPr>
        <w:t>vivían</w:t>
      </w:r>
      <w:r w:rsidR="00B7716C">
        <w:rPr>
          <w:i w:val="0"/>
        </w:rPr>
        <w:t xml:space="preserve"> con el VIH en 2016,</w:t>
      </w:r>
      <w:r w:rsidRPr="0060216C">
        <w:rPr>
          <w:i w:val="0"/>
        </w:rPr>
        <w:t xml:space="preserve"> 20.9 millones de personas tenían acceso a terapia </w:t>
      </w:r>
      <w:r w:rsidR="0009063B">
        <w:rPr>
          <w:i w:val="0"/>
        </w:rPr>
        <w:t>antir</w:t>
      </w:r>
      <w:r w:rsidR="00B7716C">
        <w:rPr>
          <w:i w:val="0"/>
        </w:rPr>
        <w:t>retroviral en junio de 2017,</w:t>
      </w:r>
      <w:r w:rsidRPr="0060216C">
        <w:rPr>
          <w:i w:val="0"/>
        </w:rPr>
        <w:t xml:space="preserve"> 1.8 millones de personas contrajeron la infección de</w:t>
      </w:r>
      <w:r w:rsidR="00071964">
        <w:rPr>
          <w:i w:val="0"/>
        </w:rPr>
        <w:t>l</w:t>
      </w:r>
      <w:r w:rsidR="00B7716C">
        <w:rPr>
          <w:i w:val="0"/>
        </w:rPr>
        <w:t xml:space="preserve"> VIH en 2016,</w:t>
      </w:r>
      <w:r w:rsidRPr="0060216C">
        <w:rPr>
          <w:i w:val="0"/>
        </w:rPr>
        <w:t xml:space="preserve"> y 1 millón de personas fallecieron a causa de enfermedades relacionadas con el SIDA en 2016. En Guatemala, ONUSIDA estimó que existían 46,000 personas viviendo con</w:t>
      </w:r>
      <w:r w:rsidR="00071964">
        <w:rPr>
          <w:i w:val="0"/>
        </w:rPr>
        <w:t xml:space="preserve"> el</w:t>
      </w:r>
      <w:r w:rsidRPr="0060216C">
        <w:rPr>
          <w:i w:val="0"/>
        </w:rPr>
        <w:t xml:space="preserve"> VIH en 2016, de los cuales el 36% tuvo acceso a terapia antir</w:t>
      </w:r>
      <w:r w:rsidR="00461BB6">
        <w:rPr>
          <w:i w:val="0"/>
        </w:rPr>
        <w:t>r</w:t>
      </w:r>
      <w:r w:rsidRPr="0060216C">
        <w:rPr>
          <w:i w:val="0"/>
        </w:rPr>
        <w:t>etroviral. Entre las mujeres embarazadas, 19% tuvo acceso a tratamiento o profilaxis para prevenir la transmisión de</w:t>
      </w:r>
      <w:r w:rsidR="00071964">
        <w:rPr>
          <w:i w:val="0"/>
        </w:rPr>
        <w:t>l</w:t>
      </w:r>
      <w:r w:rsidRPr="0060216C">
        <w:rPr>
          <w:i w:val="0"/>
        </w:rPr>
        <w:t xml:space="preserve"> VIH a sus hijos. Según cifras de la Organización Panamericana de la Salud (en adelante también “OPS”) del año 2013, la epidemia del VIH se calificó como concentrada en Guatemala, ya que reportaba una prevalencia en la población general menor al 1% y se estima que cada año se suman 7,557 casos nuevos, lo que colocó al país como el de mayor número de personas viviendo con</w:t>
      </w:r>
      <w:r w:rsidR="00071964">
        <w:rPr>
          <w:i w:val="0"/>
        </w:rPr>
        <w:t xml:space="preserve"> el</w:t>
      </w:r>
      <w:r w:rsidRPr="0060216C">
        <w:rPr>
          <w:i w:val="0"/>
        </w:rPr>
        <w:t xml:space="preserve"> VIH en Centroamérica</w:t>
      </w:r>
      <w:r w:rsidRPr="0060216C">
        <w:rPr>
          <w:rStyle w:val="Refdenotaalpie"/>
          <w:i w:val="0"/>
        </w:rPr>
        <w:footnoteReference w:id="27"/>
      </w:r>
      <w:r w:rsidRPr="0060216C">
        <w:rPr>
          <w:i w:val="0"/>
        </w:rPr>
        <w:t>.</w:t>
      </w:r>
    </w:p>
    <w:p w14:paraId="27388F5E" w14:textId="77777777" w:rsidR="00F8006A" w:rsidRDefault="00F8006A" w:rsidP="00F8006A">
      <w:pPr>
        <w:pStyle w:val="Estilo1"/>
        <w:tabs>
          <w:tab w:val="left" w:pos="709"/>
          <w:tab w:val="left" w:pos="1134"/>
        </w:tabs>
        <w:spacing w:after="0"/>
        <w:ind w:left="0" w:right="-4" w:firstLine="0"/>
        <w:rPr>
          <w:i w:val="0"/>
          <w:szCs w:val="20"/>
        </w:rPr>
      </w:pPr>
    </w:p>
    <w:p w14:paraId="4F7F5B32" w14:textId="1FD2B4B7" w:rsidR="00F46845" w:rsidRDefault="001D1187" w:rsidP="00F8006A">
      <w:pPr>
        <w:pStyle w:val="Ttulo3"/>
        <w:spacing w:before="0"/>
      </w:pPr>
      <w:r>
        <w:tab/>
      </w:r>
      <w:bookmarkStart w:id="68" w:name="_Toc527466479"/>
      <w:r w:rsidR="00F46845" w:rsidRPr="001D1187">
        <w:t>A.2. Normativa adoptada para el tratamiento del VIH/SIDA en Guatemala</w:t>
      </w:r>
      <w:bookmarkEnd w:id="68"/>
    </w:p>
    <w:p w14:paraId="6E9A4C36" w14:textId="77777777" w:rsidR="00F8006A" w:rsidRPr="00F8006A" w:rsidRDefault="00F8006A" w:rsidP="00F8006A">
      <w:pPr>
        <w:rPr>
          <w:lang w:val="es-CR"/>
        </w:rPr>
      </w:pPr>
    </w:p>
    <w:p w14:paraId="63DA78E9" w14:textId="05DC470E" w:rsidR="001E65B3" w:rsidRDefault="00F46845" w:rsidP="00F8006A">
      <w:pPr>
        <w:pStyle w:val="Estilo1"/>
        <w:numPr>
          <w:ilvl w:val="0"/>
          <w:numId w:val="3"/>
        </w:numPr>
        <w:tabs>
          <w:tab w:val="left" w:pos="709"/>
          <w:tab w:val="left" w:pos="1134"/>
        </w:tabs>
        <w:spacing w:after="0"/>
        <w:ind w:left="0" w:right="-4" w:firstLine="0"/>
        <w:rPr>
          <w:i w:val="0"/>
        </w:rPr>
      </w:pPr>
      <w:r w:rsidRPr="0060216C">
        <w:rPr>
          <w:i w:val="0"/>
        </w:rPr>
        <w:t xml:space="preserve">El marco jurídico guatemalteco contiene diversas disposiciones relativas a la protección del derecho a la salud y a las obligaciones del Estado relacionadas con la atención a personas </w:t>
      </w:r>
      <w:r w:rsidR="00071964">
        <w:rPr>
          <w:i w:val="0"/>
        </w:rPr>
        <w:t xml:space="preserve">que viven </w:t>
      </w:r>
      <w:r w:rsidRPr="0060216C">
        <w:rPr>
          <w:i w:val="0"/>
        </w:rPr>
        <w:t>con</w:t>
      </w:r>
      <w:r w:rsidR="00071964">
        <w:rPr>
          <w:i w:val="0"/>
        </w:rPr>
        <w:t xml:space="preserve"> el</w:t>
      </w:r>
      <w:r w:rsidRPr="0060216C">
        <w:rPr>
          <w:i w:val="0"/>
        </w:rPr>
        <w:t xml:space="preserve"> VIH/SIDA. La Constitución Política de la República de Guatemala de 1985 (de aquí en adelante “Constitución de Guatemala”) señala en su artículo 93 que “[e]l goce de la salud es derecho fundamental del ser hum</w:t>
      </w:r>
      <w:r w:rsidR="00643F82">
        <w:rPr>
          <w:i w:val="0"/>
        </w:rPr>
        <w:t>ano, sin discriminación alguna”</w:t>
      </w:r>
      <w:r w:rsidRPr="00643F82">
        <w:rPr>
          <w:rStyle w:val="Refdenotaalpie"/>
          <w:i w:val="0"/>
        </w:rPr>
        <w:footnoteReference w:id="28"/>
      </w:r>
      <w:r w:rsidRPr="0060216C">
        <w:rPr>
          <w:i w:val="0"/>
        </w:rPr>
        <w:t>. En relación con la obligación del Estado en materia de salud y asistencia social, el artículo 94 del mismo instrumento señala que “el Estado velará por la salud y la asistencia social de todos los habitantes”, y que “[d]</w:t>
      </w:r>
      <w:proofErr w:type="spellStart"/>
      <w:r w:rsidRPr="0060216C">
        <w:rPr>
          <w:i w:val="0"/>
        </w:rPr>
        <w:t>esarrollará</w:t>
      </w:r>
      <w:proofErr w:type="spellEnd"/>
      <w:r w:rsidRPr="0060216C">
        <w:rPr>
          <w:i w:val="0"/>
        </w:rPr>
        <w:t>, a través de sus instituciones acciones de prevención, promoción, recuperación, rehabilitación, coordinación y las complementarias pertinentes a fin de procurarles el más completo bienestar físico, mental y so</w:t>
      </w:r>
      <w:r w:rsidR="001D02E5">
        <w:rPr>
          <w:i w:val="0"/>
        </w:rPr>
        <w:t>cial</w:t>
      </w:r>
      <w:r w:rsidRPr="0060216C">
        <w:rPr>
          <w:i w:val="0"/>
        </w:rPr>
        <w:t>”</w:t>
      </w:r>
      <w:r w:rsidR="001D02E5">
        <w:rPr>
          <w:i w:val="0"/>
        </w:rPr>
        <w:t>.</w:t>
      </w:r>
      <w:r w:rsidRPr="0060216C">
        <w:rPr>
          <w:i w:val="0"/>
        </w:rPr>
        <w:t xml:space="preserve"> Asimismo, el artículo 95 reconoce que “[l]a salud de los habitantes de la Nación es un bien público”, y que “[t]odas las personas e instituciones están obligadas a velar por su conservación y restablecimiento”.</w:t>
      </w:r>
    </w:p>
    <w:p w14:paraId="5F606C71" w14:textId="77777777" w:rsidR="00F8006A" w:rsidRPr="0060216C" w:rsidRDefault="00F8006A" w:rsidP="00F8006A">
      <w:pPr>
        <w:pStyle w:val="Estilo1"/>
        <w:tabs>
          <w:tab w:val="left" w:pos="709"/>
          <w:tab w:val="left" w:pos="1134"/>
        </w:tabs>
        <w:spacing w:after="0"/>
        <w:ind w:left="0" w:right="-4" w:firstLine="0"/>
        <w:rPr>
          <w:i w:val="0"/>
        </w:rPr>
      </w:pPr>
    </w:p>
    <w:p w14:paraId="4F5D6420" w14:textId="69A01FCA" w:rsidR="0064082F" w:rsidRDefault="00F46845" w:rsidP="00F8006A">
      <w:pPr>
        <w:pStyle w:val="Estilo1"/>
        <w:numPr>
          <w:ilvl w:val="0"/>
          <w:numId w:val="3"/>
        </w:numPr>
        <w:tabs>
          <w:tab w:val="left" w:pos="709"/>
          <w:tab w:val="left" w:pos="1134"/>
        </w:tabs>
        <w:spacing w:after="0"/>
        <w:ind w:left="0" w:right="-4" w:firstLine="0"/>
        <w:rPr>
          <w:i w:val="0"/>
        </w:rPr>
      </w:pPr>
      <w:r w:rsidRPr="0060216C">
        <w:rPr>
          <w:i w:val="0"/>
        </w:rPr>
        <w:t>En lo que respecta a la seguridad social, la Constitución de Guatemala señala en su artículo 100 que “[e]l Estado reconoce y garantiza el derecho a la seguridad social para beneficio de los habitantes de la Nación”, y que “[s]u régimen se instituye como función pública, en forma nacional</w:t>
      </w:r>
      <w:r w:rsidR="001D02E5">
        <w:rPr>
          <w:i w:val="0"/>
        </w:rPr>
        <w:t>, unitaria y obligatoria</w:t>
      </w:r>
      <w:r w:rsidRPr="0060216C">
        <w:rPr>
          <w:i w:val="0"/>
        </w:rPr>
        <w:t>”</w:t>
      </w:r>
      <w:r w:rsidR="001D02E5">
        <w:rPr>
          <w:i w:val="0"/>
        </w:rPr>
        <w:t>.</w:t>
      </w:r>
      <w:r w:rsidRPr="0060216C">
        <w:rPr>
          <w:i w:val="0"/>
        </w:rPr>
        <w:t xml:space="preserve"> Asimismo, dicho artículo constitucional prevé que “[l]a aplicación del régimen de seguridad social corresponde al Instituto Guatemalteco de Seguridad Social, que es una entidad autónoma con personalidad jurídica, patrimoni</w:t>
      </w:r>
      <w:r w:rsidR="001D02E5">
        <w:rPr>
          <w:i w:val="0"/>
        </w:rPr>
        <w:t>o y funciones propias</w:t>
      </w:r>
      <w:r w:rsidRPr="0060216C">
        <w:rPr>
          <w:i w:val="0"/>
        </w:rPr>
        <w:t>”</w:t>
      </w:r>
      <w:r w:rsidR="001D02E5">
        <w:rPr>
          <w:i w:val="0"/>
        </w:rPr>
        <w:t>.</w:t>
      </w:r>
      <w:r w:rsidRPr="0060216C">
        <w:rPr>
          <w:i w:val="0"/>
        </w:rPr>
        <w:t xml:space="preserve"> En virtud de la Ley Orgánica del Instituto Guatemalteco de Seguridad Social, de fecha 30 de octubre de 1946, se creó el Instituto Guatemalteco de Seguridad Social (de aquí en adelante “IGSS”), como una institución autónoma cuya finalidad es “aplicar en beneficio del pueblo de Guatemala, un Régimen Nacional, Unitario y Obligatorio de Seguridad, de conformidad con el sistema de protección mínima”.</w:t>
      </w:r>
    </w:p>
    <w:p w14:paraId="1743269B" w14:textId="77777777" w:rsidR="00F8006A" w:rsidRPr="0060216C" w:rsidRDefault="00F8006A" w:rsidP="00F8006A">
      <w:pPr>
        <w:pStyle w:val="Estilo1"/>
        <w:tabs>
          <w:tab w:val="left" w:pos="709"/>
          <w:tab w:val="left" w:pos="1134"/>
        </w:tabs>
        <w:spacing w:after="0"/>
        <w:ind w:left="0" w:right="-4" w:firstLine="0"/>
        <w:rPr>
          <w:i w:val="0"/>
        </w:rPr>
      </w:pPr>
    </w:p>
    <w:p w14:paraId="4CD70587" w14:textId="2A0DF252" w:rsidR="00F46845" w:rsidRDefault="00F46845" w:rsidP="00F8006A">
      <w:pPr>
        <w:pStyle w:val="Estilo1"/>
        <w:numPr>
          <w:ilvl w:val="0"/>
          <w:numId w:val="3"/>
        </w:numPr>
        <w:tabs>
          <w:tab w:val="left" w:pos="709"/>
          <w:tab w:val="left" w:pos="1134"/>
        </w:tabs>
        <w:spacing w:after="0"/>
        <w:ind w:left="0" w:right="-4" w:firstLine="0"/>
        <w:rPr>
          <w:i w:val="0"/>
        </w:rPr>
      </w:pPr>
      <w:r w:rsidRPr="0060216C">
        <w:rPr>
          <w:i w:val="0"/>
        </w:rPr>
        <w:t xml:space="preserve">El 2 de octubre de 1997 se publicó el Código de Salud de Guatemala (en adelante también “Código de Salud”), </w:t>
      </w:r>
      <w:r w:rsidR="001D02E5">
        <w:rPr>
          <w:i w:val="0"/>
        </w:rPr>
        <w:t>el cual señala, en su artículo 4</w:t>
      </w:r>
      <w:r w:rsidRPr="0060216C">
        <w:rPr>
          <w:i w:val="0"/>
        </w:rPr>
        <w:t>, que el Estado, “desarrollará a través del Ministerio de Salud Pública y Asistencia Social y en coordinación con las instituciones estatales, entidades descentralizadas y autónomas, comunidades organizadas y privadas, acciones de promoción, prevención, recuperación y rehabilitación de la salud, así como las complementarias pertinentes, a fin de procurar a los guatemaltecos el más completo bi</w:t>
      </w:r>
      <w:r w:rsidR="001D02E5">
        <w:rPr>
          <w:i w:val="0"/>
        </w:rPr>
        <w:t>enestar físico, mental y social</w:t>
      </w:r>
      <w:r w:rsidRPr="0060216C">
        <w:rPr>
          <w:i w:val="0"/>
        </w:rPr>
        <w:t>”</w:t>
      </w:r>
      <w:r w:rsidR="001D02E5">
        <w:rPr>
          <w:i w:val="0"/>
        </w:rPr>
        <w:t>.</w:t>
      </w:r>
      <w:r w:rsidRPr="0060216C">
        <w:rPr>
          <w:i w:val="0"/>
        </w:rPr>
        <w:t xml:space="preserve"> Con esta finalidad, el mismo artículo señala que “el Estado, a través del Ministerio de Salud Pública y demás instituciones públicas, velará porque se garantice la prestación del servicio de salud a toda persona </w:t>
      </w:r>
      <w:r w:rsidR="001D02E5">
        <w:rPr>
          <w:i w:val="0"/>
        </w:rPr>
        <w:t>guatemalteca, en forma gratuita</w:t>
      </w:r>
      <w:r w:rsidRPr="0060216C">
        <w:rPr>
          <w:i w:val="0"/>
        </w:rPr>
        <w:t>”</w:t>
      </w:r>
      <w:r w:rsidR="001D02E5">
        <w:rPr>
          <w:i w:val="0"/>
        </w:rPr>
        <w:t>.</w:t>
      </w:r>
      <w:r w:rsidRPr="0060216C">
        <w:rPr>
          <w:i w:val="0"/>
        </w:rPr>
        <w:t xml:space="preserve"> En relación con la asignación de recursos y con el acceso a servicios, los artículos 21 y 55 del Código de Salud señalan lo siguiente:</w:t>
      </w:r>
    </w:p>
    <w:p w14:paraId="708AA079" w14:textId="77777777" w:rsidR="00643F82" w:rsidRDefault="00643F82" w:rsidP="003C2AC6">
      <w:pPr>
        <w:pStyle w:val="PrrafodeSentencia"/>
      </w:pPr>
    </w:p>
    <w:p w14:paraId="6FFBE714" w14:textId="77777777" w:rsidR="00F46845" w:rsidRDefault="00F46845" w:rsidP="00F8006A">
      <w:pPr>
        <w:ind w:left="720" w:right="855"/>
        <w:rPr>
          <w:sz w:val="18"/>
          <w:szCs w:val="18"/>
        </w:rPr>
      </w:pPr>
      <w:r w:rsidRPr="00892BF3">
        <w:rPr>
          <w:sz w:val="18"/>
          <w:szCs w:val="18"/>
        </w:rPr>
        <w:t>ARTICULO 21. ASIGNACION DE RECURSOS. El Estado asignará los recursos necesarios para el financiamiento público de la prestación de servicios de salud, para atender a la población en general y, en forma prioritaria y obligatoria, a la de mayor postergación en su desarrollo social y económico.</w:t>
      </w:r>
    </w:p>
    <w:p w14:paraId="2DDCDEB5" w14:textId="77777777" w:rsidR="00F46845" w:rsidRDefault="00F46845" w:rsidP="00F8006A">
      <w:pPr>
        <w:ind w:left="720" w:right="855"/>
        <w:rPr>
          <w:sz w:val="18"/>
          <w:szCs w:val="18"/>
        </w:rPr>
      </w:pPr>
      <w:r w:rsidRPr="00892BF3">
        <w:rPr>
          <w:sz w:val="18"/>
          <w:szCs w:val="18"/>
        </w:rPr>
        <w:t>ARTICULO 55. ACCESO A SERVICIOS. Los establecimientos públicos y privados del Sector, deben proporcionar a los enfermos portadores de enfermedades transmisibles y de sus contactos, acceso al diagnóstico etiológico y a la atención de salud, en condiciones en que se respete su integridad personal y la confidencialidad del caso, sin detrimento de lo indicado en el Artículo 54.</w:t>
      </w:r>
    </w:p>
    <w:p w14:paraId="67BFAC7D" w14:textId="77777777" w:rsidR="00F8006A" w:rsidRPr="00892BF3" w:rsidRDefault="00F8006A" w:rsidP="00F8006A">
      <w:pPr>
        <w:ind w:left="720" w:right="855"/>
        <w:rPr>
          <w:sz w:val="18"/>
          <w:szCs w:val="18"/>
        </w:rPr>
      </w:pPr>
    </w:p>
    <w:p w14:paraId="0D5883B9" w14:textId="48FFC8B4" w:rsidR="00745A27" w:rsidRDefault="00F46845" w:rsidP="00F8006A">
      <w:pPr>
        <w:pStyle w:val="Estilo1"/>
        <w:numPr>
          <w:ilvl w:val="0"/>
          <w:numId w:val="3"/>
        </w:numPr>
        <w:tabs>
          <w:tab w:val="left" w:pos="709"/>
          <w:tab w:val="left" w:pos="1134"/>
        </w:tabs>
        <w:spacing w:after="0"/>
        <w:ind w:left="0" w:right="-4" w:firstLine="0"/>
        <w:rPr>
          <w:i w:val="0"/>
        </w:rPr>
      </w:pPr>
      <w:r w:rsidRPr="0060216C">
        <w:rPr>
          <w:i w:val="0"/>
        </w:rPr>
        <w:lastRenderedPageBreak/>
        <w:t>En lo que respecta al tratamiento de enfermedades de transmisión sexual y el SIDA, el artículo 62 del Código de Salud establece que el Ministerio de Salud es responsable de formular, evaluar y supervisar acciones dirigidas al control de las enfermedades de transmisión sexual. El mismo artículo prevé que “[d]</w:t>
      </w:r>
      <w:proofErr w:type="spellStart"/>
      <w:r w:rsidRPr="0060216C">
        <w:rPr>
          <w:i w:val="0"/>
        </w:rPr>
        <w:t>ada</w:t>
      </w:r>
      <w:proofErr w:type="spellEnd"/>
      <w:r w:rsidRPr="0060216C">
        <w:rPr>
          <w:i w:val="0"/>
        </w:rPr>
        <w:t xml:space="preserve"> la magnitud, trascendencia y otras características epidemiológicas de las Enfermedades de Transmisión Sexual (ETS) y del Síndrome de </w:t>
      </w:r>
      <w:proofErr w:type="spellStart"/>
      <w:r w:rsidRPr="0060216C">
        <w:rPr>
          <w:i w:val="0"/>
        </w:rPr>
        <w:t>Inmuno</w:t>
      </w:r>
      <w:proofErr w:type="spellEnd"/>
      <w:r w:rsidRPr="0060216C">
        <w:rPr>
          <w:i w:val="0"/>
        </w:rPr>
        <w:t xml:space="preserve"> Deficiencia Adquirida (VIH/SIDA) el Ministerio de Salud apoyará el desarrollo específico de programas de educación, detección, prevención y control de ETS, VIH/SIDA, con la par</w:t>
      </w:r>
      <w:r w:rsidR="001D02E5">
        <w:rPr>
          <w:i w:val="0"/>
        </w:rPr>
        <w:t>ticipación de diversos sectores</w:t>
      </w:r>
      <w:r w:rsidRPr="0060216C">
        <w:rPr>
          <w:i w:val="0"/>
        </w:rPr>
        <w:t>”</w:t>
      </w:r>
      <w:r w:rsidRPr="001D02E5">
        <w:rPr>
          <w:i w:val="0"/>
          <w:vertAlign w:val="superscript"/>
        </w:rPr>
        <w:footnoteReference w:id="29"/>
      </w:r>
      <w:r w:rsidR="001D02E5">
        <w:rPr>
          <w:i w:val="0"/>
        </w:rPr>
        <w:t>.</w:t>
      </w:r>
      <w:r w:rsidRPr="0060216C">
        <w:rPr>
          <w:i w:val="0"/>
        </w:rPr>
        <w:t xml:space="preserve"> En el mismo sen</w:t>
      </w:r>
      <w:r w:rsidR="001D02E5">
        <w:rPr>
          <w:i w:val="0"/>
        </w:rPr>
        <w:t>tido, el 2 de junio de 2000 el C</w:t>
      </w:r>
      <w:r w:rsidRPr="0060216C">
        <w:rPr>
          <w:i w:val="0"/>
        </w:rPr>
        <w:t xml:space="preserve">ongreso aprobó el Decreto No. 27-2000, denominado </w:t>
      </w:r>
      <w:r w:rsidR="001D02E5">
        <w:rPr>
          <w:i w:val="0"/>
        </w:rPr>
        <w:t>“</w:t>
      </w:r>
      <w:r w:rsidRPr="0060216C">
        <w:rPr>
          <w:i w:val="0"/>
        </w:rPr>
        <w:t xml:space="preserve">Ley </w:t>
      </w:r>
      <w:r w:rsidR="001D02E5">
        <w:rPr>
          <w:i w:val="0"/>
        </w:rPr>
        <w:t>General p</w:t>
      </w:r>
      <w:r w:rsidRPr="0060216C">
        <w:rPr>
          <w:i w:val="0"/>
        </w:rPr>
        <w:t>ara el Combate del Virus de Inmunodeficiencia Humana “VIH” y del Síndrome de Inmunodeficiencia Adquirida “SIDA” y de la promoción, protección y defensa de los Derechos Humanos, ante el VIH/SIDA</w:t>
      </w:r>
      <w:r w:rsidR="001D02E5">
        <w:rPr>
          <w:i w:val="0"/>
        </w:rPr>
        <w:t>”</w:t>
      </w:r>
      <w:r w:rsidRPr="0060216C">
        <w:rPr>
          <w:i w:val="0"/>
        </w:rPr>
        <w:t xml:space="preserve"> (en adelante, también “Ley General para el combate al VIH/SIDA”)</w:t>
      </w:r>
      <w:r w:rsidRPr="0060216C">
        <w:rPr>
          <w:rStyle w:val="Refdenotaalpie"/>
          <w:i w:val="0"/>
        </w:rPr>
        <w:footnoteReference w:id="30"/>
      </w:r>
      <w:r w:rsidRPr="0060216C">
        <w:rPr>
          <w:i w:val="0"/>
        </w:rPr>
        <w:t>.</w:t>
      </w:r>
    </w:p>
    <w:p w14:paraId="38088048" w14:textId="77777777" w:rsidR="00F8006A" w:rsidRPr="0060216C" w:rsidRDefault="00F8006A" w:rsidP="00F8006A">
      <w:pPr>
        <w:pStyle w:val="Estilo1"/>
        <w:tabs>
          <w:tab w:val="left" w:pos="709"/>
          <w:tab w:val="left" w:pos="1134"/>
        </w:tabs>
        <w:spacing w:after="0"/>
        <w:ind w:left="0" w:right="-4" w:firstLine="0"/>
        <w:rPr>
          <w:i w:val="0"/>
        </w:rPr>
      </w:pPr>
    </w:p>
    <w:p w14:paraId="0F158754" w14:textId="56CF25E7" w:rsidR="001C64BC" w:rsidRDefault="00F46845" w:rsidP="00F8006A">
      <w:pPr>
        <w:pStyle w:val="Estilo1"/>
        <w:numPr>
          <w:ilvl w:val="0"/>
          <w:numId w:val="3"/>
        </w:numPr>
        <w:tabs>
          <w:tab w:val="left" w:pos="709"/>
          <w:tab w:val="left" w:pos="1134"/>
        </w:tabs>
        <w:spacing w:after="0"/>
        <w:ind w:left="0" w:right="-4" w:firstLine="0"/>
        <w:rPr>
          <w:i w:val="0"/>
        </w:rPr>
      </w:pPr>
      <w:r w:rsidRPr="0060216C">
        <w:rPr>
          <w:i w:val="0"/>
        </w:rPr>
        <w:t>La Ley General para el combate al VIH/SIDA reconoce la infección del VIH/SIDA como un problema social de urgencia nacional. Dicha Ley tiene por objeto la creación de un marco jurídico que permita implementar los mecanismos necesarios para la educación, prevención</w:t>
      </w:r>
      <w:r w:rsidR="001D02E5">
        <w:rPr>
          <w:i w:val="0"/>
        </w:rPr>
        <w:t>,</w:t>
      </w:r>
      <w:r w:rsidRPr="0060216C">
        <w:rPr>
          <w:i w:val="0"/>
        </w:rPr>
        <w:t xml:space="preserve"> vigilancia epidemiológica, investigación, atención y seg</w:t>
      </w:r>
      <w:r w:rsidR="001D02E5">
        <w:rPr>
          <w:i w:val="0"/>
        </w:rPr>
        <w:t>uimiento de las infecciones de transmisión s</w:t>
      </w:r>
      <w:r w:rsidRPr="0060216C">
        <w:rPr>
          <w:i w:val="0"/>
        </w:rPr>
        <w:t>exual (en adelante también “ITS”), del VIH y del SIDA, así como garantizar el respeto, promoción, protección y defensa de los derechos humanos de las personas afectadas por estas infecciones. En ese sentido, el artículo 35 prevé que toda persona diagnosticada con VIH/SIDA deberá recibir atención integral de inmediato y en igualdad de condi</w:t>
      </w:r>
      <w:r w:rsidR="002E4EAC">
        <w:rPr>
          <w:i w:val="0"/>
        </w:rPr>
        <w:t>ciones con otras personas respe</w:t>
      </w:r>
      <w:r w:rsidRPr="0060216C">
        <w:rPr>
          <w:i w:val="0"/>
        </w:rPr>
        <w:t>tando su voluntad, dignidad, individualidad y confidencialidad; y, que ningún trabajador de la salud podrá negarse a prestar la atención que requiera una persona que vive con</w:t>
      </w:r>
      <w:r w:rsidR="00071964">
        <w:rPr>
          <w:i w:val="0"/>
        </w:rPr>
        <w:t xml:space="preserve"> el</w:t>
      </w:r>
      <w:r w:rsidRPr="0060216C">
        <w:rPr>
          <w:i w:val="0"/>
        </w:rPr>
        <w:t xml:space="preserve"> VIH/SIDA, debiendo tomar las medidas de bioseguridad recomendadas. En relación con la prestación de servicios de salud, el artículo 48 de la Ley General para el combate al VIH/SIDA prevé lo siguiente:</w:t>
      </w:r>
    </w:p>
    <w:p w14:paraId="039E65CA" w14:textId="77777777" w:rsidR="001C64BC" w:rsidRDefault="001C64BC" w:rsidP="003C2AC6">
      <w:pPr>
        <w:pStyle w:val="PrrafodeSentencia"/>
      </w:pPr>
    </w:p>
    <w:p w14:paraId="0A5333E5" w14:textId="2E33B409" w:rsidR="00F46845" w:rsidRDefault="00F46845" w:rsidP="00F8006A">
      <w:pPr>
        <w:ind w:left="720" w:right="855"/>
        <w:rPr>
          <w:sz w:val="18"/>
          <w:szCs w:val="18"/>
        </w:rPr>
      </w:pPr>
      <w:r w:rsidRPr="001C64BC">
        <w:rPr>
          <w:sz w:val="18"/>
          <w:szCs w:val="18"/>
        </w:rPr>
        <w:t>El Ministerio de Salud Pública y Asistencia Social proveerá servicios de atención a las personas que viven con el VIH/SIDA, que les aseguren consejería, apoyo y tratamiento médico actualizado, de manera individual o en grupo. Esta atención podrá ser domiciliaria o ambulatoria y estará diseñada para atender sus necesidades físicas, psicológicas y sociales. Así mismo, a través del Programa de Accesibilidad a Medicamentos "PROAM", el Ministerio de Finanzas Públicas y de Economía implementarán un programa que permita a nivel nacional e internacional el acceso a medicamentos antiretrovirales de calidad, a precios accesibles a las personas que viven con el VIH/SIDA.</w:t>
      </w:r>
    </w:p>
    <w:p w14:paraId="59DC9284" w14:textId="77777777" w:rsidR="00F8006A" w:rsidRPr="001C64BC" w:rsidRDefault="00F8006A" w:rsidP="00F8006A">
      <w:pPr>
        <w:ind w:right="855"/>
        <w:rPr>
          <w:sz w:val="18"/>
          <w:szCs w:val="18"/>
        </w:rPr>
      </w:pPr>
    </w:p>
    <w:p w14:paraId="34FA8E24" w14:textId="736E874B" w:rsidR="00F46845" w:rsidRDefault="00F46845" w:rsidP="00F8006A">
      <w:pPr>
        <w:pStyle w:val="Estilo1"/>
        <w:numPr>
          <w:ilvl w:val="0"/>
          <w:numId w:val="3"/>
        </w:numPr>
        <w:tabs>
          <w:tab w:val="left" w:pos="709"/>
          <w:tab w:val="left" w:pos="1134"/>
        </w:tabs>
        <w:spacing w:after="0"/>
        <w:ind w:left="0" w:right="-4" w:firstLine="0"/>
        <w:rPr>
          <w:i w:val="0"/>
        </w:rPr>
      </w:pPr>
      <w:r w:rsidRPr="0060216C">
        <w:rPr>
          <w:i w:val="0"/>
        </w:rPr>
        <w:t xml:space="preserve">El 6 de septiembre de 2002 el Presidente de Guatemala adoptó el </w:t>
      </w:r>
      <w:r w:rsidR="001D02E5">
        <w:rPr>
          <w:i w:val="0"/>
        </w:rPr>
        <w:t>“</w:t>
      </w:r>
      <w:r w:rsidRPr="0060216C">
        <w:rPr>
          <w:i w:val="0"/>
        </w:rPr>
        <w:t>Reglamento de la Ley General Para el Combate del Virus de Inmunodeficiencia Adquirida -VIH- y del Síndrome de Inmunodeficiencia Adquirida -SIDA- y de la Promoción, Protección y Defensa de los Derechos Humanos ante el VIH/SIDA</w:t>
      </w:r>
      <w:r w:rsidR="001D02E5">
        <w:rPr>
          <w:i w:val="0"/>
        </w:rPr>
        <w:t>”</w:t>
      </w:r>
      <w:r w:rsidRPr="0060216C">
        <w:rPr>
          <w:i w:val="0"/>
        </w:rPr>
        <w:t xml:space="preserve"> (en adelante también “Reglamento de la Ley General para el combate al VIH/SIDA”), el cual reitera que el VIH/SIDA es un problema de urgencia nacional, y que el Ministerio de Salud Pública y Asistencia Social (en adelante también “Ministerio de Salud Pública”) deberá asegurar que todas sus unidades de salud cuenten con equipo básico y los insumos necesarios que permitan una atención integral de calidad, y que en ningún caso la falta de equipo o insumos puede ser utilizada como excusa para no </w:t>
      </w:r>
      <w:r w:rsidRPr="0060216C">
        <w:rPr>
          <w:i w:val="0"/>
        </w:rPr>
        <w:lastRenderedPageBreak/>
        <w:t>proporcionar atención a una persona con VIH/SIDA</w:t>
      </w:r>
      <w:r w:rsidRPr="001C64BC">
        <w:rPr>
          <w:i w:val="0"/>
          <w:vertAlign w:val="superscript"/>
        </w:rPr>
        <w:footnoteReference w:id="31"/>
      </w:r>
      <w:r w:rsidRPr="0060216C">
        <w:rPr>
          <w:i w:val="0"/>
        </w:rPr>
        <w:t>. En relación con el acceso a medicamentos, el artículo 32 del mencionado reglamento prevé lo siguiente:</w:t>
      </w:r>
    </w:p>
    <w:p w14:paraId="48F48298" w14:textId="77777777" w:rsidR="001C64BC" w:rsidRDefault="001C64BC" w:rsidP="003C2AC6">
      <w:pPr>
        <w:pStyle w:val="PrrafodeSentencia"/>
      </w:pPr>
    </w:p>
    <w:p w14:paraId="0B2BCC87" w14:textId="664788ED" w:rsidR="00F46845" w:rsidRPr="001C64BC" w:rsidRDefault="00F46845" w:rsidP="00F8006A">
      <w:pPr>
        <w:ind w:left="720" w:right="855"/>
        <w:rPr>
          <w:sz w:val="18"/>
          <w:szCs w:val="18"/>
        </w:rPr>
      </w:pPr>
      <w:r w:rsidRPr="001C64BC">
        <w:rPr>
          <w:sz w:val="18"/>
          <w:szCs w:val="18"/>
        </w:rPr>
        <w:t xml:space="preserve">En cumplimiento de los artículos 35 y 48 de la Ley, el MINISTERIO DE SALUD PUBLICA Y ASISTENCIA SOCIAL proporcionará en las unidades que cuenten con la capacidad mínima, atención integral de calidad, incluyendo el acceso a medicamentos antirretrovirales de acuerdo a los Protocolos nacionales de tratamientos de VIH/SIDA. </w:t>
      </w:r>
      <w:r w:rsidR="00590D92">
        <w:rPr>
          <w:sz w:val="18"/>
          <w:szCs w:val="18"/>
        </w:rPr>
        <w:t>[…]</w:t>
      </w:r>
      <w:r w:rsidRPr="001C64BC">
        <w:rPr>
          <w:sz w:val="18"/>
          <w:szCs w:val="18"/>
        </w:rPr>
        <w:t xml:space="preserve"> Con el propósito de obtener mejor calidad y precios de medicamentos antirretrovirales se conformará una comisión coordinada por el PROGRAMA NACIONAL DEL SIDA con delegados de los Ministerios de Finanzas Públicas, de Economía y del Programa de Accesibilidad a Medicamentos -PROAM- para su compra en los mercados nacionales o internacionales </w:t>
      </w:r>
      <w:r w:rsidR="00590D92">
        <w:rPr>
          <w:sz w:val="18"/>
          <w:szCs w:val="18"/>
        </w:rPr>
        <w:t>[…]</w:t>
      </w:r>
    </w:p>
    <w:p w14:paraId="2A521B87" w14:textId="77777777" w:rsidR="00F46845" w:rsidRDefault="00F46845" w:rsidP="00F8006A">
      <w:pPr>
        <w:ind w:left="720" w:right="855"/>
        <w:rPr>
          <w:sz w:val="18"/>
          <w:szCs w:val="18"/>
        </w:rPr>
      </w:pPr>
      <w:r w:rsidRPr="001C64BC">
        <w:rPr>
          <w:sz w:val="18"/>
          <w:szCs w:val="18"/>
        </w:rPr>
        <w:t>El Programa de Accesibilidad a Medicamentos -PROAM- podrá distribuir los antirretrovirales a los establecimientos farmacéuticos afiliados que cuenten con personal químico-farmacéutico responsable y bajo la responsabilidad y supervisión de un médico tratante quien deberá extender la receta correspondiente para que el medicamento pueda ser dispensado. El Programa a que se refiere este párrafo no efectuará ventas directas individuales.</w:t>
      </w:r>
    </w:p>
    <w:p w14:paraId="42BC9E3C" w14:textId="77777777" w:rsidR="00F8006A" w:rsidRPr="001C64BC" w:rsidRDefault="00F8006A" w:rsidP="00F8006A">
      <w:pPr>
        <w:ind w:right="855"/>
        <w:rPr>
          <w:sz w:val="18"/>
          <w:szCs w:val="18"/>
        </w:rPr>
      </w:pPr>
    </w:p>
    <w:p w14:paraId="2AF6E4A2" w14:textId="106B1734" w:rsidR="00A432C4" w:rsidRDefault="00F46845" w:rsidP="00F8006A">
      <w:pPr>
        <w:pStyle w:val="Estilo1"/>
        <w:numPr>
          <w:ilvl w:val="0"/>
          <w:numId w:val="3"/>
        </w:numPr>
        <w:tabs>
          <w:tab w:val="left" w:pos="709"/>
          <w:tab w:val="left" w:pos="1134"/>
        </w:tabs>
        <w:spacing w:after="0"/>
        <w:ind w:left="0" w:right="-4" w:firstLine="0"/>
        <w:rPr>
          <w:i w:val="0"/>
        </w:rPr>
      </w:pPr>
      <w:r w:rsidRPr="0060216C">
        <w:rPr>
          <w:i w:val="0"/>
        </w:rPr>
        <w:t>En relación con la asignación de fondos, el artículo 35 del Reglamento de la Ley General para el combate al VIH/SIDA establece que el Ministerio de Salud Pública transferirá al Programa Nacional del SIDA los fondos asignados para uso exclusivo e implementación de las estrategias y acciones contempladas en la Ley, el cual promoverá su utilización descentralizada en el nivel de áreas de salud, distritos de salud y de la propia comunidad. Asimismo prevé que el Ministerio de Finanzas Públicas asignará y contemplará en el Presupuesto General de Ingresos y Egresos del Estado la partida financiera específica para que el Programa Nacional del SIDA ejecute en forma sostenida y permanente los programas establecidos para la educación, prevención, vigilancia epidemiológica, investigación, atención y seguimiento de las ITS/VIH/SIDA</w:t>
      </w:r>
      <w:r w:rsidRPr="0060216C">
        <w:rPr>
          <w:rStyle w:val="Refdenotaalpie"/>
          <w:rFonts w:eastAsia="Calibri"/>
          <w:bCs/>
          <w:i w:val="0"/>
          <w:iCs/>
          <w:noProof/>
          <w:lang w:eastAsia="es-CR"/>
        </w:rPr>
        <w:footnoteReference w:id="32"/>
      </w:r>
      <w:r w:rsidRPr="0060216C">
        <w:rPr>
          <w:i w:val="0"/>
        </w:rPr>
        <w:t>.</w:t>
      </w:r>
    </w:p>
    <w:p w14:paraId="36165962" w14:textId="77777777" w:rsidR="00F8006A" w:rsidRPr="0060216C" w:rsidRDefault="00F8006A" w:rsidP="00F8006A">
      <w:pPr>
        <w:pStyle w:val="Estilo1"/>
        <w:tabs>
          <w:tab w:val="left" w:pos="709"/>
          <w:tab w:val="left" w:pos="1134"/>
        </w:tabs>
        <w:spacing w:after="0"/>
        <w:ind w:left="0" w:right="-4" w:firstLine="0"/>
        <w:rPr>
          <w:i w:val="0"/>
        </w:rPr>
      </w:pPr>
    </w:p>
    <w:p w14:paraId="2AC98E14" w14:textId="0EA6250D" w:rsidR="001C64BC" w:rsidRDefault="00F46845" w:rsidP="00F8006A">
      <w:pPr>
        <w:pStyle w:val="Estilo1"/>
        <w:numPr>
          <w:ilvl w:val="0"/>
          <w:numId w:val="3"/>
        </w:numPr>
        <w:tabs>
          <w:tab w:val="left" w:pos="709"/>
          <w:tab w:val="left" w:pos="1134"/>
        </w:tabs>
        <w:spacing w:after="0"/>
        <w:ind w:left="0" w:right="-4" w:firstLine="0"/>
        <w:rPr>
          <w:i w:val="0"/>
        </w:rPr>
      </w:pPr>
      <w:r w:rsidRPr="001C64BC">
        <w:rPr>
          <w:i w:val="0"/>
        </w:rPr>
        <w:t xml:space="preserve">El Estado ha adoptado otras normas en relación con la atención a personas </w:t>
      </w:r>
      <w:r w:rsidR="00071964">
        <w:rPr>
          <w:i w:val="0"/>
        </w:rPr>
        <w:t xml:space="preserve">que viven </w:t>
      </w:r>
      <w:r w:rsidRPr="001C64BC">
        <w:rPr>
          <w:i w:val="0"/>
        </w:rPr>
        <w:t>con</w:t>
      </w:r>
      <w:r w:rsidR="00071964">
        <w:rPr>
          <w:i w:val="0"/>
        </w:rPr>
        <w:t xml:space="preserve"> el</w:t>
      </w:r>
      <w:r w:rsidRPr="001C64BC">
        <w:rPr>
          <w:i w:val="0"/>
        </w:rPr>
        <w:t xml:space="preserve"> VIH. Estas normas incluyen la emisión del Acuerdo Ministerial No. 472-2012 de 13 de agosto de 2012, mediante el cual se aseguraría el abastecimiento del medicamento </w:t>
      </w:r>
      <w:proofErr w:type="spellStart"/>
      <w:r w:rsidRPr="001C64BC">
        <w:rPr>
          <w:i w:val="0"/>
        </w:rPr>
        <w:t>Lopinavir</w:t>
      </w:r>
      <w:proofErr w:type="spellEnd"/>
      <w:r w:rsidRPr="001C64BC">
        <w:rPr>
          <w:i w:val="0"/>
        </w:rPr>
        <w:t>/</w:t>
      </w:r>
      <w:proofErr w:type="spellStart"/>
      <w:r w:rsidRPr="001C64BC">
        <w:rPr>
          <w:i w:val="0"/>
        </w:rPr>
        <w:t>Ritonavir</w:t>
      </w:r>
      <w:proofErr w:type="spellEnd"/>
      <w:r w:rsidRPr="001C64BC">
        <w:rPr>
          <w:i w:val="0"/>
        </w:rPr>
        <w:t xml:space="preserve"> para pacientes del Programa Nacional de Prevención y Control de ITS/VIH/SI</w:t>
      </w:r>
      <w:r w:rsidR="00590D92">
        <w:rPr>
          <w:i w:val="0"/>
        </w:rPr>
        <w:t>DA (en adelante también “PNPC”),</w:t>
      </w:r>
      <w:r w:rsidRPr="001C64BC">
        <w:rPr>
          <w:i w:val="0"/>
        </w:rPr>
        <w:t xml:space="preserve"> y la emisión del Acuerdo Ministerial No. 871-2012, de 26 de septiembre de 2012, a través del cual se aprobó el marco de cooperación entre los países para el abastecimiento y acceso de antir</w:t>
      </w:r>
      <w:r w:rsidR="00461BB6">
        <w:rPr>
          <w:i w:val="0"/>
        </w:rPr>
        <w:t>r</w:t>
      </w:r>
      <w:r w:rsidRPr="001C64BC">
        <w:rPr>
          <w:i w:val="0"/>
        </w:rPr>
        <w:t>etrovirales que utilice el PNPC</w:t>
      </w:r>
      <w:r w:rsidRPr="0060216C">
        <w:rPr>
          <w:rStyle w:val="Refdenotaalpie"/>
          <w:i w:val="0"/>
        </w:rPr>
        <w:footnoteReference w:id="33"/>
      </w:r>
      <w:r w:rsidRPr="001C64BC">
        <w:rPr>
          <w:i w:val="0"/>
        </w:rPr>
        <w:t>.</w:t>
      </w:r>
    </w:p>
    <w:p w14:paraId="5B607439" w14:textId="77777777" w:rsidR="001D1187" w:rsidRDefault="001D1187" w:rsidP="00F8006A">
      <w:pPr>
        <w:rPr>
          <w:b/>
        </w:rPr>
      </w:pPr>
    </w:p>
    <w:p w14:paraId="1649763B" w14:textId="6EFCBA6F" w:rsidR="00F46845" w:rsidRDefault="001D1187" w:rsidP="00F8006A">
      <w:pPr>
        <w:pStyle w:val="Ttulo3"/>
        <w:spacing w:before="0"/>
      </w:pPr>
      <w:r>
        <w:tab/>
      </w:r>
      <w:bookmarkStart w:id="69" w:name="_Toc527466480"/>
      <w:r w:rsidR="00F46845" w:rsidRPr="00AF3AD6">
        <w:t>A.3. Otras medidas adoptadas para el tratamiento del VIH/SIDA en Guatemala</w:t>
      </w:r>
      <w:bookmarkEnd w:id="69"/>
    </w:p>
    <w:p w14:paraId="63D2AE98" w14:textId="77777777" w:rsidR="00F8006A" w:rsidRPr="00F8006A" w:rsidRDefault="00F8006A" w:rsidP="00F8006A">
      <w:pPr>
        <w:rPr>
          <w:lang w:val="es-CR"/>
        </w:rPr>
      </w:pPr>
    </w:p>
    <w:p w14:paraId="1B49610B" w14:textId="432E6CE8" w:rsidR="00A432C4" w:rsidRDefault="00F46845" w:rsidP="00F8006A">
      <w:pPr>
        <w:pStyle w:val="Estilo1"/>
        <w:numPr>
          <w:ilvl w:val="0"/>
          <w:numId w:val="3"/>
        </w:numPr>
        <w:tabs>
          <w:tab w:val="left" w:pos="709"/>
          <w:tab w:val="left" w:pos="1134"/>
        </w:tabs>
        <w:spacing w:after="0"/>
        <w:ind w:left="0" w:right="-4" w:firstLine="0"/>
        <w:rPr>
          <w:i w:val="0"/>
        </w:rPr>
      </w:pPr>
      <w:r w:rsidRPr="0060216C">
        <w:rPr>
          <w:i w:val="0"/>
        </w:rPr>
        <w:lastRenderedPageBreak/>
        <w:t>El Estado ha adoptado medidas de política pública encaminadas a prevenir y atender la epidemia del VIH/SIDA a partir del año 1985, tras la identificación de los primeros casos de infección. En el año 1996 se elaboró el primer Plan Estratégico Nacional de respuesta al VIH. En el año 1999, a instancias del Ministerio de Salud Pública, y en colaboración estrecha con la Asociación Coordinadora de Sectores de Lucha contra el SIDA, se elaboró el Plan Estratégico Nacional ITS, VIH, SIDA para el periodo 1999-2003. En el año 2000 la Ley General para el combate al VIH/SIDA determinó la creación del Programa Nacional de Prevención y Control de ITS/VIH/SIDA. En el año 2002 se publicó la Política de Desarrollo Social y Población, la cual estableció como meta la “reducción en un 20% de las infecciones de transmisión sexual y el VIH y sida, en el largo plazo”</w:t>
      </w:r>
      <w:r w:rsidRPr="0060216C">
        <w:rPr>
          <w:i w:val="0"/>
          <w:vertAlign w:val="superscript"/>
        </w:rPr>
        <w:footnoteReference w:id="34"/>
      </w:r>
      <w:r w:rsidRPr="0060216C">
        <w:rPr>
          <w:i w:val="0"/>
        </w:rPr>
        <w:t>.</w:t>
      </w:r>
    </w:p>
    <w:p w14:paraId="5C8AD58D" w14:textId="77777777" w:rsidR="00F8006A" w:rsidRPr="0060216C" w:rsidRDefault="00F8006A" w:rsidP="00F8006A">
      <w:pPr>
        <w:pStyle w:val="Estilo1"/>
        <w:tabs>
          <w:tab w:val="left" w:pos="709"/>
          <w:tab w:val="left" w:pos="1134"/>
        </w:tabs>
        <w:spacing w:after="0"/>
        <w:ind w:left="0" w:right="-4" w:firstLine="0"/>
        <w:rPr>
          <w:i w:val="0"/>
        </w:rPr>
      </w:pPr>
    </w:p>
    <w:p w14:paraId="691CB1E5" w14:textId="21104E56" w:rsidR="00A432C4" w:rsidRPr="00F8006A" w:rsidRDefault="00F46845" w:rsidP="00F8006A">
      <w:pPr>
        <w:pStyle w:val="Estilo1"/>
        <w:numPr>
          <w:ilvl w:val="0"/>
          <w:numId w:val="3"/>
        </w:numPr>
        <w:tabs>
          <w:tab w:val="left" w:pos="709"/>
          <w:tab w:val="left" w:pos="1134"/>
        </w:tabs>
        <w:spacing w:after="0"/>
        <w:ind w:left="0" w:right="-4" w:firstLine="0"/>
        <w:rPr>
          <w:i w:val="0"/>
        </w:rPr>
      </w:pPr>
      <w:r w:rsidRPr="0060216C">
        <w:rPr>
          <w:i w:val="0"/>
          <w:szCs w:val="20"/>
          <w:lang w:val="es-CR"/>
        </w:rPr>
        <w:t>En el año 2005, el Presid</w:t>
      </w:r>
      <w:r w:rsidR="00707082">
        <w:rPr>
          <w:i w:val="0"/>
          <w:szCs w:val="20"/>
          <w:lang w:val="es-CR"/>
        </w:rPr>
        <w:t>ente de la República, mediante Acuerdo G</w:t>
      </w:r>
      <w:r w:rsidR="0056148F">
        <w:rPr>
          <w:i w:val="0"/>
          <w:szCs w:val="20"/>
          <w:lang w:val="es-CR"/>
        </w:rPr>
        <w:t>ubernativo No.</w:t>
      </w:r>
      <w:r w:rsidRPr="0060216C">
        <w:rPr>
          <w:i w:val="0"/>
          <w:szCs w:val="20"/>
          <w:lang w:val="es-CR"/>
        </w:rPr>
        <w:t xml:space="preserve"> 638-2005, aprobó la Política Pública respecto de la Prevención de las Infecciones de Trasmisión Sexual -ITS- y del Síndrome de Inmunodeficie</w:t>
      </w:r>
      <w:r w:rsidR="00707082">
        <w:rPr>
          <w:i w:val="0"/>
          <w:szCs w:val="20"/>
          <w:lang w:val="es-CR"/>
        </w:rPr>
        <w:t>ncia Adquirida -SIDA-. E</w:t>
      </w:r>
      <w:r w:rsidRPr="0060216C">
        <w:rPr>
          <w:i w:val="0"/>
          <w:szCs w:val="20"/>
          <w:lang w:val="es-CR"/>
        </w:rPr>
        <w:t>se mismo año, el PNPC publicó la Guía de Tratamiento Antirretroviral y de Infecc</w:t>
      </w:r>
      <w:r w:rsidR="00707082">
        <w:rPr>
          <w:i w:val="0"/>
          <w:szCs w:val="20"/>
          <w:lang w:val="es-CR"/>
        </w:rPr>
        <w:t>iones Oportunistas de Guatemala, y</w:t>
      </w:r>
      <w:r w:rsidRPr="0060216C">
        <w:rPr>
          <w:i w:val="0"/>
          <w:szCs w:val="20"/>
          <w:lang w:val="es-CR"/>
        </w:rPr>
        <w:t xml:space="preserve"> el Ministerio de Salud Pública publicó el Manual de Orientación en ITS/VIH/SIDA. En marzo del año 2006 se adoptó un nuevo Plan Estratégico Nacional para la Prevención, Atención y Control de ITS, VIH y </w:t>
      </w:r>
      <w:r w:rsidR="00707082">
        <w:rPr>
          <w:i w:val="0"/>
          <w:szCs w:val="20"/>
          <w:lang w:val="es-CR"/>
        </w:rPr>
        <w:t>SIDA</w:t>
      </w:r>
      <w:r w:rsidRPr="0060216C">
        <w:rPr>
          <w:i w:val="0"/>
          <w:szCs w:val="20"/>
          <w:lang w:val="es-CR"/>
        </w:rPr>
        <w:t xml:space="preserve"> para el periodo 2006-2010. En el año 2007, se lanzó la Estrategia Nacional de Información, Educación y Comunicación para cambio de comportamiento –IEC/cc para la prevención de ITS, VIH y SIDA en Guatemala</w:t>
      </w:r>
      <w:r w:rsidR="00707082">
        <w:rPr>
          <w:i w:val="0"/>
          <w:szCs w:val="20"/>
          <w:lang w:val="es-CR"/>
        </w:rPr>
        <w:t>. E</w:t>
      </w:r>
      <w:r w:rsidRPr="0060216C">
        <w:rPr>
          <w:i w:val="0"/>
          <w:szCs w:val="20"/>
          <w:lang w:val="es-CR"/>
        </w:rPr>
        <w:t>se mismo año, el Ministerio de Salud Pública, en conjunto con el PNCP, publicó el Manual para el abordaje integral de las infecciones de transmisión sexual con é</w:t>
      </w:r>
      <w:r w:rsidR="00707082">
        <w:rPr>
          <w:i w:val="0"/>
          <w:szCs w:val="20"/>
          <w:lang w:val="es-CR"/>
        </w:rPr>
        <w:t xml:space="preserve">nfasis en el manejo sindrómico </w:t>
      </w:r>
      <w:r w:rsidRPr="0060216C">
        <w:rPr>
          <w:i w:val="0"/>
          <w:szCs w:val="20"/>
          <w:lang w:val="es-CR"/>
        </w:rPr>
        <w:t xml:space="preserve">y en el 2008 publicó la Guía para la orientación sobre alimentación de bebés de mamás </w:t>
      </w:r>
      <w:r w:rsidR="00BD4EDB">
        <w:rPr>
          <w:i w:val="0"/>
          <w:szCs w:val="20"/>
          <w:lang w:val="es-CR"/>
        </w:rPr>
        <w:t xml:space="preserve">que viven </w:t>
      </w:r>
      <w:r w:rsidRPr="0060216C">
        <w:rPr>
          <w:i w:val="0"/>
          <w:szCs w:val="20"/>
          <w:lang w:val="es-CR"/>
        </w:rPr>
        <w:t>con</w:t>
      </w:r>
      <w:r w:rsidR="00BD4EDB">
        <w:rPr>
          <w:i w:val="0"/>
          <w:szCs w:val="20"/>
          <w:lang w:val="es-CR"/>
        </w:rPr>
        <w:t xml:space="preserve"> el</w:t>
      </w:r>
      <w:r w:rsidRPr="0060216C">
        <w:rPr>
          <w:i w:val="0"/>
          <w:szCs w:val="20"/>
          <w:lang w:val="es-CR"/>
        </w:rPr>
        <w:t xml:space="preserve"> VIH</w:t>
      </w:r>
      <w:r w:rsidRPr="0060216C">
        <w:rPr>
          <w:rStyle w:val="Refdenotaalpie"/>
          <w:i w:val="0"/>
          <w:lang w:val="es-CR"/>
        </w:rPr>
        <w:footnoteReference w:id="35"/>
      </w:r>
      <w:r w:rsidRPr="0060216C">
        <w:rPr>
          <w:i w:val="0"/>
          <w:szCs w:val="20"/>
          <w:lang w:val="es-CR"/>
        </w:rPr>
        <w:t>.</w:t>
      </w:r>
    </w:p>
    <w:p w14:paraId="01B1FCD7" w14:textId="77777777" w:rsidR="00F8006A" w:rsidRPr="0060216C" w:rsidRDefault="00F8006A" w:rsidP="00F8006A">
      <w:pPr>
        <w:pStyle w:val="Estilo1"/>
        <w:tabs>
          <w:tab w:val="left" w:pos="709"/>
          <w:tab w:val="left" w:pos="1134"/>
        </w:tabs>
        <w:spacing w:after="0"/>
        <w:ind w:left="0" w:right="-4" w:firstLine="0"/>
        <w:rPr>
          <w:i w:val="0"/>
        </w:rPr>
      </w:pPr>
    </w:p>
    <w:p w14:paraId="0CE1824D" w14:textId="46ED1AAB" w:rsidR="003801ED" w:rsidRPr="00F8006A" w:rsidRDefault="00F46845" w:rsidP="00F8006A">
      <w:pPr>
        <w:pStyle w:val="Estilo1"/>
        <w:numPr>
          <w:ilvl w:val="0"/>
          <w:numId w:val="3"/>
        </w:numPr>
        <w:tabs>
          <w:tab w:val="left" w:pos="709"/>
          <w:tab w:val="left" w:pos="1134"/>
        </w:tabs>
        <w:spacing w:after="0"/>
        <w:ind w:left="0" w:right="-4" w:firstLine="0"/>
        <w:rPr>
          <w:i w:val="0"/>
        </w:rPr>
      </w:pPr>
      <w:r w:rsidRPr="0060216C">
        <w:rPr>
          <w:i w:val="0"/>
          <w:szCs w:val="20"/>
          <w:lang w:val="es-CR"/>
        </w:rPr>
        <w:t xml:space="preserve">En el año 2011 se adoptó el Plan Estratégico Nacional para la Prevención, Atención y Control de ITS, VIH y </w:t>
      </w:r>
      <w:r w:rsidR="00707082">
        <w:rPr>
          <w:i w:val="0"/>
          <w:szCs w:val="20"/>
          <w:lang w:val="es-CR"/>
        </w:rPr>
        <w:t>SIDA</w:t>
      </w:r>
      <w:r w:rsidRPr="0060216C">
        <w:rPr>
          <w:i w:val="0"/>
          <w:szCs w:val="20"/>
          <w:lang w:val="es-CR"/>
        </w:rPr>
        <w:t xml:space="preserve"> para el periodo 2011-2015 y se publicó la Guía de atención nutricional en personas con VIH. En el año 2012, el PNCP, en conjunto con el Programa Nacional de Salud Reproductiva, publicó el Manual para la Atención de la Salud Sexual y Reproductiva de Mujeres que viven con VIH y VIH</w:t>
      </w:r>
      <w:r w:rsidR="00707082">
        <w:rPr>
          <w:i w:val="0"/>
          <w:szCs w:val="20"/>
          <w:lang w:val="es-CR"/>
        </w:rPr>
        <w:t xml:space="preserve"> avanzado (SIDA), así como la Guía para </w:t>
      </w:r>
      <w:r w:rsidR="00323792">
        <w:rPr>
          <w:i w:val="0"/>
          <w:szCs w:val="20"/>
          <w:lang w:val="es-CR"/>
        </w:rPr>
        <w:t>f</w:t>
      </w:r>
      <w:r w:rsidRPr="0060216C">
        <w:rPr>
          <w:i w:val="0"/>
          <w:szCs w:val="20"/>
          <w:lang w:val="es-CR"/>
        </w:rPr>
        <w:t>ac</w:t>
      </w:r>
      <w:r w:rsidR="00707082">
        <w:rPr>
          <w:i w:val="0"/>
          <w:szCs w:val="20"/>
          <w:lang w:val="es-CR"/>
        </w:rPr>
        <w:t xml:space="preserve">ilitadores/as, con </w:t>
      </w:r>
      <w:r w:rsidR="00323792">
        <w:rPr>
          <w:i w:val="0"/>
          <w:szCs w:val="20"/>
          <w:lang w:val="es-CR"/>
        </w:rPr>
        <w:t>a</w:t>
      </w:r>
      <w:r w:rsidR="00707082">
        <w:rPr>
          <w:i w:val="0"/>
          <w:szCs w:val="20"/>
          <w:lang w:val="es-CR"/>
        </w:rPr>
        <w:t xml:space="preserve">bordaje de </w:t>
      </w:r>
      <w:r w:rsidR="00323792">
        <w:rPr>
          <w:i w:val="0"/>
          <w:szCs w:val="20"/>
          <w:lang w:val="es-CR"/>
        </w:rPr>
        <w:t>g</w:t>
      </w:r>
      <w:r w:rsidR="00707082">
        <w:rPr>
          <w:i w:val="0"/>
          <w:szCs w:val="20"/>
          <w:lang w:val="es-CR"/>
        </w:rPr>
        <w:t xml:space="preserve">énero e </w:t>
      </w:r>
      <w:r w:rsidR="00323792">
        <w:rPr>
          <w:i w:val="0"/>
          <w:szCs w:val="20"/>
          <w:lang w:val="es-CR"/>
        </w:rPr>
        <w:t>i</w:t>
      </w:r>
      <w:r w:rsidR="00707082">
        <w:rPr>
          <w:i w:val="0"/>
          <w:szCs w:val="20"/>
          <w:lang w:val="es-CR"/>
        </w:rPr>
        <w:t xml:space="preserve">nterculturalidad: </w:t>
      </w:r>
      <w:r w:rsidR="00323792">
        <w:rPr>
          <w:i w:val="0"/>
          <w:szCs w:val="20"/>
          <w:lang w:val="es-CR"/>
        </w:rPr>
        <w:t>c</w:t>
      </w:r>
      <w:r w:rsidR="00707082">
        <w:rPr>
          <w:i w:val="0"/>
          <w:szCs w:val="20"/>
          <w:lang w:val="es-CR"/>
        </w:rPr>
        <w:t xml:space="preserve">ompartiendo </w:t>
      </w:r>
      <w:r w:rsidR="00323792">
        <w:rPr>
          <w:i w:val="0"/>
          <w:szCs w:val="20"/>
          <w:lang w:val="es-CR"/>
        </w:rPr>
        <w:t>s</w:t>
      </w:r>
      <w:r w:rsidR="00707082">
        <w:rPr>
          <w:i w:val="0"/>
          <w:szCs w:val="20"/>
          <w:lang w:val="es-CR"/>
        </w:rPr>
        <w:t xml:space="preserve">aberes para la </w:t>
      </w:r>
      <w:r w:rsidR="00323792">
        <w:rPr>
          <w:i w:val="0"/>
          <w:szCs w:val="20"/>
          <w:lang w:val="es-CR"/>
        </w:rPr>
        <w:t>p</w:t>
      </w:r>
      <w:r w:rsidR="00707082">
        <w:rPr>
          <w:i w:val="0"/>
          <w:szCs w:val="20"/>
          <w:lang w:val="es-CR"/>
        </w:rPr>
        <w:t xml:space="preserve">revención de ITS, con </w:t>
      </w:r>
      <w:r w:rsidR="00323792">
        <w:rPr>
          <w:i w:val="0"/>
          <w:szCs w:val="20"/>
          <w:lang w:val="es-CR"/>
        </w:rPr>
        <w:t>é</w:t>
      </w:r>
      <w:r w:rsidRPr="0060216C">
        <w:rPr>
          <w:i w:val="0"/>
          <w:szCs w:val="20"/>
          <w:lang w:val="es-CR"/>
        </w:rPr>
        <w:t>nfasi</w:t>
      </w:r>
      <w:r w:rsidR="00707082">
        <w:rPr>
          <w:i w:val="0"/>
          <w:szCs w:val="20"/>
          <w:lang w:val="es-CR"/>
        </w:rPr>
        <w:t xml:space="preserve">s en VIH, </w:t>
      </w:r>
      <w:r w:rsidR="00323792">
        <w:rPr>
          <w:i w:val="0"/>
          <w:szCs w:val="20"/>
          <w:lang w:val="es-CR"/>
        </w:rPr>
        <w:t>s</w:t>
      </w:r>
      <w:r w:rsidR="00707082">
        <w:rPr>
          <w:i w:val="0"/>
          <w:szCs w:val="20"/>
          <w:lang w:val="es-CR"/>
        </w:rPr>
        <w:t xml:space="preserve">ífilis y </w:t>
      </w:r>
      <w:r w:rsidR="00323792">
        <w:rPr>
          <w:i w:val="0"/>
          <w:szCs w:val="20"/>
          <w:lang w:val="es-CR"/>
        </w:rPr>
        <w:t>h</w:t>
      </w:r>
      <w:r w:rsidR="00707082">
        <w:rPr>
          <w:i w:val="0"/>
          <w:szCs w:val="20"/>
          <w:lang w:val="es-CR"/>
        </w:rPr>
        <w:t>epatitis B</w:t>
      </w:r>
      <w:r w:rsidRPr="0060216C">
        <w:rPr>
          <w:i w:val="0"/>
          <w:szCs w:val="20"/>
          <w:lang w:val="es-CR"/>
        </w:rPr>
        <w:t xml:space="preserve">. También, en el año 2013, el Ministerio de Salud Pública adoptó el Plan Nacional para la Eliminación de la Transmisión </w:t>
      </w:r>
      <w:r w:rsidRPr="0060216C">
        <w:rPr>
          <w:i w:val="0"/>
          <w:szCs w:val="20"/>
          <w:lang w:val="es-CR"/>
        </w:rPr>
        <w:lastRenderedPageBreak/>
        <w:t xml:space="preserve">Materno Infantil del VIH y Sífilis Congénita para el </w:t>
      </w:r>
      <w:r w:rsidR="00323792">
        <w:rPr>
          <w:i w:val="0"/>
          <w:szCs w:val="20"/>
          <w:lang w:val="es-CR"/>
        </w:rPr>
        <w:t>periodo 2013-2016 y publicó la guía de tratamiento antirretroviral y de infecciones o</w:t>
      </w:r>
      <w:r w:rsidRPr="0060216C">
        <w:rPr>
          <w:i w:val="0"/>
          <w:szCs w:val="20"/>
          <w:lang w:val="es-CR"/>
        </w:rPr>
        <w:t>portunistas en Guatemala</w:t>
      </w:r>
      <w:r w:rsidR="007B07BB" w:rsidRPr="0060216C">
        <w:rPr>
          <w:rStyle w:val="Refdenotaalpie"/>
          <w:i w:val="0"/>
          <w:lang w:val="es-CR"/>
        </w:rPr>
        <w:footnoteReference w:id="36"/>
      </w:r>
      <w:r w:rsidRPr="0060216C">
        <w:rPr>
          <w:i w:val="0"/>
          <w:szCs w:val="20"/>
          <w:lang w:val="es-CR"/>
        </w:rPr>
        <w:t>.</w:t>
      </w:r>
    </w:p>
    <w:p w14:paraId="7977D13A" w14:textId="77777777" w:rsidR="00F8006A" w:rsidRPr="0060216C" w:rsidRDefault="00F8006A" w:rsidP="00F8006A">
      <w:pPr>
        <w:pStyle w:val="Estilo1"/>
        <w:tabs>
          <w:tab w:val="left" w:pos="709"/>
          <w:tab w:val="left" w:pos="1134"/>
        </w:tabs>
        <w:spacing w:after="0"/>
        <w:ind w:left="0" w:right="-4" w:firstLine="0"/>
        <w:rPr>
          <w:i w:val="0"/>
        </w:rPr>
      </w:pPr>
    </w:p>
    <w:p w14:paraId="42506ADC" w14:textId="19897A1E" w:rsidR="003801ED" w:rsidRPr="00707082" w:rsidRDefault="00707082" w:rsidP="00F8006A">
      <w:pPr>
        <w:pStyle w:val="Estilo1"/>
        <w:numPr>
          <w:ilvl w:val="0"/>
          <w:numId w:val="3"/>
        </w:numPr>
        <w:tabs>
          <w:tab w:val="left" w:pos="709"/>
          <w:tab w:val="left" w:pos="1134"/>
        </w:tabs>
        <w:spacing w:after="0"/>
        <w:ind w:left="0" w:right="-4" w:firstLine="0"/>
        <w:rPr>
          <w:i w:val="0"/>
        </w:rPr>
      </w:pPr>
      <w:r>
        <w:rPr>
          <w:i w:val="0"/>
          <w:szCs w:val="20"/>
          <w:lang w:val="es-CR"/>
        </w:rPr>
        <w:t>En el año 2014</w:t>
      </w:r>
      <w:r w:rsidR="00F46845" w:rsidRPr="0060216C">
        <w:rPr>
          <w:i w:val="0"/>
          <w:szCs w:val="20"/>
          <w:lang w:val="es-CR"/>
        </w:rPr>
        <w:t xml:space="preserve"> se adoptó el Plan Nacional de Salud, Dignidad y Prevención Positivas para el periodo 2015-2019. En junio del 2016 se aprobó el Convenio de Cooperación Interinstitucional “Prevenir con Educación”, entre el Ministerio de Educación y el Ministerio de Salud Pública</w:t>
      </w:r>
      <w:r w:rsidR="00F46845" w:rsidRPr="0060216C">
        <w:rPr>
          <w:rStyle w:val="Refdenotaalpie"/>
          <w:i w:val="0"/>
          <w:lang w:val="es-CR"/>
        </w:rPr>
        <w:footnoteReference w:id="37"/>
      </w:r>
      <w:r w:rsidR="00F46845" w:rsidRPr="0060216C">
        <w:rPr>
          <w:i w:val="0"/>
          <w:szCs w:val="20"/>
          <w:lang w:val="es-CR"/>
        </w:rPr>
        <w:t>. Según información remitida por los representantes, en la actualidad se discute un nuevo plan estratégico nacional correspondiente a los años 2016-2020.</w:t>
      </w:r>
    </w:p>
    <w:p w14:paraId="25B51369" w14:textId="77777777" w:rsidR="00707082" w:rsidRPr="0060216C" w:rsidRDefault="00707082" w:rsidP="00707082">
      <w:pPr>
        <w:pStyle w:val="Estilo1"/>
        <w:tabs>
          <w:tab w:val="left" w:pos="709"/>
          <w:tab w:val="left" w:pos="1134"/>
        </w:tabs>
        <w:spacing w:after="0"/>
        <w:ind w:left="0" w:right="-4" w:firstLine="0"/>
        <w:rPr>
          <w:i w:val="0"/>
        </w:rPr>
      </w:pPr>
    </w:p>
    <w:p w14:paraId="22205E2E" w14:textId="0AE16DCE" w:rsidR="003801ED" w:rsidRDefault="00F46845" w:rsidP="00F8006A">
      <w:pPr>
        <w:pStyle w:val="Estilo1"/>
        <w:numPr>
          <w:ilvl w:val="0"/>
          <w:numId w:val="3"/>
        </w:numPr>
        <w:tabs>
          <w:tab w:val="left" w:pos="709"/>
          <w:tab w:val="left" w:pos="1134"/>
        </w:tabs>
        <w:spacing w:after="0"/>
        <w:ind w:left="0" w:right="-4" w:firstLine="0"/>
        <w:rPr>
          <w:i w:val="0"/>
        </w:rPr>
      </w:pPr>
      <w:r w:rsidRPr="0060216C">
        <w:rPr>
          <w:i w:val="0"/>
        </w:rPr>
        <w:t>Adicionalmente, diversos organismos internacionales y organizaciones de la sociedad civil han proporcionado ayuda económica o tratamiento a personas con VIH/SIDA en Guatemala. La “</w:t>
      </w:r>
      <w:proofErr w:type="spellStart"/>
      <w:r w:rsidRPr="0060216C">
        <w:rPr>
          <w:i w:val="0"/>
        </w:rPr>
        <w:t>United</w:t>
      </w:r>
      <w:proofErr w:type="spellEnd"/>
      <w:r w:rsidRPr="0060216C">
        <w:rPr>
          <w:i w:val="0"/>
        </w:rPr>
        <w:t xml:space="preserve"> </w:t>
      </w:r>
      <w:proofErr w:type="spellStart"/>
      <w:r w:rsidRPr="0060216C">
        <w:rPr>
          <w:i w:val="0"/>
        </w:rPr>
        <w:t>States</w:t>
      </w:r>
      <w:proofErr w:type="spellEnd"/>
      <w:r w:rsidRPr="0060216C">
        <w:rPr>
          <w:i w:val="0"/>
        </w:rPr>
        <w:t xml:space="preserve"> Agency </w:t>
      </w:r>
      <w:proofErr w:type="spellStart"/>
      <w:r w:rsidRPr="0060216C">
        <w:rPr>
          <w:i w:val="0"/>
        </w:rPr>
        <w:t>for</w:t>
      </w:r>
      <w:proofErr w:type="spellEnd"/>
      <w:r w:rsidRPr="0060216C">
        <w:rPr>
          <w:i w:val="0"/>
        </w:rPr>
        <w:t xml:space="preserve"> International</w:t>
      </w:r>
      <w:r w:rsidRPr="0060216C">
        <w:rPr>
          <w:b/>
          <w:i w:val="0"/>
        </w:rPr>
        <w:t xml:space="preserve"> </w:t>
      </w:r>
      <w:proofErr w:type="spellStart"/>
      <w:r w:rsidRPr="0060216C">
        <w:rPr>
          <w:i w:val="0"/>
        </w:rPr>
        <w:t>Development</w:t>
      </w:r>
      <w:proofErr w:type="spellEnd"/>
      <w:r w:rsidRPr="0060216C">
        <w:rPr>
          <w:i w:val="0"/>
        </w:rPr>
        <w:t>”</w:t>
      </w:r>
      <w:r w:rsidRPr="0060216C">
        <w:rPr>
          <w:b/>
          <w:i w:val="0"/>
        </w:rPr>
        <w:t xml:space="preserve"> </w:t>
      </w:r>
      <w:r w:rsidRPr="0060216C">
        <w:rPr>
          <w:i w:val="0"/>
        </w:rPr>
        <w:t xml:space="preserve">(en adelante también “USAID”), a través del </w:t>
      </w:r>
      <w:r w:rsidR="00707082">
        <w:rPr>
          <w:i w:val="0"/>
        </w:rPr>
        <w:t>proyecto</w:t>
      </w:r>
      <w:r w:rsidRPr="0060216C">
        <w:rPr>
          <w:i w:val="0"/>
        </w:rPr>
        <w:t xml:space="preserve"> de acción SIDA de Centroamérica –PASCA-, ONUSIDA, el Fondo de las Naciones Unidas para la Infancia (en adelante también “UNICEF”) y el Programa de las Naciones Unidas para el Desarrollo (en adelante también “PNUD”), han proporcionado ayuda internacional para responder a la epidemia de VIH/SIDA en el país. De igual forma,</w:t>
      </w:r>
      <w:r w:rsidR="00323792">
        <w:rPr>
          <w:i w:val="0"/>
        </w:rPr>
        <w:t xml:space="preserve"> a través del Fondo Mundial de lucha contra el SIDA, la tuberculosis y la m</w:t>
      </w:r>
      <w:r w:rsidRPr="0060216C">
        <w:rPr>
          <w:i w:val="0"/>
        </w:rPr>
        <w:t>alaria (en adelante también “FMSIDA”) se comprometieron, en el año 2003 un total de $40.921,917 de dólares por un periodo de cinco años</w:t>
      </w:r>
      <w:r w:rsidRPr="0060216C">
        <w:rPr>
          <w:rStyle w:val="Refdenotaalpie"/>
          <w:i w:val="0"/>
        </w:rPr>
        <w:footnoteReference w:id="38"/>
      </w:r>
      <w:r w:rsidRPr="0060216C">
        <w:rPr>
          <w:i w:val="0"/>
        </w:rPr>
        <w:t>. Las acciones estatales de protección a personas con VIH/SIDA se han visto co</w:t>
      </w:r>
      <w:r w:rsidR="00323792">
        <w:rPr>
          <w:i w:val="0"/>
        </w:rPr>
        <w:t>mplementadas por el trabajo de organizaciones no g</w:t>
      </w:r>
      <w:r w:rsidRPr="0060216C">
        <w:rPr>
          <w:i w:val="0"/>
        </w:rPr>
        <w:t>ubernamentales</w:t>
      </w:r>
      <w:r w:rsidRPr="0060216C">
        <w:rPr>
          <w:rStyle w:val="Refdenotaalpie"/>
          <w:i w:val="0"/>
        </w:rPr>
        <w:footnoteReference w:id="39"/>
      </w:r>
      <w:r w:rsidRPr="0060216C">
        <w:rPr>
          <w:i w:val="0"/>
        </w:rPr>
        <w:t>.</w:t>
      </w:r>
    </w:p>
    <w:p w14:paraId="60C80070" w14:textId="77777777" w:rsidR="00F8006A" w:rsidRPr="0060216C" w:rsidRDefault="00F8006A" w:rsidP="00F8006A">
      <w:pPr>
        <w:pStyle w:val="Estilo1"/>
        <w:tabs>
          <w:tab w:val="left" w:pos="709"/>
          <w:tab w:val="left" w:pos="1134"/>
        </w:tabs>
        <w:spacing w:after="0"/>
        <w:ind w:left="0" w:right="-4" w:firstLine="0"/>
        <w:rPr>
          <w:i w:val="0"/>
        </w:rPr>
      </w:pPr>
    </w:p>
    <w:p w14:paraId="019CFBC3" w14:textId="67F54C6B" w:rsidR="00F46845" w:rsidRDefault="00F46845" w:rsidP="00F8006A">
      <w:pPr>
        <w:pStyle w:val="Estilo1"/>
        <w:numPr>
          <w:ilvl w:val="0"/>
          <w:numId w:val="3"/>
        </w:numPr>
        <w:tabs>
          <w:tab w:val="left" w:pos="709"/>
          <w:tab w:val="left" w:pos="1134"/>
        </w:tabs>
        <w:spacing w:after="0"/>
        <w:ind w:left="0" w:right="-4" w:firstLine="0"/>
        <w:rPr>
          <w:i w:val="0"/>
        </w:rPr>
      </w:pPr>
      <w:r w:rsidRPr="0060216C">
        <w:rPr>
          <w:i w:val="0"/>
        </w:rPr>
        <w:t xml:space="preserve">En lo que respecta a la atención, el Ministerio de Salud comenzó a proveer medicamentos antirretrovirales en 1999. </w:t>
      </w:r>
      <w:r w:rsidR="00323792">
        <w:rPr>
          <w:i w:val="0"/>
        </w:rPr>
        <w:t>Según información remitida al Tribunal, p</w:t>
      </w:r>
      <w:r w:rsidRPr="0060216C">
        <w:rPr>
          <w:i w:val="0"/>
        </w:rPr>
        <w:t xml:space="preserve">ara los años 2007 y 2008, contando los fondos del FMSIDA, la cobertura de tratamiento antirretroviral en Guatemala fue del 43%. Para el año 2013, la Secretaría de Planificación de la Presidencia de la República de Guatemala (en adelante “Segeplan”) señaló que aproximadamente el 50% de la población (adultos y niños) estimada con VIH recibió tratamiento </w:t>
      </w:r>
      <w:r w:rsidR="00323792" w:rsidRPr="0060216C">
        <w:rPr>
          <w:i w:val="0"/>
        </w:rPr>
        <w:t>antirretroviral</w:t>
      </w:r>
      <w:r w:rsidRPr="0060216C">
        <w:rPr>
          <w:i w:val="0"/>
        </w:rPr>
        <w:t>. En ese sentido, el Ministerio de Salud ha resaltado la necesidad de reposicionar políticamente el objetivo de acceso universal y cubrir a un porcentaje mayor</w:t>
      </w:r>
      <w:r w:rsidR="00323792">
        <w:rPr>
          <w:i w:val="0"/>
        </w:rPr>
        <w:t xml:space="preserve"> de las personas que necesitan tratamiento antirretroviral en Guatemala</w:t>
      </w:r>
      <w:r w:rsidRPr="0060216C">
        <w:rPr>
          <w:rStyle w:val="Refdenotaalpie"/>
          <w:i w:val="0"/>
        </w:rPr>
        <w:footnoteReference w:id="40"/>
      </w:r>
      <w:r w:rsidR="00654EE9">
        <w:rPr>
          <w:i w:val="0"/>
        </w:rPr>
        <w:t>.</w:t>
      </w:r>
    </w:p>
    <w:p w14:paraId="7D9ACA1C" w14:textId="77777777" w:rsidR="00F8006A" w:rsidRPr="00654EE9" w:rsidRDefault="00F8006A" w:rsidP="00F8006A">
      <w:pPr>
        <w:pStyle w:val="Estilo1"/>
        <w:tabs>
          <w:tab w:val="left" w:pos="709"/>
          <w:tab w:val="left" w:pos="1134"/>
        </w:tabs>
        <w:spacing w:after="0"/>
        <w:ind w:left="0" w:right="-4" w:firstLine="0"/>
        <w:rPr>
          <w:i w:val="0"/>
        </w:rPr>
      </w:pPr>
    </w:p>
    <w:p w14:paraId="12F56D16" w14:textId="0EE428CE" w:rsidR="00F8006A" w:rsidRPr="00CE7943" w:rsidRDefault="00654EE9" w:rsidP="00F8006A">
      <w:pPr>
        <w:pStyle w:val="Ttulo2"/>
        <w:spacing w:before="0" w:after="0"/>
      </w:pPr>
      <w:bookmarkStart w:id="70" w:name="_Toc527466481"/>
      <w:r w:rsidRPr="00CE7943">
        <w:t>L</w:t>
      </w:r>
      <w:r w:rsidR="00F46845" w:rsidRPr="00CE7943">
        <w:t>as presuntas víctimas y sus familiares</w:t>
      </w:r>
      <w:bookmarkEnd w:id="70"/>
    </w:p>
    <w:p w14:paraId="07E65A0B" w14:textId="77777777" w:rsidR="00F8006A" w:rsidRPr="00F8006A" w:rsidRDefault="00F8006A" w:rsidP="00F8006A">
      <w:pPr>
        <w:rPr>
          <w:lang w:val="es-CR"/>
        </w:rPr>
      </w:pPr>
    </w:p>
    <w:p w14:paraId="246ECFF0" w14:textId="2963F794" w:rsidR="005429E2" w:rsidRPr="00F8006A" w:rsidRDefault="00920D0A" w:rsidP="00F8006A">
      <w:pPr>
        <w:pStyle w:val="Estilo1"/>
        <w:numPr>
          <w:ilvl w:val="0"/>
          <w:numId w:val="3"/>
        </w:numPr>
        <w:tabs>
          <w:tab w:val="left" w:pos="709"/>
          <w:tab w:val="left" w:pos="1134"/>
        </w:tabs>
        <w:spacing w:after="0"/>
        <w:ind w:left="0" w:right="-4" w:firstLine="0"/>
        <w:rPr>
          <w:i w:val="0"/>
        </w:rPr>
      </w:pPr>
      <w:r>
        <w:rPr>
          <w:i w:val="0"/>
        </w:rPr>
        <w:t>La Corte recuerda que el presente caso se refiere a 49 p</w:t>
      </w:r>
      <w:r w:rsidR="00542B1E">
        <w:rPr>
          <w:i w:val="0"/>
        </w:rPr>
        <w:t>resuntas víctimas</w:t>
      </w:r>
      <w:r w:rsidR="00CE7943">
        <w:rPr>
          <w:i w:val="0"/>
        </w:rPr>
        <w:t xml:space="preserve"> que viven</w:t>
      </w:r>
      <w:r>
        <w:rPr>
          <w:i w:val="0"/>
        </w:rPr>
        <w:t xml:space="preserve"> con</w:t>
      </w:r>
      <w:r w:rsidR="00CE7943">
        <w:rPr>
          <w:i w:val="0"/>
        </w:rPr>
        <w:t xml:space="preserve"> el</w:t>
      </w:r>
      <w:r>
        <w:rPr>
          <w:i w:val="0"/>
        </w:rPr>
        <w:t xml:space="preserve"> VIH en Guatemala y sus familiares, las cuales están divididas en tres grupos</w:t>
      </w:r>
      <w:r>
        <w:rPr>
          <w:rStyle w:val="Refdenotaalpie"/>
          <w:i w:val="0"/>
        </w:rPr>
        <w:footnoteReference w:id="41"/>
      </w:r>
      <w:r w:rsidR="009C7AE7">
        <w:rPr>
          <w:i w:val="0"/>
        </w:rPr>
        <w:t>: aquellas que ya fallecieron, aquellas que siguen con vida y sus familiares</w:t>
      </w:r>
      <w:r>
        <w:rPr>
          <w:i w:val="0"/>
        </w:rPr>
        <w:t xml:space="preserve">. </w:t>
      </w:r>
      <w:r w:rsidRPr="00CE2036">
        <w:rPr>
          <w:i w:val="0"/>
        </w:rPr>
        <w:t xml:space="preserve">Debido a la importancia que tiene la evaluación de las circunstancias específicas de cada una de las 49 presuntas víctimas para el análisis del tratamiento médico otorgado por el Estado con posterioridad al año 2004, el Anexo </w:t>
      </w:r>
      <w:r w:rsidR="00115171">
        <w:rPr>
          <w:i w:val="0"/>
        </w:rPr>
        <w:t>3</w:t>
      </w:r>
      <w:r w:rsidRPr="00CE2036">
        <w:rPr>
          <w:i w:val="0"/>
        </w:rPr>
        <w:t xml:space="preserve"> de la presente Sentencia contiene una relación de los hechos probados respecto a cada una de ellas y de sus familiares. </w:t>
      </w:r>
      <w:r w:rsidRPr="00812C97">
        <w:rPr>
          <w:i w:val="0"/>
        </w:rPr>
        <w:t xml:space="preserve">Al respecto, el Tribunal advierte que </w:t>
      </w:r>
      <w:r w:rsidRPr="00812C97">
        <w:rPr>
          <w:i w:val="0"/>
          <w:lang w:val="es-MX"/>
        </w:rPr>
        <w:t>debido al número de presuntas víctimas, el paso del tiempo desde que fueron diagnosticadas con VIH, lo remoto de la residencia de algunas de ellas, a su condición socioeconómica, a la falta de historias clínicas de todas ellas, y a que el Estado no controvirtió los hechos presentados por la Comisión y por los representantes, el Tribunal consideró pertinente otorgar un mayor peso probatorio a los testimonios de las presuntas víctimas y a la información sometida por los doctores que les han acompañado a lo largo de su enfermedad y del trámite ante la Comisión y la Corte.</w:t>
      </w:r>
      <w:r w:rsidR="009C7AE7">
        <w:rPr>
          <w:i w:val="0"/>
          <w:lang w:val="es-MX"/>
        </w:rPr>
        <w:t xml:space="preserve"> De esta forma, la Corte ha tenido por aceptados los hechos que no fueron expresamente negados por el Estado, mientras lo contrario no ha aparecido en el expediente, y de ser así, ha expuesto el relato de los hechos que es consistente con la prueba que fue aportada por la Comisión, los representantes y el Estado, haciendo la citación correspondiente</w:t>
      </w:r>
      <w:r w:rsidR="00CE13AA">
        <w:rPr>
          <w:rStyle w:val="Refdenotaalpie"/>
          <w:i w:val="0"/>
          <w:lang w:val="es-MX"/>
        </w:rPr>
        <w:footnoteReference w:id="42"/>
      </w:r>
      <w:r w:rsidR="009C7AE7">
        <w:rPr>
          <w:i w:val="0"/>
          <w:lang w:val="es-MX"/>
        </w:rPr>
        <w:t>.</w:t>
      </w:r>
    </w:p>
    <w:p w14:paraId="49E676E6" w14:textId="77777777" w:rsidR="00F8006A" w:rsidRPr="0031283B" w:rsidRDefault="00F8006A" w:rsidP="00F8006A">
      <w:pPr>
        <w:pStyle w:val="Estilo1"/>
        <w:tabs>
          <w:tab w:val="left" w:pos="709"/>
          <w:tab w:val="left" w:pos="1134"/>
        </w:tabs>
        <w:spacing w:after="0"/>
        <w:ind w:left="0" w:right="-4" w:firstLine="0"/>
        <w:rPr>
          <w:i w:val="0"/>
        </w:rPr>
      </w:pPr>
    </w:p>
    <w:p w14:paraId="372CA9A8" w14:textId="1215D514" w:rsidR="00782BBF" w:rsidRDefault="00F46845" w:rsidP="00F8006A">
      <w:pPr>
        <w:pStyle w:val="Ttulo2"/>
        <w:spacing w:before="0" w:after="0"/>
      </w:pPr>
      <w:bookmarkStart w:id="71" w:name="_Toc527466482"/>
      <w:r w:rsidRPr="00FA726C">
        <w:rPr>
          <w:lang w:val="es-CO"/>
        </w:rPr>
        <w:t xml:space="preserve">Recursos y acciones </w:t>
      </w:r>
      <w:r w:rsidRPr="00FA726C">
        <w:t>interpuestas por las presuntas víctimas</w:t>
      </w:r>
      <w:bookmarkEnd w:id="71"/>
    </w:p>
    <w:p w14:paraId="0E9CDAA9" w14:textId="77777777" w:rsidR="00F8006A" w:rsidRPr="00F8006A" w:rsidRDefault="00F8006A" w:rsidP="00F8006A">
      <w:pPr>
        <w:rPr>
          <w:lang w:val="es-CR"/>
        </w:rPr>
      </w:pPr>
    </w:p>
    <w:p w14:paraId="12A90668" w14:textId="4B35ECF0" w:rsidR="00F46845" w:rsidRDefault="00EE1E0E" w:rsidP="00F8006A">
      <w:pPr>
        <w:pStyle w:val="Ttulo3"/>
        <w:spacing w:before="0"/>
      </w:pPr>
      <w:r>
        <w:tab/>
      </w:r>
      <w:bookmarkStart w:id="72" w:name="_Toc527466483"/>
      <w:r w:rsidR="00782BBF" w:rsidRPr="00EE1E0E">
        <w:t xml:space="preserve">C.1. </w:t>
      </w:r>
      <w:r w:rsidR="00F46845" w:rsidRPr="00EE1E0E">
        <w:t>Cartas dirigidas al Presidente y otras autoridades</w:t>
      </w:r>
      <w:bookmarkEnd w:id="72"/>
    </w:p>
    <w:p w14:paraId="5F55591C" w14:textId="77777777" w:rsidR="00F8006A" w:rsidRPr="00F8006A" w:rsidRDefault="00F8006A" w:rsidP="00F8006A">
      <w:pPr>
        <w:rPr>
          <w:lang w:val="es-CR"/>
        </w:rPr>
      </w:pPr>
    </w:p>
    <w:p w14:paraId="67F3F0B8" w14:textId="68406899" w:rsidR="00383D9A" w:rsidRPr="00F8006A" w:rsidRDefault="00383D9A" w:rsidP="00F8006A">
      <w:pPr>
        <w:pStyle w:val="Estilo1"/>
        <w:numPr>
          <w:ilvl w:val="0"/>
          <w:numId w:val="3"/>
        </w:numPr>
        <w:tabs>
          <w:tab w:val="left" w:pos="709"/>
          <w:tab w:val="left" w:pos="1134"/>
        </w:tabs>
        <w:spacing w:after="0"/>
        <w:ind w:left="0" w:right="-4" w:firstLine="0"/>
        <w:rPr>
          <w:b/>
          <w:i w:val="0"/>
          <w:szCs w:val="20"/>
        </w:rPr>
      </w:pPr>
      <w:r w:rsidRPr="00383D9A">
        <w:rPr>
          <w:i w:val="0"/>
          <w:szCs w:val="20"/>
        </w:rPr>
        <w:t>El 23 de noviembre de 2001</w:t>
      </w:r>
      <w:r w:rsidR="00D8522A">
        <w:rPr>
          <w:i w:val="0"/>
          <w:szCs w:val="20"/>
        </w:rPr>
        <w:t>,</w:t>
      </w:r>
      <w:r w:rsidRPr="00383D9A">
        <w:rPr>
          <w:i w:val="0"/>
          <w:szCs w:val="20"/>
        </w:rPr>
        <w:t xml:space="preserve"> la Asociación Coordinadora de Sectores de Lucha contra el </w:t>
      </w:r>
      <w:r w:rsidR="00D8522A">
        <w:rPr>
          <w:i w:val="0"/>
          <w:szCs w:val="20"/>
        </w:rPr>
        <w:t>SIDA</w:t>
      </w:r>
      <w:r w:rsidRPr="00383D9A">
        <w:rPr>
          <w:i w:val="0"/>
          <w:szCs w:val="20"/>
        </w:rPr>
        <w:t xml:space="preserve"> (en adelante también “ACSLCS”) envió una carta al Ministro de Salud a fin de solicitarle una entrevista para discutir sobre: i) el Reglamento de la Ley de VIH/</w:t>
      </w:r>
      <w:r w:rsidR="00D8522A">
        <w:rPr>
          <w:i w:val="0"/>
          <w:szCs w:val="20"/>
        </w:rPr>
        <w:t>SIDA</w:t>
      </w:r>
      <w:r w:rsidRPr="00383D9A">
        <w:rPr>
          <w:i w:val="0"/>
          <w:szCs w:val="20"/>
        </w:rPr>
        <w:t>; ii) la unidad de atención integral de VIH/SIDA; y iii) la situación de tratamiento antirretroviral a corto, mediano y largo plazo</w:t>
      </w:r>
      <w:r w:rsidRPr="00383D9A">
        <w:rPr>
          <w:rStyle w:val="Refdenotaalpie"/>
          <w:i w:val="0"/>
          <w:iCs/>
          <w:lang w:val="es-ES"/>
        </w:rPr>
        <w:footnoteReference w:id="43"/>
      </w:r>
      <w:r w:rsidRPr="00383D9A">
        <w:rPr>
          <w:rFonts w:cs="Times New Roman"/>
          <w:i w:val="0"/>
          <w:szCs w:val="20"/>
          <w:lang w:val="es-ES"/>
        </w:rPr>
        <w:t>.</w:t>
      </w:r>
      <w:r w:rsidRPr="00383D9A">
        <w:rPr>
          <w:i w:val="0"/>
          <w:szCs w:val="20"/>
          <w:lang w:val="es-ES"/>
        </w:rPr>
        <w:t xml:space="preserve"> El 27 de mayo de 2002, la </w:t>
      </w:r>
      <w:r w:rsidRPr="00383D9A">
        <w:rPr>
          <w:i w:val="0"/>
          <w:szCs w:val="20"/>
        </w:rPr>
        <w:t>ACSLCS,</w:t>
      </w:r>
      <w:r w:rsidRPr="00383D9A">
        <w:rPr>
          <w:i w:val="0"/>
          <w:szCs w:val="20"/>
          <w:lang w:val="es-ES"/>
        </w:rPr>
        <w:t xml:space="preserve"> y otras organizaciones que representan a las personas que viven con VIH/SIDA en Guatemala, enviaron una carta al entonces Presidente de la República</w:t>
      </w:r>
      <w:r w:rsidRPr="00383D9A">
        <w:rPr>
          <w:rStyle w:val="Refdenotaalpie"/>
          <w:i w:val="0"/>
          <w:iCs/>
          <w:lang w:val="es-ES"/>
        </w:rPr>
        <w:footnoteReference w:id="44"/>
      </w:r>
      <w:r w:rsidRPr="00D8522A">
        <w:rPr>
          <w:rFonts w:cs="Times New Roman"/>
          <w:bCs/>
          <w:i w:val="0"/>
          <w:iCs/>
          <w:szCs w:val="20"/>
          <w:lang w:val="es-ES"/>
        </w:rPr>
        <w:t>.</w:t>
      </w:r>
      <w:r w:rsidRPr="00383D9A">
        <w:rPr>
          <w:i w:val="0"/>
          <w:szCs w:val="20"/>
          <w:lang w:val="es-ES"/>
        </w:rPr>
        <w:t xml:space="preserve"> En esa carta indicaron que el Estado sólo da tratamiento antirretroviral, con medicamento de marca, a 27 personas, cuando de utilizar medicamentos genéricos se podrían atender a 300 personas, lo cual vulnera el artículo 4 de </w:t>
      </w:r>
      <w:r w:rsidRPr="00383D9A">
        <w:rPr>
          <w:i w:val="0"/>
          <w:szCs w:val="20"/>
          <w:lang w:val="es-ES"/>
        </w:rPr>
        <w:lastRenderedPageBreak/>
        <w:t>la Constitución</w:t>
      </w:r>
      <w:r w:rsidRPr="00B42319">
        <w:rPr>
          <w:rFonts w:cs="Times New Roman"/>
          <w:bCs/>
          <w:i w:val="0"/>
          <w:iCs/>
          <w:szCs w:val="20"/>
          <w:lang w:val="es-ES"/>
        </w:rPr>
        <w:t>.</w:t>
      </w:r>
      <w:r w:rsidRPr="00383D9A">
        <w:rPr>
          <w:i w:val="0"/>
          <w:szCs w:val="20"/>
          <w:lang w:val="es-ES"/>
        </w:rPr>
        <w:t xml:space="preserve"> El 10 de junio de 2002, el Procurador de los Derechos Humanos (en adelante también “el Procurador”) envió una comunicación al entonces Presidente de la República en la que expuso su apoyo incondicional a la carta de 27 de mayo de 2002. Indicó que las personas que reciben tratamiento antirretroviral por parte de un organismo internacional es por sólo tres años, y para un número limitado de personas. También sostuvo que, según estimaciones, cuatro mil personas necesitan dicho tratamiento</w:t>
      </w:r>
      <w:r w:rsidRPr="00297365">
        <w:rPr>
          <w:i w:val="0"/>
          <w:szCs w:val="20"/>
          <w:lang w:val="es-ES"/>
        </w:rPr>
        <w:t>.</w:t>
      </w:r>
      <w:r w:rsidRPr="00383D9A">
        <w:rPr>
          <w:rStyle w:val="Refdenotaalpie"/>
          <w:i w:val="0"/>
          <w:lang w:val="es-ES"/>
        </w:rPr>
        <w:footnoteReference w:id="45"/>
      </w:r>
      <w:r w:rsidRPr="00383D9A">
        <w:rPr>
          <w:i w:val="0"/>
          <w:szCs w:val="20"/>
          <w:lang w:val="es-ES"/>
        </w:rPr>
        <w:t xml:space="preserve"> Ninguna de las dos cartas tuvieron respuesta</w:t>
      </w:r>
      <w:r w:rsidRPr="00383D9A">
        <w:rPr>
          <w:rStyle w:val="Refdenotaalpie"/>
          <w:i w:val="0"/>
          <w:lang w:val="es-ES"/>
        </w:rPr>
        <w:footnoteReference w:id="46"/>
      </w:r>
      <w:r w:rsidRPr="00383D9A">
        <w:rPr>
          <w:i w:val="0"/>
          <w:szCs w:val="20"/>
          <w:lang w:val="es-ES"/>
        </w:rPr>
        <w:t>.</w:t>
      </w:r>
    </w:p>
    <w:p w14:paraId="283D2819" w14:textId="77777777" w:rsidR="00F8006A" w:rsidRPr="00383D9A" w:rsidRDefault="00F8006A" w:rsidP="00F8006A">
      <w:pPr>
        <w:pStyle w:val="Estilo1"/>
        <w:tabs>
          <w:tab w:val="left" w:pos="709"/>
          <w:tab w:val="left" w:pos="1134"/>
        </w:tabs>
        <w:spacing w:after="0"/>
        <w:ind w:left="0" w:right="-4" w:firstLine="0"/>
        <w:rPr>
          <w:b/>
          <w:i w:val="0"/>
          <w:szCs w:val="20"/>
        </w:rPr>
      </w:pPr>
    </w:p>
    <w:p w14:paraId="1466A155" w14:textId="229A4EA4" w:rsidR="00383D9A" w:rsidRDefault="00EE1E0E" w:rsidP="00F8006A">
      <w:pPr>
        <w:pStyle w:val="Ttulo3"/>
        <w:spacing w:before="0"/>
      </w:pPr>
      <w:r>
        <w:tab/>
      </w:r>
      <w:bookmarkStart w:id="73" w:name="_Toc527466484"/>
      <w:r w:rsidR="00D8522A" w:rsidRPr="00EE1E0E">
        <w:t>C.</w:t>
      </w:r>
      <w:r w:rsidR="00383D9A" w:rsidRPr="00EE1E0E">
        <w:t xml:space="preserve">2. Recurso de amparo ante </w:t>
      </w:r>
      <w:r w:rsidR="00542B1E">
        <w:t>la Corte de Constitucionalidad</w:t>
      </w:r>
      <w:bookmarkEnd w:id="73"/>
    </w:p>
    <w:p w14:paraId="4F2E911E" w14:textId="77777777" w:rsidR="00F8006A" w:rsidRPr="00F8006A" w:rsidRDefault="00F8006A" w:rsidP="00F8006A">
      <w:pPr>
        <w:rPr>
          <w:lang w:val="es-CR"/>
        </w:rPr>
      </w:pPr>
    </w:p>
    <w:p w14:paraId="4047EF3A" w14:textId="78C0128A" w:rsidR="00383D9A" w:rsidRPr="00383D9A" w:rsidRDefault="00383D9A" w:rsidP="00F8006A">
      <w:pPr>
        <w:pStyle w:val="Estilo1"/>
        <w:numPr>
          <w:ilvl w:val="0"/>
          <w:numId w:val="3"/>
        </w:numPr>
        <w:tabs>
          <w:tab w:val="left" w:pos="709"/>
          <w:tab w:val="left" w:pos="1134"/>
        </w:tabs>
        <w:spacing w:after="0"/>
        <w:ind w:left="0" w:right="-4" w:firstLine="0"/>
        <w:rPr>
          <w:i w:val="0"/>
          <w:szCs w:val="20"/>
          <w:lang w:val="es-ES"/>
        </w:rPr>
      </w:pPr>
      <w:r w:rsidRPr="00383D9A">
        <w:rPr>
          <w:i w:val="0"/>
          <w:szCs w:val="20"/>
          <w:lang w:val="es-ES"/>
        </w:rPr>
        <w:t>Debido a</w:t>
      </w:r>
      <w:r w:rsidR="002E4EAC">
        <w:rPr>
          <w:i w:val="0"/>
          <w:szCs w:val="20"/>
          <w:lang w:val="es-ES"/>
        </w:rPr>
        <w:t xml:space="preserve"> la</w:t>
      </w:r>
      <w:r w:rsidRPr="00383D9A">
        <w:rPr>
          <w:i w:val="0"/>
          <w:szCs w:val="20"/>
          <w:lang w:val="es-ES"/>
        </w:rPr>
        <w:t xml:space="preserve"> falta de respuesta por parte del Presidente y del Ministerio de Salud a las cartas antes referidas, el 26 de julio de 2002 veintidós personas, incluyendo a trece de las presuntas víctimas</w:t>
      </w:r>
      <w:r w:rsidRPr="00383D9A">
        <w:rPr>
          <w:rStyle w:val="Refdenotaalpie"/>
          <w:i w:val="0"/>
          <w:lang w:val="es-ES"/>
        </w:rPr>
        <w:footnoteReference w:id="47"/>
      </w:r>
      <w:r w:rsidRPr="00383D9A">
        <w:rPr>
          <w:rFonts w:cs="Times New Roman"/>
          <w:bCs/>
          <w:i w:val="0"/>
          <w:iCs/>
          <w:szCs w:val="20"/>
          <w:lang w:val="es-ES"/>
        </w:rPr>
        <w:t>,</w:t>
      </w:r>
      <w:r w:rsidRPr="00383D9A">
        <w:rPr>
          <w:i w:val="0"/>
          <w:szCs w:val="20"/>
          <w:lang w:val="es-ES"/>
        </w:rPr>
        <w:t xml:space="preserve"> y organizaciones de la sociedad civil, presentaron un recurso ante la Corte de Constitucionalidad</w:t>
      </w:r>
      <w:r w:rsidRPr="00383D9A">
        <w:rPr>
          <w:rFonts w:cs="Times New Roman"/>
          <w:bCs/>
          <w:i w:val="0"/>
          <w:iCs/>
          <w:szCs w:val="20"/>
          <w:lang w:val="es-ES"/>
        </w:rPr>
        <w:t>. Mediante ese recurso reclamaron lo siguiente:</w:t>
      </w:r>
    </w:p>
    <w:p w14:paraId="6DEDC9A7" w14:textId="77777777" w:rsidR="00D8522A" w:rsidRDefault="00D8522A" w:rsidP="003C2AC6">
      <w:pPr>
        <w:pStyle w:val="PrrafodeSentencia"/>
      </w:pPr>
    </w:p>
    <w:p w14:paraId="22B16A80" w14:textId="53318CF2" w:rsidR="00383D9A" w:rsidRDefault="00383D9A" w:rsidP="00F8006A">
      <w:pPr>
        <w:ind w:left="720" w:right="855"/>
        <w:rPr>
          <w:rFonts w:eastAsia="Verdana" w:cs="Cambria"/>
          <w:color w:val="000000"/>
          <w:sz w:val="18"/>
          <w:szCs w:val="18"/>
        </w:rPr>
      </w:pPr>
      <w:r w:rsidRPr="00D8522A">
        <w:rPr>
          <w:sz w:val="18"/>
          <w:szCs w:val="18"/>
        </w:rPr>
        <w:t>la conducta negativa y omisa del Presidente a la carta fechada de veintisiete de mayo del año en curso, en donde clara y contundentemente se le pedía su inmediata intervención para cumplimiento del deber constitucional del Estado de Guatemala, abstención a lo ordenado en la carta magna que equivale al incumplimiento a un mandato constitucional propiamente dicho, hace que el acto reclamado además de legitimo debe conllevar el obligar a la autoridad responsable a que actúe respetando la garantía constitucional omitida a través de la concesión del amparo provisional y luego de agotadas las instancias respectivas el amparo definitivo</w:t>
      </w:r>
      <w:r w:rsidRPr="00D8522A">
        <w:rPr>
          <w:rStyle w:val="Refdenotaalpie"/>
          <w:sz w:val="18"/>
          <w:szCs w:val="18"/>
        </w:rPr>
        <w:footnoteReference w:id="48"/>
      </w:r>
      <w:r w:rsidRPr="00D8522A">
        <w:rPr>
          <w:rFonts w:eastAsia="Verdana" w:cs="Cambria"/>
          <w:color w:val="000000"/>
          <w:sz w:val="18"/>
          <w:szCs w:val="18"/>
        </w:rPr>
        <w:t>.</w:t>
      </w:r>
    </w:p>
    <w:p w14:paraId="1FB20780" w14:textId="77777777" w:rsidR="00F8006A" w:rsidRPr="00D8522A" w:rsidRDefault="00F8006A" w:rsidP="00F8006A">
      <w:pPr>
        <w:ind w:right="855"/>
        <w:rPr>
          <w:rFonts w:cs="Times New Roman"/>
          <w:noProof w:val="0"/>
          <w:sz w:val="18"/>
          <w:szCs w:val="18"/>
          <w:lang w:val="es-ES"/>
        </w:rPr>
      </w:pPr>
    </w:p>
    <w:p w14:paraId="53EF6617" w14:textId="16C2E204" w:rsidR="00383D9A" w:rsidRDefault="00383D9A" w:rsidP="00F8006A">
      <w:pPr>
        <w:pStyle w:val="Estilo1"/>
        <w:numPr>
          <w:ilvl w:val="0"/>
          <w:numId w:val="3"/>
        </w:numPr>
        <w:tabs>
          <w:tab w:val="left" w:pos="709"/>
          <w:tab w:val="left" w:pos="1134"/>
        </w:tabs>
        <w:spacing w:after="0"/>
        <w:ind w:left="0" w:right="-4" w:firstLine="0"/>
        <w:rPr>
          <w:i w:val="0"/>
          <w:szCs w:val="20"/>
          <w:lang w:val="es-ES"/>
        </w:rPr>
      </w:pPr>
      <w:r w:rsidRPr="00383D9A">
        <w:rPr>
          <w:i w:val="0"/>
          <w:szCs w:val="20"/>
          <w:lang w:val="es-ES"/>
        </w:rPr>
        <w:t xml:space="preserve">Los accionantes argumentaron que con dicha negativa u omisión por parte del Presidente se vulneró el derecho a la protección de la persona, el derecho a la vida, el derecho de petición, los derechos inherentes a la persona humana, y el derecho a la salud. Asimismo, alegaron que las violaciones a dichos derechos devienen de que el Estado no les prestaba ningún tipo de asistencia social que contrarreste la gravedad de su condición como personas </w:t>
      </w:r>
      <w:r w:rsidR="00CE7943">
        <w:rPr>
          <w:i w:val="0"/>
          <w:szCs w:val="20"/>
          <w:lang w:val="es-ES"/>
        </w:rPr>
        <w:t xml:space="preserve">que viven </w:t>
      </w:r>
      <w:r w:rsidRPr="00383D9A">
        <w:rPr>
          <w:i w:val="0"/>
          <w:szCs w:val="20"/>
          <w:lang w:val="es-ES"/>
        </w:rPr>
        <w:t>con</w:t>
      </w:r>
      <w:r w:rsidR="00CE7943">
        <w:rPr>
          <w:i w:val="0"/>
          <w:szCs w:val="20"/>
          <w:lang w:val="es-ES"/>
        </w:rPr>
        <w:t xml:space="preserve"> el</w:t>
      </w:r>
      <w:r w:rsidRPr="00383D9A">
        <w:rPr>
          <w:i w:val="0"/>
          <w:szCs w:val="20"/>
          <w:lang w:val="es-ES"/>
        </w:rPr>
        <w:t xml:space="preserve"> VIH/SIDA</w:t>
      </w:r>
      <w:r w:rsidRPr="00383D9A">
        <w:rPr>
          <w:rFonts w:cs="Times New Roman"/>
          <w:bCs/>
          <w:i w:val="0"/>
          <w:iCs/>
          <w:szCs w:val="20"/>
          <w:lang w:val="es-ES"/>
        </w:rPr>
        <w:t>; que</w:t>
      </w:r>
      <w:r w:rsidRPr="00383D9A">
        <w:rPr>
          <w:rFonts w:cs="Times New Roman"/>
          <w:b/>
          <w:bCs/>
          <w:i w:val="0"/>
          <w:iCs/>
          <w:szCs w:val="20"/>
          <w:lang w:val="es-ES"/>
        </w:rPr>
        <w:t xml:space="preserve"> </w:t>
      </w:r>
      <w:r w:rsidRPr="00383D9A">
        <w:rPr>
          <w:i w:val="0"/>
          <w:szCs w:val="20"/>
          <w:lang w:val="es-ES"/>
        </w:rPr>
        <w:t>en Guatemala existen por lo menos 4,000 personas diagnosticadas con SIDA que necesitan urgentemente tratamiento, lo cual permitiría no sólo la supervivencia de las personas, sino también un beneficio en su calidad de vida; que desde el año 1996 se dispone de la denominada “terapia antirretroviral de gran actividad (</w:t>
      </w:r>
      <w:proofErr w:type="spellStart"/>
      <w:r w:rsidRPr="00383D9A">
        <w:rPr>
          <w:i w:val="0"/>
          <w:szCs w:val="20"/>
          <w:lang w:val="es-ES"/>
        </w:rPr>
        <w:t>Targa</w:t>
      </w:r>
      <w:proofErr w:type="spellEnd"/>
      <w:r w:rsidRPr="00383D9A">
        <w:rPr>
          <w:i w:val="0"/>
          <w:szCs w:val="20"/>
          <w:lang w:val="es-ES"/>
        </w:rPr>
        <w:t>), la cual consiste en la combinación de al menos tres drogas antirretrovirales, las cuales deben ser tomadas durante toda la vida de las personas con VIH/SIDA”; y, que el uso de antir</w:t>
      </w:r>
      <w:r w:rsidR="00461BB6">
        <w:rPr>
          <w:i w:val="0"/>
          <w:szCs w:val="20"/>
          <w:lang w:val="es-ES"/>
        </w:rPr>
        <w:t>r</w:t>
      </w:r>
      <w:r w:rsidRPr="00383D9A">
        <w:rPr>
          <w:i w:val="0"/>
          <w:szCs w:val="20"/>
          <w:lang w:val="es-ES"/>
        </w:rPr>
        <w:t>etrovirales genéricos podría multiplicar la cobertura del tratamiento médico de personas</w:t>
      </w:r>
      <w:r w:rsidR="00CE7943">
        <w:rPr>
          <w:i w:val="0"/>
          <w:szCs w:val="20"/>
          <w:lang w:val="es-ES"/>
        </w:rPr>
        <w:t xml:space="preserve"> que viven</w:t>
      </w:r>
      <w:r w:rsidRPr="00383D9A">
        <w:rPr>
          <w:i w:val="0"/>
          <w:szCs w:val="20"/>
          <w:lang w:val="es-ES"/>
        </w:rPr>
        <w:t xml:space="preserve"> con</w:t>
      </w:r>
      <w:r w:rsidR="00CE7943">
        <w:rPr>
          <w:i w:val="0"/>
          <w:szCs w:val="20"/>
          <w:lang w:val="es-ES"/>
        </w:rPr>
        <w:t xml:space="preserve"> el</w:t>
      </w:r>
      <w:r w:rsidRPr="00383D9A">
        <w:rPr>
          <w:i w:val="0"/>
          <w:szCs w:val="20"/>
          <w:lang w:val="es-ES"/>
        </w:rPr>
        <w:t xml:space="preserve"> VIH/SIDA en Guatemala</w:t>
      </w:r>
      <w:r w:rsidRPr="00383D9A">
        <w:rPr>
          <w:rStyle w:val="Refdenotaalpie"/>
          <w:i w:val="0"/>
          <w:iCs/>
          <w:lang w:val="es-ES"/>
        </w:rPr>
        <w:footnoteReference w:id="49"/>
      </w:r>
      <w:r w:rsidRPr="00383D9A">
        <w:rPr>
          <w:i w:val="0"/>
          <w:szCs w:val="20"/>
          <w:lang w:val="es-ES"/>
        </w:rPr>
        <w:t>.</w:t>
      </w:r>
    </w:p>
    <w:p w14:paraId="6355AA44" w14:textId="77777777" w:rsidR="00F8006A" w:rsidRDefault="00F8006A" w:rsidP="00F8006A">
      <w:pPr>
        <w:pStyle w:val="Estilo1"/>
        <w:tabs>
          <w:tab w:val="left" w:pos="709"/>
          <w:tab w:val="left" w:pos="1134"/>
        </w:tabs>
        <w:spacing w:after="0"/>
        <w:ind w:left="0" w:right="-4" w:firstLine="0"/>
        <w:rPr>
          <w:i w:val="0"/>
          <w:szCs w:val="20"/>
          <w:lang w:val="es-ES"/>
        </w:rPr>
      </w:pPr>
    </w:p>
    <w:p w14:paraId="5EAA1A23" w14:textId="2D84C465" w:rsidR="00383D9A" w:rsidRPr="00F8006A" w:rsidRDefault="00383D9A" w:rsidP="00F8006A">
      <w:pPr>
        <w:pStyle w:val="Estilo1"/>
        <w:numPr>
          <w:ilvl w:val="0"/>
          <w:numId w:val="3"/>
        </w:numPr>
        <w:tabs>
          <w:tab w:val="left" w:pos="709"/>
          <w:tab w:val="left" w:pos="1134"/>
        </w:tabs>
        <w:spacing w:after="0"/>
        <w:ind w:left="0" w:right="-4" w:firstLine="0"/>
        <w:rPr>
          <w:i w:val="0"/>
          <w:szCs w:val="20"/>
          <w:lang w:val="es-ES"/>
        </w:rPr>
      </w:pPr>
      <w:r w:rsidRPr="00383D9A">
        <w:rPr>
          <w:i w:val="0"/>
          <w:szCs w:val="20"/>
          <w:lang w:val="es-ES"/>
        </w:rPr>
        <w:t xml:space="preserve">En consecuencia, solicitaron a la Corte de Constitucionalidad que resolviera </w:t>
      </w:r>
      <w:r w:rsidRPr="00383D9A">
        <w:rPr>
          <w:i w:val="0"/>
          <w:szCs w:val="20"/>
        </w:rPr>
        <w:t xml:space="preserve">con toda prontitud la acción de amparo, que declarara que el Estado tenía la obligación de garantizar </w:t>
      </w:r>
      <w:r w:rsidRPr="00383D9A">
        <w:rPr>
          <w:i w:val="0"/>
          <w:szCs w:val="20"/>
        </w:rPr>
        <w:lastRenderedPageBreak/>
        <w:t xml:space="preserve">la vida de las presuntas víctimas </w:t>
      </w:r>
      <w:r w:rsidRPr="00383D9A">
        <w:rPr>
          <w:bCs/>
          <w:i w:val="0"/>
          <w:szCs w:val="20"/>
        </w:rPr>
        <w:t xml:space="preserve">a través de una política de compra, distribución indiscriminada, sistemática y diaria de </w:t>
      </w:r>
      <w:r w:rsidRPr="00383D9A">
        <w:rPr>
          <w:i w:val="0"/>
          <w:szCs w:val="20"/>
        </w:rPr>
        <w:t>los tratamientos antirretrovirales, preferentemente genéricos de calidad disponibles ya en el mercado,</w:t>
      </w:r>
      <w:r w:rsidRPr="00383D9A">
        <w:rPr>
          <w:b/>
          <w:i w:val="0"/>
          <w:szCs w:val="20"/>
        </w:rPr>
        <w:t xml:space="preserve"> </w:t>
      </w:r>
      <w:r w:rsidRPr="00383D9A">
        <w:rPr>
          <w:i w:val="0"/>
          <w:szCs w:val="20"/>
        </w:rPr>
        <w:t xml:space="preserve">y el restablecimiento de la situación jurídica de los </w:t>
      </w:r>
      <w:proofErr w:type="spellStart"/>
      <w:r w:rsidRPr="00383D9A">
        <w:rPr>
          <w:i w:val="0"/>
          <w:szCs w:val="20"/>
        </w:rPr>
        <w:t>interponentes</w:t>
      </w:r>
      <w:proofErr w:type="spellEnd"/>
      <w:r w:rsidRPr="00383D9A">
        <w:rPr>
          <w:i w:val="0"/>
          <w:szCs w:val="20"/>
        </w:rPr>
        <w:t>, ordenándose su inmediato acceso a la salud y a la vida por medio de la inmediata atención de políticas de emergencia</w:t>
      </w:r>
      <w:r w:rsidRPr="00383D9A">
        <w:rPr>
          <w:rStyle w:val="Refdenotaalpie"/>
          <w:i w:val="0"/>
        </w:rPr>
        <w:footnoteReference w:id="50"/>
      </w:r>
      <w:r w:rsidRPr="00383D9A">
        <w:rPr>
          <w:i w:val="0"/>
          <w:szCs w:val="20"/>
        </w:rPr>
        <w:t>.</w:t>
      </w:r>
      <w:r>
        <w:rPr>
          <w:b/>
          <w:i w:val="0"/>
          <w:szCs w:val="20"/>
        </w:rPr>
        <w:t xml:space="preserve"> </w:t>
      </w:r>
      <w:r w:rsidRPr="00383D9A">
        <w:rPr>
          <w:i w:val="0"/>
          <w:szCs w:val="20"/>
          <w:lang w:val="es-ES"/>
        </w:rPr>
        <w:t>En respuesta a la demanda, el 1 de agosto de 2002, el entonces Presidente de la República</w:t>
      </w:r>
      <w:r w:rsidR="007032C6">
        <w:rPr>
          <w:i w:val="0"/>
          <w:szCs w:val="20"/>
          <w:lang w:val="es-ES"/>
        </w:rPr>
        <w:t>,</w:t>
      </w:r>
      <w:r w:rsidRPr="00383D9A">
        <w:rPr>
          <w:i w:val="0"/>
          <w:szCs w:val="20"/>
          <w:lang w:val="es-ES"/>
        </w:rPr>
        <w:t xml:space="preserve"> presentó un escrito ante la Corte de Constitucionalidad. Indicó que en el caso “no se evidencia ninguna vinculación entre los recurrentes y el agravio denunciado (…) donde pareciera que se está invocando una causa popular, que de ninguna manera puede ser materia a discutirse en una acción de amparo” </w:t>
      </w:r>
      <w:r w:rsidRPr="00383D9A">
        <w:rPr>
          <w:rFonts w:cs="Times New Roman"/>
          <w:bCs/>
          <w:i w:val="0"/>
          <w:iCs/>
          <w:szCs w:val="20"/>
          <w:lang w:val="es-ES"/>
        </w:rPr>
        <w:t xml:space="preserve">y </w:t>
      </w:r>
      <w:r w:rsidRPr="00383D9A">
        <w:rPr>
          <w:rFonts w:eastAsia="Verdana" w:cs="Cambria"/>
          <w:i w:val="0"/>
          <w:color w:val="000000"/>
          <w:szCs w:val="20"/>
          <w:u w:color="000000"/>
          <w:lang w:eastAsia="x-none"/>
        </w:rPr>
        <w:t xml:space="preserve">solicitó que se declarara sin lugar la acción constitucional de amparo y se condenara al pago de costas judiciales a los </w:t>
      </w:r>
      <w:proofErr w:type="spellStart"/>
      <w:r w:rsidRPr="00383D9A">
        <w:rPr>
          <w:rFonts w:eastAsia="Verdana" w:cs="Cambria"/>
          <w:i w:val="0"/>
          <w:color w:val="000000"/>
          <w:szCs w:val="20"/>
          <w:u w:color="000000"/>
          <w:lang w:eastAsia="x-none"/>
        </w:rPr>
        <w:t>interponentes</w:t>
      </w:r>
      <w:proofErr w:type="spellEnd"/>
      <w:r w:rsidRPr="00383D9A">
        <w:rPr>
          <w:rStyle w:val="Refdenotaalpie"/>
          <w:i w:val="0"/>
          <w:iCs/>
          <w:lang w:val="es-ES"/>
        </w:rPr>
        <w:footnoteReference w:id="51"/>
      </w:r>
      <w:r w:rsidRPr="00383D9A">
        <w:rPr>
          <w:i w:val="0"/>
          <w:szCs w:val="20"/>
          <w:lang w:val="es-ES"/>
        </w:rPr>
        <w:t>.</w:t>
      </w:r>
    </w:p>
    <w:p w14:paraId="20536480" w14:textId="77777777" w:rsidR="00F8006A" w:rsidRDefault="00F8006A" w:rsidP="00F8006A">
      <w:pPr>
        <w:pStyle w:val="Estilo1"/>
        <w:tabs>
          <w:tab w:val="left" w:pos="709"/>
          <w:tab w:val="left" w:pos="1134"/>
        </w:tabs>
        <w:spacing w:after="0"/>
        <w:ind w:left="0" w:right="-4" w:firstLine="0"/>
        <w:rPr>
          <w:i w:val="0"/>
          <w:szCs w:val="20"/>
          <w:lang w:val="es-ES"/>
        </w:rPr>
      </w:pPr>
    </w:p>
    <w:p w14:paraId="7B0EC10D" w14:textId="0B0FC55A" w:rsidR="00383D9A" w:rsidRPr="00F8006A" w:rsidRDefault="00383D9A" w:rsidP="00F8006A">
      <w:pPr>
        <w:pStyle w:val="Estilo1"/>
        <w:numPr>
          <w:ilvl w:val="0"/>
          <w:numId w:val="3"/>
        </w:numPr>
        <w:tabs>
          <w:tab w:val="left" w:pos="709"/>
          <w:tab w:val="left" w:pos="1134"/>
        </w:tabs>
        <w:spacing w:after="0"/>
        <w:ind w:left="0" w:right="-4" w:firstLine="0"/>
        <w:rPr>
          <w:i w:val="0"/>
          <w:szCs w:val="20"/>
          <w:lang w:val="x-none"/>
        </w:rPr>
      </w:pPr>
      <w:r w:rsidRPr="00383D9A">
        <w:rPr>
          <w:i w:val="0"/>
          <w:szCs w:val="20"/>
          <w:lang w:val="es-ES"/>
        </w:rPr>
        <w:t xml:space="preserve">El 10 de octubre de 2002, la Dirección General de Regulación, Vigilancia y Control de la Salud (en adelante también “DGRVC”), envió una comunicación a la Corte de Constitucionalidad en donde informó que, el 20 de agosto de 2002, el Presidente de la República tuvo una reunión con el Ministro de Salud y la Presidenta de la </w:t>
      </w:r>
      <w:r w:rsidRPr="00383D9A">
        <w:rPr>
          <w:i w:val="0"/>
          <w:szCs w:val="20"/>
        </w:rPr>
        <w:t xml:space="preserve">ACSLCS, en la cual </w:t>
      </w:r>
      <w:r w:rsidRPr="00383D9A">
        <w:rPr>
          <w:i w:val="0"/>
          <w:szCs w:val="20"/>
          <w:lang w:val="es-ES"/>
        </w:rPr>
        <w:t>autorizó una partida extraordinaria de 500,000.00 quetzales “para llenar los requerimientos de las personas con VIH/SIDA”. La DGRVC informó que esta partida fue trasladada por el Ministerio de Finanzas al Ministerio de Salud con fecha 2 de septiembre de 2002</w:t>
      </w:r>
      <w:r w:rsidRPr="00383D9A">
        <w:rPr>
          <w:rFonts w:eastAsia="Verdana" w:cs="Cambria"/>
          <w:i w:val="0"/>
          <w:color w:val="000000"/>
          <w:szCs w:val="20"/>
          <w:u w:color="000000"/>
          <w:lang w:eastAsia="x-none"/>
        </w:rPr>
        <w:t>, para la atención de 80 adultos y 80 niños</w:t>
      </w:r>
      <w:r w:rsidRPr="00383D9A">
        <w:rPr>
          <w:rStyle w:val="Refdenotaalpie"/>
          <w:i w:val="0"/>
          <w:lang w:val="es-ES"/>
        </w:rPr>
        <w:footnoteReference w:id="52"/>
      </w:r>
      <w:r w:rsidRPr="00383D9A">
        <w:rPr>
          <w:i w:val="0"/>
          <w:szCs w:val="20"/>
          <w:lang w:val="es-ES"/>
        </w:rPr>
        <w:t>.</w:t>
      </w:r>
      <w:r w:rsidRPr="00383D9A">
        <w:rPr>
          <w:szCs w:val="20"/>
          <w:lang w:val="es-ES"/>
        </w:rPr>
        <w:t xml:space="preserve"> </w:t>
      </w:r>
      <w:r w:rsidRPr="00383D9A">
        <w:rPr>
          <w:i w:val="0"/>
          <w:szCs w:val="20"/>
          <w:lang w:val="es-ES"/>
        </w:rPr>
        <w:t>Al respecto</w:t>
      </w:r>
      <w:r w:rsidRPr="00383D9A">
        <w:rPr>
          <w:szCs w:val="20"/>
          <w:lang w:val="es-ES"/>
        </w:rPr>
        <w:t xml:space="preserve">, </w:t>
      </w:r>
      <w:r w:rsidRPr="00383D9A">
        <w:rPr>
          <w:i w:val="0"/>
          <w:szCs w:val="20"/>
          <w:lang w:val="es-ES"/>
        </w:rPr>
        <w:t xml:space="preserve">el 29 de octubre de 2002, los demandantes expusieron, como alegatos de audiencia, </w:t>
      </w:r>
      <w:r w:rsidRPr="00383D9A">
        <w:rPr>
          <w:i w:val="0"/>
          <w:szCs w:val="20"/>
        </w:rPr>
        <w:t xml:space="preserve">que es cierto que existe voluntad del Presidente de Guatemala para atender los requerimientos realizados en la demanda inicial, en virtud de que se destinaron 500,000.00 quetzales para la atención de personas con VIH/SIDA. Sin embargo, sostuvieron que </w:t>
      </w:r>
      <w:r w:rsidRPr="00383D9A">
        <w:rPr>
          <w:i w:val="0"/>
          <w:szCs w:val="20"/>
          <w:lang w:val="es-ES"/>
        </w:rPr>
        <w:t xml:space="preserve">“subsisten las razones que motivaron la presentación de la acción de amparo ya que si bien es cierto el dinero se encuentra depositado, por una u otra razón no se ha podido iniciar con los tratamientos antirretrovirales para las personas que </w:t>
      </w:r>
      <w:proofErr w:type="spellStart"/>
      <w:r w:rsidRPr="00383D9A">
        <w:rPr>
          <w:i w:val="0"/>
          <w:szCs w:val="20"/>
          <w:lang w:val="es-ES"/>
        </w:rPr>
        <w:t>viv</w:t>
      </w:r>
      <w:proofErr w:type="spellEnd"/>
      <w:r w:rsidRPr="00383D9A">
        <w:rPr>
          <w:i w:val="0"/>
          <w:szCs w:val="20"/>
          <w:lang w:val="es-ES"/>
        </w:rPr>
        <w:t xml:space="preserve">[en] con VIH/SIDA”, por lo cual el Estado </w:t>
      </w:r>
      <w:r w:rsidRPr="00383D9A">
        <w:rPr>
          <w:i w:val="0"/>
          <w:szCs w:val="20"/>
        </w:rPr>
        <w:t>no cumplió con su deber constitucional de atender a todas las personas que viven con ese diagnóstico, pues únicamente se proporciona atención a 27 de ellas</w:t>
      </w:r>
      <w:r w:rsidRPr="00383D9A">
        <w:rPr>
          <w:rStyle w:val="Refdenotaalpie"/>
          <w:i w:val="0"/>
        </w:rPr>
        <w:footnoteReference w:id="53"/>
      </w:r>
      <w:r w:rsidRPr="00383D9A">
        <w:rPr>
          <w:i w:val="0"/>
          <w:szCs w:val="20"/>
        </w:rPr>
        <w:t>.</w:t>
      </w:r>
    </w:p>
    <w:p w14:paraId="6FF4BBFA" w14:textId="77777777" w:rsidR="00F8006A" w:rsidRPr="00383D9A" w:rsidRDefault="00F8006A" w:rsidP="00F8006A">
      <w:pPr>
        <w:pStyle w:val="Estilo1"/>
        <w:tabs>
          <w:tab w:val="left" w:pos="709"/>
          <w:tab w:val="left" w:pos="1134"/>
        </w:tabs>
        <w:spacing w:after="0"/>
        <w:ind w:left="0" w:right="-4" w:firstLine="0"/>
        <w:rPr>
          <w:i w:val="0"/>
          <w:szCs w:val="20"/>
          <w:lang w:val="x-none"/>
        </w:rPr>
      </w:pPr>
    </w:p>
    <w:p w14:paraId="00110F68" w14:textId="5479FE7C" w:rsidR="00383D9A" w:rsidRDefault="00383D9A" w:rsidP="00F8006A">
      <w:pPr>
        <w:pStyle w:val="Estilo1"/>
        <w:numPr>
          <w:ilvl w:val="0"/>
          <w:numId w:val="3"/>
        </w:numPr>
        <w:tabs>
          <w:tab w:val="left" w:pos="709"/>
          <w:tab w:val="left" w:pos="1134"/>
        </w:tabs>
        <w:spacing w:after="0"/>
        <w:ind w:left="0" w:right="-4" w:firstLine="0"/>
        <w:rPr>
          <w:i w:val="0"/>
          <w:szCs w:val="20"/>
          <w:lang w:val="es-ES"/>
        </w:rPr>
      </w:pPr>
      <w:r w:rsidRPr="00383D9A">
        <w:rPr>
          <w:i w:val="0"/>
          <w:szCs w:val="20"/>
          <w:lang w:val="es-CR"/>
        </w:rPr>
        <w:t xml:space="preserve">En ese mismo sentido, los accionantes </w:t>
      </w:r>
      <w:r w:rsidRPr="00383D9A">
        <w:rPr>
          <w:i w:val="0"/>
          <w:szCs w:val="20"/>
        </w:rPr>
        <w:t>señalaron que el Estado aceptó que no está en la disponibilidad de brindar tratamiento con antirretrovirales a las aproximadamente cuatro mil personas que viven con el virus del VIH o que desarrollen el SIDA, ya que dichos tratamientos cuestan alrededor de ocho mil y diez mil quetzales (entre Q. 8,000.00 y Q. 10,000.00) mensuales, sin contar con los gastos que ocasionan las enfermedades recurrentes, lo que daría como consecuencia que se gastaran alrededor de cuatrocientos ochenta millones de quetzales (Q. 480,000.000.00) anuales en darle tratamiento a estas personas.</w:t>
      </w:r>
      <w:r w:rsidRPr="00383D9A">
        <w:rPr>
          <w:b/>
          <w:i w:val="0"/>
          <w:szCs w:val="20"/>
        </w:rPr>
        <w:t xml:space="preserve"> </w:t>
      </w:r>
      <w:r w:rsidRPr="00383D9A">
        <w:rPr>
          <w:i w:val="0"/>
          <w:szCs w:val="20"/>
        </w:rPr>
        <w:t xml:space="preserve">También solicitaron a la Corte de Constitucionalidad el dictado de un auto para mejor fallar con el fin de comprobar el vínculo existente entre la violación a los derechos humanos reclamados y los peticionarios de amparo, pues todos ellos se encuentran afectados por la carente atención </w:t>
      </w:r>
      <w:r w:rsidRPr="00383D9A">
        <w:rPr>
          <w:i w:val="0"/>
          <w:szCs w:val="20"/>
        </w:rPr>
        <w:lastRenderedPageBreak/>
        <w:t xml:space="preserve">médica y la falta de tratamiento antirretroviral al ser personas que viven con VIH/SIDA. </w:t>
      </w:r>
      <w:r w:rsidRPr="00383D9A">
        <w:rPr>
          <w:i w:val="0"/>
          <w:szCs w:val="20"/>
          <w:lang w:val="es-ES"/>
        </w:rPr>
        <w:t xml:space="preserve">Finalmente, solicitaron a la Corte </w:t>
      </w:r>
      <w:r w:rsidR="00B7716C">
        <w:rPr>
          <w:i w:val="0"/>
          <w:szCs w:val="20"/>
          <w:lang w:val="es-ES"/>
        </w:rPr>
        <w:t xml:space="preserve">de </w:t>
      </w:r>
      <w:r w:rsidRPr="00383D9A">
        <w:rPr>
          <w:i w:val="0"/>
          <w:szCs w:val="20"/>
          <w:lang w:val="es-ES"/>
        </w:rPr>
        <w:t>Constitucional</w:t>
      </w:r>
      <w:r w:rsidR="00B7716C">
        <w:rPr>
          <w:i w:val="0"/>
          <w:szCs w:val="20"/>
          <w:lang w:val="es-ES"/>
        </w:rPr>
        <w:t>idad</w:t>
      </w:r>
      <w:r w:rsidRPr="00383D9A">
        <w:rPr>
          <w:i w:val="0"/>
          <w:szCs w:val="20"/>
          <w:lang w:val="es-ES"/>
        </w:rPr>
        <w:t xml:space="preserve"> que declarara con lugar la acción de amparo y ordenara al Estado dictar políticas públicas que garanticen el derecho difuso de la vida a las personas que viven con VIH/SIDA y la distribución de medicamentos antirretrovirales sin discriminación alguna, en los centros hospitalarios y de salud del país</w:t>
      </w:r>
      <w:r w:rsidRPr="00383D9A">
        <w:rPr>
          <w:rStyle w:val="Refdenotaalpie"/>
          <w:i w:val="0"/>
        </w:rPr>
        <w:footnoteReference w:id="54"/>
      </w:r>
      <w:r w:rsidRPr="00383D9A">
        <w:rPr>
          <w:i w:val="0"/>
          <w:szCs w:val="20"/>
          <w:lang w:val="es-ES"/>
        </w:rPr>
        <w:t>.</w:t>
      </w:r>
    </w:p>
    <w:p w14:paraId="4FCC52C9" w14:textId="77777777" w:rsidR="00F8006A" w:rsidRPr="00383D9A" w:rsidRDefault="00F8006A" w:rsidP="00F8006A">
      <w:pPr>
        <w:pStyle w:val="Estilo1"/>
        <w:tabs>
          <w:tab w:val="left" w:pos="709"/>
          <w:tab w:val="left" w:pos="1134"/>
        </w:tabs>
        <w:spacing w:after="0"/>
        <w:ind w:left="0" w:right="-4" w:firstLine="0"/>
        <w:rPr>
          <w:i w:val="0"/>
          <w:szCs w:val="20"/>
          <w:lang w:val="es-ES"/>
        </w:rPr>
      </w:pPr>
    </w:p>
    <w:p w14:paraId="4F5F839C" w14:textId="46190830" w:rsidR="00383D9A" w:rsidRPr="00AE2CE9" w:rsidRDefault="00383D9A" w:rsidP="00AE2CE9">
      <w:pPr>
        <w:pStyle w:val="Estilo1"/>
        <w:numPr>
          <w:ilvl w:val="0"/>
          <w:numId w:val="3"/>
        </w:numPr>
        <w:tabs>
          <w:tab w:val="left" w:pos="709"/>
          <w:tab w:val="left" w:pos="1134"/>
        </w:tabs>
        <w:spacing w:after="0"/>
        <w:ind w:left="0" w:right="-4" w:firstLine="0"/>
        <w:rPr>
          <w:szCs w:val="20"/>
          <w:lang w:val="es-ES"/>
        </w:rPr>
      </w:pPr>
      <w:r w:rsidRPr="00383D9A">
        <w:rPr>
          <w:i w:val="0"/>
          <w:szCs w:val="20"/>
          <w:lang w:val="es-ES"/>
        </w:rPr>
        <w:t xml:space="preserve">La Corte de Constitucionalidad, mediante resolución de 29 de enero de 2003, consideró que los accionantes aceptaron que el Presidente Constitucional de la República de Guatemala, en reunión de </w:t>
      </w:r>
      <w:r w:rsidR="000B2998">
        <w:rPr>
          <w:i w:val="0"/>
          <w:szCs w:val="20"/>
          <w:lang w:val="es-ES"/>
        </w:rPr>
        <w:t>20</w:t>
      </w:r>
      <w:r w:rsidRPr="00383D9A">
        <w:rPr>
          <w:i w:val="0"/>
          <w:szCs w:val="20"/>
          <w:lang w:val="es-ES"/>
        </w:rPr>
        <w:t xml:space="preserve"> de agosto de </w:t>
      </w:r>
      <w:r w:rsidR="000B2998">
        <w:rPr>
          <w:i w:val="0"/>
          <w:szCs w:val="20"/>
          <w:lang w:val="es-ES"/>
        </w:rPr>
        <w:t>2002</w:t>
      </w:r>
      <w:r w:rsidRPr="00383D9A">
        <w:rPr>
          <w:i w:val="0"/>
          <w:szCs w:val="20"/>
          <w:lang w:val="es-ES"/>
        </w:rPr>
        <w:t xml:space="preserve">, atendió a los representantes de los accionantes en donde ordenó la inmediata transferencia de una partida extraordinaria de quinientos mil quetzales (Q. 500,000.00) para atender el tratamiento de las personas con VIH/SIDA necesitadas, por lo menos para el último trimestre del año, en tanto se tomaba una política seria y comprometida del Estado con respecto a la situación futura de los presentados y que dicha transferencia efectivamente fue trasladada por el Ministerio de Finanzas Públicas al Ministerio de Salud Pública el </w:t>
      </w:r>
      <w:r w:rsidR="000B2998">
        <w:rPr>
          <w:i w:val="0"/>
          <w:szCs w:val="20"/>
          <w:lang w:val="es-ES"/>
        </w:rPr>
        <w:t>2</w:t>
      </w:r>
      <w:r w:rsidRPr="00383D9A">
        <w:rPr>
          <w:i w:val="0"/>
          <w:szCs w:val="20"/>
          <w:lang w:val="es-ES"/>
        </w:rPr>
        <w:t xml:space="preserve"> de septiembre de </w:t>
      </w:r>
      <w:r w:rsidR="000B2998">
        <w:rPr>
          <w:i w:val="0"/>
          <w:szCs w:val="20"/>
          <w:lang w:val="es-ES"/>
        </w:rPr>
        <w:t>2002</w:t>
      </w:r>
      <w:r w:rsidRPr="00383D9A">
        <w:rPr>
          <w:i w:val="0"/>
          <w:szCs w:val="20"/>
          <w:lang w:val="es-ES"/>
        </w:rPr>
        <w:t>. En virtud de ello, argumentó que el agravio que le reclamaron cesó, por lo que la acción intentada quedó sin materia sobre la cual resolver, lo que hizo que la declarara simplemente improcedente</w:t>
      </w:r>
      <w:r w:rsidRPr="00383D9A">
        <w:rPr>
          <w:rStyle w:val="Refdenotaalpie"/>
          <w:i w:val="0"/>
          <w:lang w:val="es-ES"/>
        </w:rPr>
        <w:footnoteReference w:id="55"/>
      </w:r>
      <w:r w:rsidRPr="00383D9A">
        <w:rPr>
          <w:i w:val="0"/>
          <w:szCs w:val="20"/>
          <w:lang w:val="es-ES"/>
        </w:rPr>
        <w:t>.</w:t>
      </w:r>
    </w:p>
    <w:p w14:paraId="48158CAA" w14:textId="77777777" w:rsidR="00AE2CE9" w:rsidRPr="00AE2CE9" w:rsidRDefault="00AE2CE9" w:rsidP="00AE2CE9">
      <w:pPr>
        <w:pStyle w:val="Estilo1"/>
        <w:tabs>
          <w:tab w:val="left" w:pos="709"/>
          <w:tab w:val="left" w:pos="1134"/>
        </w:tabs>
        <w:spacing w:after="0"/>
        <w:ind w:left="0" w:right="-4" w:firstLine="0"/>
        <w:rPr>
          <w:i w:val="0"/>
          <w:szCs w:val="20"/>
          <w:lang w:val="es-ES"/>
        </w:rPr>
      </w:pPr>
    </w:p>
    <w:p w14:paraId="4ECA28EF" w14:textId="121BBF16" w:rsidR="00F46845" w:rsidRDefault="00F46845" w:rsidP="00AE2CE9">
      <w:pPr>
        <w:pStyle w:val="Ttulo1"/>
        <w:spacing w:before="0" w:after="0"/>
      </w:pPr>
      <w:bookmarkStart w:id="74" w:name="_Toc527466485"/>
      <w:r w:rsidRPr="0060216C">
        <w:t>VII</w:t>
      </w:r>
      <w:r w:rsidR="004576B1">
        <w:t>i</w:t>
      </w:r>
      <w:r w:rsidR="00EE1E0E">
        <w:t>.</w:t>
      </w:r>
      <w:r w:rsidRPr="0060216C">
        <w:rPr>
          <w:lang w:val="x-none"/>
        </w:rPr>
        <w:br/>
      </w:r>
      <w:r w:rsidRPr="00E55B9D">
        <w:t>FONDO</w:t>
      </w:r>
      <w:bookmarkEnd w:id="74"/>
    </w:p>
    <w:p w14:paraId="321FE1DC" w14:textId="77777777" w:rsidR="00AE2CE9" w:rsidRPr="00AE2CE9" w:rsidRDefault="00AE2CE9" w:rsidP="00AE2CE9">
      <w:pPr>
        <w:rPr>
          <w:lang w:val="es-CR" w:eastAsia="es-ES"/>
        </w:rPr>
      </w:pPr>
    </w:p>
    <w:p w14:paraId="022EB335" w14:textId="762DC7B6" w:rsidR="00016BDB" w:rsidRPr="00E55B9D" w:rsidRDefault="00115FFB" w:rsidP="00AE2CE9">
      <w:pPr>
        <w:pStyle w:val="Prrafodelista"/>
        <w:numPr>
          <w:ilvl w:val="0"/>
          <w:numId w:val="3"/>
        </w:numPr>
        <w:ind w:left="0" w:firstLine="0"/>
      </w:pPr>
      <w:r w:rsidRPr="00E55B9D">
        <w:t>La Corte recuerda que el presente caso se refiere a 49 personas que viven o vivieron con</w:t>
      </w:r>
      <w:r w:rsidR="00CE7943">
        <w:t xml:space="preserve"> el</w:t>
      </w:r>
      <w:r w:rsidRPr="00E55B9D">
        <w:t xml:space="preserve"> VIH en Guatemala y sus familiares. De estas personas, 15 ya fallecieron, 34 siguen con vida, y </w:t>
      </w:r>
      <w:r w:rsidR="00AC56AD">
        <w:t>algunos</w:t>
      </w:r>
      <w:r w:rsidRPr="00E55B9D">
        <w:t xml:space="preserve"> de sus familiares fueron considerados como presuntas víctimas por la Comisión en su Informe de Fondo. Es un hecho probado que las 49 presuntas víctimas fueron diagnosticadas con</w:t>
      </w:r>
      <w:r w:rsidR="00AC56AD">
        <w:t xml:space="preserve"> el</w:t>
      </w:r>
      <w:r w:rsidRPr="00E55B9D">
        <w:t xml:space="preserve"> VIH</w:t>
      </w:r>
      <w:r w:rsidR="00AC56AD">
        <w:t xml:space="preserve"> al menos</w:t>
      </w:r>
      <w:r w:rsidR="00315C74" w:rsidRPr="00E55B9D">
        <w:t xml:space="preserve"> entre los años 1992 y 2004</w:t>
      </w:r>
      <w:r w:rsidRPr="00E55B9D">
        <w:t xml:space="preserve">, </w:t>
      </w:r>
      <w:r w:rsidRPr="00821799">
        <w:t xml:space="preserve">y que </w:t>
      </w:r>
      <w:r w:rsidR="00821799" w:rsidRPr="00821799">
        <w:t>la mayoría</w:t>
      </w:r>
      <w:r w:rsidRPr="00821799">
        <w:t xml:space="preserve"> de ellas </w:t>
      </w:r>
      <w:r w:rsidR="00821799" w:rsidRPr="00821799">
        <w:t xml:space="preserve">no </w:t>
      </w:r>
      <w:r w:rsidRPr="00821799">
        <w:t>recibió atención méd</w:t>
      </w:r>
      <w:r w:rsidR="002A02DE" w:rsidRPr="00821799">
        <w:t>ica estatal previo al año 2004.</w:t>
      </w:r>
      <w:r w:rsidR="00EE0D09" w:rsidRPr="00E55B9D">
        <w:t xml:space="preserve"> </w:t>
      </w:r>
      <w:r w:rsidR="002A02DE" w:rsidRPr="00E55B9D">
        <w:t>Asimismo, ha quedado demostrado que algunas de ellas ten</w:t>
      </w:r>
      <w:r w:rsidR="00FE24B6" w:rsidRPr="00E55B9D">
        <w:t>ían una o varias</w:t>
      </w:r>
      <w:r w:rsidR="002A02DE" w:rsidRPr="00E55B9D">
        <w:t xml:space="preserve"> de las siguientes condiciones: contrajeron enfermedades oportunistas</w:t>
      </w:r>
      <w:r w:rsidR="00016BDB" w:rsidRPr="00E55B9D">
        <w:t xml:space="preserve"> y en algunos casos fallecieron </w:t>
      </w:r>
      <w:r w:rsidR="00816C1E">
        <w:t>por causa de estas enfermedades,</w:t>
      </w:r>
      <w:r w:rsidR="002A02DE" w:rsidRPr="00E55B9D">
        <w:t xml:space="preserve"> eran personas de escasos recursos</w:t>
      </w:r>
      <w:r w:rsidR="00816C1E">
        <w:t>,</w:t>
      </w:r>
      <w:r w:rsidR="002A02DE" w:rsidRPr="00E55B9D">
        <w:t xml:space="preserve"> eran madres o padres que eran el sustento econ</w:t>
      </w:r>
      <w:r w:rsidR="00016BDB" w:rsidRPr="00E55B9D">
        <w:t>ómico y/o moral de sus familias</w:t>
      </w:r>
      <w:r w:rsidR="00816C1E">
        <w:t>,</w:t>
      </w:r>
      <w:r w:rsidR="00016BDB" w:rsidRPr="00E55B9D">
        <w:t xml:space="preserve"> contaban con baja escolaridad</w:t>
      </w:r>
      <w:r w:rsidR="00816C1E">
        <w:t>,</w:t>
      </w:r>
      <w:r w:rsidR="002A02DE" w:rsidRPr="00E55B9D">
        <w:t xml:space="preserve"> los efectos de su condición como personas </w:t>
      </w:r>
      <w:r w:rsidR="00AC56AD">
        <w:t>que viven con el</w:t>
      </w:r>
      <w:r w:rsidR="002A02DE" w:rsidRPr="00E55B9D">
        <w:t xml:space="preserve"> VIH no les permitió realizar la misma</w:t>
      </w:r>
      <w:r w:rsidR="00016BDB" w:rsidRPr="00E55B9D">
        <w:t xml:space="preserve"> actividad previa a su contagio</w:t>
      </w:r>
      <w:r w:rsidR="00816C1E">
        <w:t>,</w:t>
      </w:r>
      <w:r w:rsidR="002A02DE" w:rsidRPr="00E55B9D">
        <w:t xml:space="preserve"> vivían en zonas alejadas de las clínicas donde</w:t>
      </w:r>
      <w:r w:rsidR="00AC56AD">
        <w:t xml:space="preserve"> debían recibir atención médica</w:t>
      </w:r>
      <w:r w:rsidR="00816C1E">
        <w:t>,</w:t>
      </w:r>
      <w:r w:rsidR="00AC56AD">
        <w:t xml:space="preserve"> y</w:t>
      </w:r>
      <w:r w:rsidR="002A02DE" w:rsidRPr="00E55B9D">
        <w:t xml:space="preserve"> eran mujeres embarazadas.</w:t>
      </w:r>
      <w:r w:rsidR="00016BDB" w:rsidRPr="00E55B9D">
        <w:t xml:space="preserve"> </w:t>
      </w:r>
      <w:r w:rsidR="00EE0D09" w:rsidRPr="00E55B9D">
        <w:t xml:space="preserve">En consideración a esto, el Tribunal </w:t>
      </w:r>
      <w:r w:rsidR="00AC56AD">
        <w:t>analizará</w:t>
      </w:r>
      <w:r w:rsidR="00EE0D09" w:rsidRPr="00E55B9D">
        <w:t xml:space="preserve"> y resolverá el fondo de la controversia.</w:t>
      </w:r>
    </w:p>
    <w:p w14:paraId="590B6A5E" w14:textId="77777777" w:rsidR="00016BDB" w:rsidRPr="00E55B9D" w:rsidRDefault="00016BDB" w:rsidP="00016BDB">
      <w:pPr>
        <w:pStyle w:val="Prrafodelista"/>
      </w:pPr>
    </w:p>
    <w:p w14:paraId="38426418" w14:textId="33C0DCC3" w:rsidR="00D362D0" w:rsidRDefault="00EE0D09" w:rsidP="00EB4758">
      <w:pPr>
        <w:pStyle w:val="Prrafodelista"/>
        <w:numPr>
          <w:ilvl w:val="0"/>
          <w:numId w:val="3"/>
        </w:numPr>
        <w:ind w:left="0" w:firstLine="0"/>
      </w:pPr>
      <w:r w:rsidRPr="00E55B9D">
        <w:t>En consecuencia, l</w:t>
      </w:r>
      <w:r w:rsidR="00D362D0" w:rsidRPr="00E55B9D">
        <w:t xml:space="preserve">a Corte procederá a analizar si el Estado es responsable </w:t>
      </w:r>
      <w:r w:rsidR="006A2500">
        <w:t>i</w:t>
      </w:r>
      <w:r w:rsidR="0016229E" w:rsidRPr="00E55B9D">
        <w:t xml:space="preserve">) </w:t>
      </w:r>
      <w:r w:rsidR="00D362D0" w:rsidRPr="00E55B9D">
        <w:t xml:space="preserve">por la violación al derecho a la salud derivado de la atención médica –o la falta de ella– </w:t>
      </w:r>
      <w:r w:rsidR="0016229E" w:rsidRPr="00E55B9D">
        <w:t>brindada por el Estado a</w:t>
      </w:r>
      <w:r w:rsidR="00D362D0" w:rsidRPr="00E55B9D">
        <w:t xml:space="preserve"> las 49 presuntas víctimas como personas</w:t>
      </w:r>
      <w:r w:rsidR="00AC56AD">
        <w:t xml:space="preserve"> que viven</w:t>
      </w:r>
      <w:r w:rsidR="00D362D0" w:rsidRPr="00E55B9D">
        <w:t xml:space="preserve"> con</w:t>
      </w:r>
      <w:r w:rsidR="00AC56AD">
        <w:t xml:space="preserve"> el</w:t>
      </w:r>
      <w:r w:rsidR="00D362D0" w:rsidRPr="00E55B9D">
        <w:t xml:space="preserve"> VIH, así como </w:t>
      </w:r>
      <w:r w:rsidR="006A2500">
        <w:t>ii)</w:t>
      </w:r>
      <w:r w:rsidR="006A2500" w:rsidRPr="00E55B9D">
        <w:t xml:space="preserve"> si violó el principio de progresividad por las alegadas medidas regresivas que </w:t>
      </w:r>
      <w:r w:rsidR="00AC56AD">
        <w:t xml:space="preserve">el Estado </w:t>
      </w:r>
      <w:r w:rsidR="006A2500" w:rsidRPr="00E55B9D">
        <w:t>habría adoptado en detrimento de la plena efectividad del derecho a la salud en Guatemala</w:t>
      </w:r>
      <w:r w:rsidR="00D362D0" w:rsidRPr="00E55B9D">
        <w:t>. Asimismo, la Corte evaluará</w:t>
      </w:r>
      <w:r w:rsidR="009214C0" w:rsidRPr="00E55B9D">
        <w:t xml:space="preserve"> </w:t>
      </w:r>
      <w:r w:rsidR="006A2500">
        <w:t>si el Estado iii) violó</w:t>
      </w:r>
      <w:r w:rsidR="006A2500" w:rsidRPr="00E55B9D">
        <w:t xml:space="preserve"> </w:t>
      </w:r>
      <w:r w:rsidR="006A2500">
        <w:t>los</w:t>
      </w:r>
      <w:r w:rsidR="006A2500" w:rsidRPr="00E55B9D">
        <w:t xml:space="preserve"> derechos a la integridad personal y a la vida</w:t>
      </w:r>
      <w:r w:rsidR="00AC56AD">
        <w:t xml:space="preserve"> de las 49 presuntas víctimas</w:t>
      </w:r>
      <w:r w:rsidR="00987AFF" w:rsidRPr="00E55B9D">
        <w:t>;</w:t>
      </w:r>
      <w:r w:rsidR="009214C0" w:rsidRPr="00E55B9D">
        <w:t xml:space="preserve"> </w:t>
      </w:r>
      <w:r w:rsidR="006A2500">
        <w:t>y iv</w:t>
      </w:r>
      <w:r w:rsidR="0016229E" w:rsidRPr="00E55B9D">
        <w:t>)</w:t>
      </w:r>
      <w:r w:rsidR="00D362D0" w:rsidRPr="00E55B9D">
        <w:t xml:space="preserve"> si violó el </w:t>
      </w:r>
      <w:r w:rsidR="00987AFF" w:rsidRPr="00E55B9D">
        <w:t>derecho a las garantías judiciales y a la protección judicial efectiva debido a un fallo de l</w:t>
      </w:r>
      <w:r w:rsidR="00016BDB" w:rsidRPr="00E55B9D">
        <w:t>a Corte de Constitucionalidad</w:t>
      </w:r>
      <w:r w:rsidR="00AC56AD">
        <w:t xml:space="preserve"> en perjuicio de 13 presuntas víctimas</w:t>
      </w:r>
      <w:r w:rsidR="00987AFF" w:rsidRPr="00E55B9D">
        <w:t xml:space="preserve">. Finalmente, </w:t>
      </w:r>
      <w:r w:rsidR="006A2500">
        <w:t>v</w:t>
      </w:r>
      <w:r w:rsidR="0016229E" w:rsidRPr="00E55B9D">
        <w:t xml:space="preserve">) </w:t>
      </w:r>
      <w:r w:rsidR="00987AFF" w:rsidRPr="00E55B9D">
        <w:t xml:space="preserve">el Tribunal determinará si </w:t>
      </w:r>
      <w:r w:rsidR="00AC56AD">
        <w:t>el Estado</w:t>
      </w:r>
      <w:r w:rsidR="00987AFF" w:rsidRPr="00E55B9D">
        <w:t xml:space="preserve"> violó el derecho a la integridad personal de los familiares de las </w:t>
      </w:r>
      <w:r w:rsidR="00262B35" w:rsidRPr="00E55B9D">
        <w:t xml:space="preserve">presuntas </w:t>
      </w:r>
      <w:r w:rsidR="00987AFF" w:rsidRPr="00E55B9D">
        <w:t>víctimas</w:t>
      </w:r>
      <w:r w:rsidR="00A355E9" w:rsidRPr="00E55B9D">
        <w:t xml:space="preserve"> como resultado de los sufrimientos que pudo producir la atención médica recibida por sus familiares</w:t>
      </w:r>
      <w:r w:rsidR="00987AFF" w:rsidRPr="00E55B9D">
        <w:t>.</w:t>
      </w:r>
    </w:p>
    <w:p w14:paraId="4E467E4A" w14:textId="77777777" w:rsidR="005A515E" w:rsidRPr="00E55B9D" w:rsidRDefault="005A515E" w:rsidP="005A515E">
      <w:pPr>
        <w:pStyle w:val="Prrafodelista"/>
        <w:ind w:left="0"/>
      </w:pPr>
    </w:p>
    <w:p w14:paraId="3C913F8D" w14:textId="6A478AB5" w:rsidR="00841265" w:rsidRDefault="004576B1" w:rsidP="00E92CA8">
      <w:pPr>
        <w:pStyle w:val="Ttulo1"/>
        <w:spacing w:before="0" w:after="0"/>
      </w:pPr>
      <w:bookmarkStart w:id="75" w:name="_Toc527466486"/>
      <w:r>
        <w:lastRenderedPageBreak/>
        <w:t>VIIi-1</w:t>
      </w:r>
      <w:r w:rsidR="00F46845" w:rsidRPr="0060216C">
        <w:rPr>
          <w:lang w:val="x-none"/>
        </w:rPr>
        <w:br/>
      </w:r>
      <w:r w:rsidR="00F46845" w:rsidRPr="0060216C">
        <w:t xml:space="preserve">DERECHO A LA SALUD, A LA INTEGRIDAD PERSONAL Y A LA VIDA EN RELACIÓN CON LAS OBLIGACIONES DE RESPETAR Y GARANTIZAR LOS DERECHOS </w:t>
      </w:r>
      <w:r w:rsidR="00AE6392">
        <w:t>(ARTÍCULOS 26</w:t>
      </w:r>
      <w:r w:rsidR="00C80B4F">
        <w:rPr>
          <w:rStyle w:val="Refdenotaalpie"/>
        </w:rPr>
        <w:footnoteReference w:id="56"/>
      </w:r>
      <w:r w:rsidR="00AE6392">
        <w:t>, 4</w:t>
      </w:r>
      <w:r w:rsidR="00C80B4F">
        <w:rPr>
          <w:rStyle w:val="Refdenotaalpie"/>
        </w:rPr>
        <w:footnoteReference w:id="57"/>
      </w:r>
      <w:r w:rsidR="00AE6392">
        <w:t>, 5</w:t>
      </w:r>
      <w:r w:rsidR="00C80B4F">
        <w:rPr>
          <w:rStyle w:val="Refdenotaalpie"/>
        </w:rPr>
        <w:footnoteReference w:id="58"/>
      </w:r>
      <w:r w:rsidR="00AE6392">
        <w:t xml:space="preserve"> y</w:t>
      </w:r>
      <w:r w:rsidR="00F46845" w:rsidRPr="0060216C">
        <w:t xml:space="preserve"> 1.1</w:t>
      </w:r>
      <w:r w:rsidR="00C80B4F">
        <w:rPr>
          <w:rStyle w:val="Refdenotaalpie"/>
        </w:rPr>
        <w:footnoteReference w:id="59"/>
      </w:r>
      <w:r w:rsidR="00F46845" w:rsidRPr="0060216C">
        <w:t xml:space="preserve"> DE </w:t>
      </w:r>
      <w:r w:rsidR="00AE6392">
        <w:t>LA CONVENCIÓN AMERICANA)</w:t>
      </w:r>
      <w:bookmarkEnd w:id="75"/>
    </w:p>
    <w:p w14:paraId="7EE1AE13" w14:textId="77777777" w:rsidR="00E92CA8" w:rsidRPr="00E92CA8" w:rsidRDefault="00E92CA8" w:rsidP="00E92CA8">
      <w:pPr>
        <w:rPr>
          <w:lang w:val="es-CR" w:eastAsia="es-ES"/>
        </w:rPr>
      </w:pPr>
    </w:p>
    <w:p w14:paraId="4C61FB8B" w14:textId="77777777" w:rsidR="00F46845" w:rsidRDefault="00F46845" w:rsidP="00E92CA8">
      <w:pPr>
        <w:pStyle w:val="Ttulo2"/>
        <w:numPr>
          <w:ilvl w:val="0"/>
          <w:numId w:val="32"/>
        </w:numPr>
        <w:spacing w:before="0" w:after="0"/>
      </w:pPr>
      <w:bookmarkStart w:id="76" w:name="_Toc527466487"/>
      <w:r w:rsidRPr="004576B1">
        <w:t>Alegatos de la Comisión y de las partes</w:t>
      </w:r>
      <w:bookmarkEnd w:id="76"/>
    </w:p>
    <w:p w14:paraId="56EEE9CB" w14:textId="77777777" w:rsidR="00E92CA8" w:rsidRPr="00E92CA8" w:rsidRDefault="00E92CA8" w:rsidP="00E92CA8">
      <w:pPr>
        <w:rPr>
          <w:lang w:val="es-CR"/>
        </w:rPr>
      </w:pPr>
    </w:p>
    <w:p w14:paraId="0C91C4F5" w14:textId="6238D6B7" w:rsidR="00F46845"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pacing w:val="1"/>
          <w:w w:val="106"/>
          <w:szCs w:val="20"/>
          <w:lang w:val="es-CO"/>
        </w:rPr>
        <w:t xml:space="preserve">La </w:t>
      </w:r>
      <w:r w:rsidRPr="003978B2">
        <w:rPr>
          <w:b/>
          <w:spacing w:val="1"/>
          <w:w w:val="106"/>
          <w:szCs w:val="20"/>
          <w:lang w:val="es-CO"/>
        </w:rPr>
        <w:t>Comisión</w:t>
      </w:r>
      <w:r w:rsidRPr="0060216C">
        <w:rPr>
          <w:i w:val="0"/>
          <w:spacing w:val="1"/>
          <w:w w:val="106"/>
          <w:szCs w:val="20"/>
          <w:lang w:val="es-CO"/>
        </w:rPr>
        <w:t xml:space="preserve"> realizó su análisis de fondo en dos momentos distintos: en un primer momento, respecto a la situación previa a los años 2006 y 2007, en donde alegó que el Estado no prestó ningún tipo de atención médica a las presuntas víctimas, no efectuó los exámenes requeridos, ni entregó medicamentos anti</w:t>
      </w:r>
      <w:r w:rsidR="009214C0">
        <w:rPr>
          <w:i w:val="0"/>
          <w:spacing w:val="1"/>
          <w:w w:val="106"/>
          <w:szCs w:val="20"/>
          <w:lang w:val="es-CO"/>
        </w:rPr>
        <w:t>r</w:t>
      </w:r>
      <w:r w:rsidRPr="0060216C">
        <w:rPr>
          <w:i w:val="0"/>
          <w:spacing w:val="1"/>
          <w:w w:val="106"/>
          <w:szCs w:val="20"/>
          <w:lang w:val="es-CO"/>
        </w:rPr>
        <w:t>retrovirales, lo cual tuvo un grave impacto en su situación de salud y, en consecuencia, derivó en la afectación a su derecho a la vida, en algunos casos en sus dos dimensiones (artículo 4.1 en relación con el artículo 1.1), y a la integridad personal (artículo 5.1 en relación con el artículo 1.1). Al respecto, la Comisión alegó la responsabilidad del Estado por la violación al derecho a la vida (artículo 4.1 en relación con el artículo 1.1), pues algunas presuntas víctimas habrían fallecido debido a enfermedades oportunistas como consecuencia de la falta de atención integral al VIH que padecían, y la responsabilidad por la violación al derecho a la integridad personal (artículo 5.1 en relación con el artículo 1.1), por los sufrimientos que vivieron las presuntas víctimas.</w:t>
      </w:r>
    </w:p>
    <w:p w14:paraId="5CB203C1"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0B6E356B" w14:textId="2560DBEF" w:rsidR="00F46845"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pacing w:val="1"/>
          <w:w w:val="106"/>
          <w:szCs w:val="20"/>
          <w:lang w:val="es-CO"/>
        </w:rPr>
        <w:t>En un segundo momento, la Comisión analizó la situación posterior a los años 2006 y 2007, concluyendo que si bien el Estado implementó algún tratamiento en el sector público para personas que viven con</w:t>
      </w:r>
      <w:r w:rsidR="006726E4">
        <w:rPr>
          <w:i w:val="0"/>
          <w:spacing w:val="1"/>
          <w:w w:val="106"/>
          <w:szCs w:val="20"/>
          <w:lang w:val="es-CO"/>
        </w:rPr>
        <w:t xml:space="preserve"> el</w:t>
      </w:r>
      <w:r w:rsidRPr="0060216C">
        <w:rPr>
          <w:i w:val="0"/>
          <w:spacing w:val="1"/>
          <w:w w:val="106"/>
          <w:szCs w:val="20"/>
          <w:lang w:val="es-CO"/>
        </w:rPr>
        <w:t xml:space="preserve"> VIH, dicha atención no habría logrado </w:t>
      </w:r>
      <w:r w:rsidRPr="0060216C">
        <w:rPr>
          <w:i w:val="0"/>
          <w:spacing w:val="1"/>
          <w:w w:val="106"/>
          <w:szCs w:val="20"/>
          <w:lang w:val="es-CO"/>
        </w:rPr>
        <w:lastRenderedPageBreak/>
        <w:t xml:space="preserve">satisfacer los estándares mínimos para ser considerada integral y adecuada, lo cual implicó periodos de desabastecimiento de medicamentos, falta de exámenes de carga viral CD4, problemas de accesibilidad por la poca cantidad de centros públicos que prestaran el servicio, desabastecimiento de los implementos necesarios para la realización de exámenes, falta de estudios de </w:t>
      </w:r>
      <w:proofErr w:type="spellStart"/>
      <w:r w:rsidRPr="0060216C">
        <w:rPr>
          <w:i w:val="0"/>
          <w:spacing w:val="1"/>
          <w:w w:val="106"/>
          <w:szCs w:val="20"/>
          <w:lang w:val="es-CO"/>
        </w:rPr>
        <w:t>genotipaje</w:t>
      </w:r>
      <w:proofErr w:type="spellEnd"/>
      <w:r w:rsidRPr="0060216C">
        <w:rPr>
          <w:i w:val="0"/>
          <w:spacing w:val="1"/>
          <w:w w:val="106"/>
          <w:szCs w:val="20"/>
          <w:lang w:val="es-CO"/>
        </w:rPr>
        <w:t xml:space="preserve">, falta de diagnóstico oportuno, y falta de apoyo psicológico, continuando así la violación a los derechos a la vida (artículo 4.1 en relación con el artículo 1.1) y a la integridad personal (artículo 5.1 en relación con el artículo 1.1) en perjuicio de las presuntas víctimas </w:t>
      </w:r>
      <w:r w:rsidR="009214C0">
        <w:rPr>
          <w:i w:val="0"/>
          <w:spacing w:val="1"/>
          <w:w w:val="106"/>
          <w:szCs w:val="20"/>
          <w:lang w:val="es-CO"/>
        </w:rPr>
        <w:t>sobrevivientes</w:t>
      </w:r>
      <w:r w:rsidRPr="0060216C">
        <w:rPr>
          <w:i w:val="0"/>
          <w:spacing w:val="1"/>
          <w:w w:val="106"/>
          <w:szCs w:val="20"/>
          <w:lang w:val="es-CO"/>
        </w:rPr>
        <w:t xml:space="preserve">. Adicionalmente, la Comisión tomó en cuenta que el Estado no dispuso medidas diferenciadas de tratamiento para las mujeres en edad reproductiva, ni adoptó las medidas necesarias para eliminar las barreras propias de la situación de pobreza y pobreza extrema de las presuntas víctimas, ni de la población indígena o </w:t>
      </w:r>
      <w:r w:rsidR="006726E4">
        <w:rPr>
          <w:i w:val="0"/>
          <w:spacing w:val="1"/>
          <w:w w:val="106"/>
          <w:szCs w:val="20"/>
          <w:lang w:val="es-CO"/>
        </w:rPr>
        <w:t>con orientación sexual diversa</w:t>
      </w:r>
      <w:r w:rsidRPr="0060216C">
        <w:rPr>
          <w:i w:val="0"/>
          <w:spacing w:val="1"/>
          <w:w w:val="106"/>
          <w:szCs w:val="20"/>
          <w:lang w:val="es-CO"/>
        </w:rPr>
        <w:t>.</w:t>
      </w:r>
    </w:p>
    <w:p w14:paraId="0BCA3356"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1E03FA21" w14:textId="7320108C" w:rsidR="00F46845" w:rsidRPr="00E92CA8"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pacing w:val="1"/>
          <w:w w:val="106"/>
          <w:szCs w:val="20"/>
          <w:lang w:val="es-CO"/>
        </w:rPr>
        <w:t>En relación con el artículo 26, la Comisión consideró que las alegadas violaciones a los derechos humanos en el presente caso deben analizarse en el marco de la evolución que ha habido en las sentencias de Acevedo Buendía</w:t>
      </w:r>
      <w:r w:rsidR="006726E4">
        <w:rPr>
          <w:i w:val="0"/>
          <w:spacing w:val="1"/>
          <w:w w:val="106"/>
          <w:szCs w:val="20"/>
          <w:lang w:val="es-CO"/>
        </w:rPr>
        <w:t xml:space="preserve"> y otros</w:t>
      </w:r>
      <w:r w:rsidRPr="0060216C">
        <w:rPr>
          <w:i w:val="0"/>
          <w:spacing w:val="1"/>
          <w:w w:val="106"/>
          <w:szCs w:val="20"/>
          <w:lang w:val="es-CO"/>
        </w:rPr>
        <w:t>, Lagos del Campo y Trabajadores Cesados de Petroperú y otros, lo que implicaría analizar el derech</w:t>
      </w:r>
      <w:r w:rsidR="003978B2">
        <w:rPr>
          <w:i w:val="0"/>
          <w:spacing w:val="1"/>
          <w:w w:val="106"/>
          <w:szCs w:val="20"/>
          <w:lang w:val="es-CO"/>
        </w:rPr>
        <w:t xml:space="preserve">o a la salud </w:t>
      </w:r>
      <w:r w:rsidR="006726E4">
        <w:rPr>
          <w:i w:val="0"/>
          <w:spacing w:val="1"/>
          <w:w w:val="106"/>
          <w:szCs w:val="20"/>
          <w:lang w:val="es-CO"/>
        </w:rPr>
        <w:t>en el marco del artículo 26</w:t>
      </w:r>
      <w:r w:rsidRPr="006726E4">
        <w:rPr>
          <w:i w:val="0"/>
          <w:spacing w:val="1"/>
          <w:w w:val="106"/>
          <w:szCs w:val="20"/>
          <w:lang w:val="es-CO"/>
        </w:rPr>
        <w:t>.</w:t>
      </w:r>
    </w:p>
    <w:p w14:paraId="478E3B9A"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199F7691" w14:textId="7FB05889" w:rsidR="00F46845"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pacing w:val="1"/>
          <w:w w:val="106"/>
          <w:szCs w:val="20"/>
          <w:lang w:val="es-CO"/>
        </w:rPr>
        <w:t xml:space="preserve">Los </w:t>
      </w:r>
      <w:r w:rsidRPr="006726E4">
        <w:rPr>
          <w:b/>
          <w:spacing w:val="1"/>
          <w:w w:val="106"/>
          <w:szCs w:val="20"/>
          <w:lang w:val="es-CO"/>
        </w:rPr>
        <w:t>representantes</w:t>
      </w:r>
      <w:r w:rsidRPr="0060216C">
        <w:rPr>
          <w:b/>
          <w:i w:val="0"/>
          <w:spacing w:val="1"/>
          <w:w w:val="106"/>
          <w:szCs w:val="20"/>
          <w:lang w:val="es-CO"/>
        </w:rPr>
        <w:t xml:space="preserve"> </w:t>
      </w:r>
      <w:r w:rsidRPr="0060216C">
        <w:rPr>
          <w:i w:val="0"/>
          <w:spacing w:val="1"/>
          <w:w w:val="106"/>
          <w:szCs w:val="20"/>
          <w:lang w:val="es-CO"/>
        </w:rPr>
        <w:t xml:space="preserve">consideraron que el análisis de las alegadas violaciones del presente caso debe realizarse de manera conjunta, dada la interdependencia e indivisibilidad de los derechos en juego, así como en consideración a la particular situación de vulnerabilidad en la que se encontraban las presuntas víctimas. En ese sentido, sostuvieron que la Corte deberá considerar el derecho a la salud como un derecho autónomo, lo que le permitirá definir las medidas que debe adoptar el Estado para garantizar el desarrollo progresivo de dicho derecho. Los representantes sostuvieron que el reconocimiento de las obligaciones del Estado en relación con el derecho a la salud tiene como punto de partida lo ya reconocido a la luz de las obligaciones en materia de derecho a la vida y a la integridad personal. Asimismo, reiteraron que en el análisis de las violaciones del presente caso la Corte debe considerar la existencia de obligaciones reforzadas de respeto y garantía a partir de la existencia de una situación de discriminación estructural e </w:t>
      </w:r>
      <w:proofErr w:type="spellStart"/>
      <w:r w:rsidRPr="0060216C">
        <w:rPr>
          <w:i w:val="0"/>
          <w:spacing w:val="1"/>
          <w:w w:val="106"/>
          <w:szCs w:val="20"/>
          <w:lang w:val="es-CO"/>
        </w:rPr>
        <w:t>interseccional</w:t>
      </w:r>
      <w:proofErr w:type="spellEnd"/>
      <w:r w:rsidRPr="0060216C">
        <w:rPr>
          <w:i w:val="0"/>
          <w:spacing w:val="1"/>
          <w:w w:val="106"/>
          <w:szCs w:val="20"/>
          <w:lang w:val="es-CO"/>
        </w:rPr>
        <w:t xml:space="preserve"> de las presuntas víctimas, que surge por su condición de personas </w:t>
      </w:r>
      <w:r w:rsidR="006D1041">
        <w:rPr>
          <w:i w:val="0"/>
          <w:spacing w:val="1"/>
          <w:w w:val="106"/>
          <w:szCs w:val="20"/>
          <w:lang w:val="es-CO"/>
        </w:rPr>
        <w:t xml:space="preserve">que viven </w:t>
      </w:r>
      <w:r w:rsidRPr="0060216C">
        <w:rPr>
          <w:i w:val="0"/>
          <w:spacing w:val="1"/>
          <w:w w:val="106"/>
          <w:szCs w:val="20"/>
          <w:lang w:val="es-CO"/>
        </w:rPr>
        <w:t>con</w:t>
      </w:r>
      <w:r w:rsidR="006D1041">
        <w:rPr>
          <w:i w:val="0"/>
          <w:spacing w:val="1"/>
          <w:w w:val="106"/>
          <w:szCs w:val="20"/>
          <w:lang w:val="es-CO"/>
        </w:rPr>
        <w:t xml:space="preserve"> el</w:t>
      </w:r>
      <w:r w:rsidRPr="0060216C">
        <w:rPr>
          <w:i w:val="0"/>
          <w:spacing w:val="1"/>
          <w:w w:val="106"/>
          <w:szCs w:val="20"/>
          <w:lang w:val="es-CO"/>
        </w:rPr>
        <w:t xml:space="preserve"> VIH, en situación de pobreza y pobreza extrema, género y otros factores.</w:t>
      </w:r>
    </w:p>
    <w:p w14:paraId="6F570851"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15946375" w14:textId="2DCD127F" w:rsidR="00F46845" w:rsidRPr="00E92CA8"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zCs w:val="20"/>
          <w:lang w:val="es-CR"/>
        </w:rPr>
        <w:t>En relación con lo anterior, los representantes</w:t>
      </w:r>
      <w:r w:rsidRPr="0060216C">
        <w:rPr>
          <w:b/>
          <w:i w:val="0"/>
          <w:szCs w:val="20"/>
          <w:lang w:val="es-CR"/>
        </w:rPr>
        <w:t xml:space="preserve"> </w:t>
      </w:r>
      <w:r w:rsidRPr="0060216C">
        <w:rPr>
          <w:rFonts w:eastAsia="Arial" w:cs="Arial"/>
          <w:i w:val="0"/>
          <w:szCs w:val="20"/>
          <w:lang w:val="es-CO"/>
        </w:rPr>
        <w:t xml:space="preserve">alegaron que el Estado vulneró los derechos </w:t>
      </w:r>
      <w:r w:rsidRPr="0060216C">
        <w:rPr>
          <w:rFonts w:eastAsia="Arial" w:cs="Arial"/>
          <w:i w:val="0"/>
          <w:spacing w:val="-2"/>
          <w:szCs w:val="20"/>
          <w:lang w:val="es-CO"/>
        </w:rPr>
        <w:t>a la v</w:t>
      </w:r>
      <w:r w:rsidRPr="0060216C">
        <w:rPr>
          <w:rFonts w:eastAsia="Arial" w:cs="Arial"/>
          <w:i w:val="0"/>
          <w:szCs w:val="20"/>
          <w:lang w:val="es-CO"/>
        </w:rPr>
        <w:t>id</w:t>
      </w:r>
      <w:r w:rsidRPr="0060216C">
        <w:rPr>
          <w:rFonts w:eastAsia="Arial" w:cs="Arial"/>
          <w:i w:val="0"/>
          <w:spacing w:val="1"/>
          <w:szCs w:val="20"/>
          <w:lang w:val="es-CO"/>
        </w:rPr>
        <w:t>a</w:t>
      </w:r>
      <w:r w:rsidRPr="0060216C">
        <w:rPr>
          <w:rFonts w:eastAsia="Arial" w:cs="Arial"/>
          <w:i w:val="0"/>
          <w:szCs w:val="20"/>
          <w:lang w:val="es-CO"/>
        </w:rPr>
        <w:t>,</w:t>
      </w:r>
      <w:r w:rsidRPr="0060216C">
        <w:rPr>
          <w:rFonts w:eastAsia="Arial" w:cs="Arial"/>
          <w:i w:val="0"/>
          <w:spacing w:val="14"/>
          <w:szCs w:val="20"/>
          <w:lang w:val="es-CO"/>
        </w:rPr>
        <w:t xml:space="preserve"> </w:t>
      </w:r>
      <w:r w:rsidRPr="0060216C">
        <w:rPr>
          <w:rFonts w:eastAsia="Arial" w:cs="Arial"/>
          <w:i w:val="0"/>
          <w:spacing w:val="-2"/>
          <w:szCs w:val="20"/>
          <w:lang w:val="es-CO"/>
        </w:rPr>
        <w:t>v</w:t>
      </w:r>
      <w:r w:rsidRPr="0060216C">
        <w:rPr>
          <w:rFonts w:eastAsia="Arial" w:cs="Arial"/>
          <w:i w:val="0"/>
          <w:szCs w:val="20"/>
          <w:lang w:val="es-CO"/>
        </w:rPr>
        <w:t>ida</w:t>
      </w:r>
      <w:r w:rsidRPr="0060216C">
        <w:rPr>
          <w:rFonts w:eastAsia="Arial" w:cs="Arial"/>
          <w:i w:val="0"/>
          <w:spacing w:val="8"/>
          <w:szCs w:val="20"/>
          <w:lang w:val="es-CO"/>
        </w:rPr>
        <w:t xml:space="preserve"> </w:t>
      </w:r>
      <w:r w:rsidRPr="0060216C">
        <w:rPr>
          <w:rFonts w:eastAsia="Arial" w:cs="Arial"/>
          <w:i w:val="0"/>
          <w:spacing w:val="1"/>
          <w:szCs w:val="20"/>
          <w:lang w:val="es-CO"/>
        </w:rPr>
        <w:t>d</w:t>
      </w:r>
      <w:r w:rsidRPr="0060216C">
        <w:rPr>
          <w:rFonts w:eastAsia="Arial" w:cs="Arial"/>
          <w:i w:val="0"/>
          <w:szCs w:val="20"/>
          <w:lang w:val="es-CO"/>
        </w:rPr>
        <w:t>i</w:t>
      </w:r>
      <w:r w:rsidRPr="0060216C">
        <w:rPr>
          <w:rFonts w:eastAsia="Arial" w:cs="Arial"/>
          <w:i w:val="0"/>
          <w:spacing w:val="-2"/>
          <w:szCs w:val="20"/>
          <w:lang w:val="es-CO"/>
        </w:rPr>
        <w:t>g</w:t>
      </w:r>
      <w:r w:rsidRPr="0060216C">
        <w:rPr>
          <w:rFonts w:eastAsia="Arial" w:cs="Arial"/>
          <w:i w:val="0"/>
          <w:spacing w:val="1"/>
          <w:szCs w:val="20"/>
          <w:lang w:val="es-CO"/>
        </w:rPr>
        <w:t>na</w:t>
      </w:r>
      <w:r w:rsidRPr="0060216C">
        <w:rPr>
          <w:rFonts w:eastAsia="Arial" w:cs="Arial"/>
          <w:i w:val="0"/>
          <w:szCs w:val="20"/>
          <w:lang w:val="es-CO"/>
        </w:rPr>
        <w:t>,</w:t>
      </w:r>
      <w:r w:rsidRPr="0060216C">
        <w:rPr>
          <w:rFonts w:eastAsia="Arial" w:cs="Arial"/>
          <w:i w:val="0"/>
          <w:spacing w:val="8"/>
          <w:szCs w:val="20"/>
          <w:lang w:val="es-CO"/>
        </w:rPr>
        <w:t xml:space="preserve"> </w:t>
      </w:r>
      <w:r w:rsidRPr="0060216C">
        <w:rPr>
          <w:rFonts w:eastAsia="Arial" w:cs="Arial"/>
          <w:i w:val="0"/>
          <w:szCs w:val="20"/>
          <w:lang w:val="es-CO"/>
        </w:rPr>
        <w:t>in</w:t>
      </w:r>
      <w:r w:rsidRPr="0060216C">
        <w:rPr>
          <w:rFonts w:eastAsia="Arial" w:cs="Arial"/>
          <w:i w:val="0"/>
          <w:spacing w:val="1"/>
          <w:szCs w:val="20"/>
          <w:lang w:val="es-CO"/>
        </w:rPr>
        <w:t>te</w:t>
      </w:r>
      <w:r w:rsidRPr="0060216C">
        <w:rPr>
          <w:rFonts w:eastAsia="Arial" w:cs="Arial"/>
          <w:i w:val="0"/>
          <w:spacing w:val="-1"/>
          <w:szCs w:val="20"/>
          <w:lang w:val="es-CO"/>
        </w:rPr>
        <w:t>g</w:t>
      </w:r>
      <w:r w:rsidRPr="0060216C">
        <w:rPr>
          <w:rFonts w:eastAsia="Arial" w:cs="Arial"/>
          <w:i w:val="0"/>
          <w:szCs w:val="20"/>
          <w:lang w:val="es-CO"/>
        </w:rPr>
        <w:t>r</w:t>
      </w:r>
      <w:r w:rsidRPr="0060216C">
        <w:rPr>
          <w:rFonts w:eastAsia="Arial" w:cs="Arial"/>
          <w:i w:val="0"/>
          <w:spacing w:val="-1"/>
          <w:szCs w:val="20"/>
          <w:lang w:val="es-CO"/>
        </w:rPr>
        <w:t>i</w:t>
      </w:r>
      <w:r w:rsidRPr="0060216C">
        <w:rPr>
          <w:rFonts w:eastAsia="Arial" w:cs="Arial"/>
          <w:i w:val="0"/>
          <w:spacing w:val="1"/>
          <w:szCs w:val="20"/>
          <w:lang w:val="es-CO"/>
        </w:rPr>
        <w:t>da</w:t>
      </w:r>
      <w:r w:rsidRPr="0060216C">
        <w:rPr>
          <w:rFonts w:eastAsia="Arial" w:cs="Arial"/>
          <w:i w:val="0"/>
          <w:szCs w:val="20"/>
          <w:lang w:val="es-CO"/>
        </w:rPr>
        <w:t xml:space="preserve">d y salud (Artículos </w:t>
      </w:r>
      <w:r w:rsidRPr="0060216C">
        <w:rPr>
          <w:rFonts w:eastAsia="Arial" w:cs="Arial"/>
          <w:i w:val="0"/>
          <w:spacing w:val="1"/>
          <w:szCs w:val="20"/>
          <w:lang w:val="es-CO"/>
        </w:rPr>
        <w:t>4</w:t>
      </w:r>
      <w:r w:rsidRPr="0060216C">
        <w:rPr>
          <w:rFonts w:eastAsia="Arial" w:cs="Arial"/>
          <w:i w:val="0"/>
          <w:szCs w:val="20"/>
          <w:lang w:val="es-CO"/>
        </w:rPr>
        <w:t>,</w:t>
      </w:r>
      <w:r w:rsidRPr="0060216C">
        <w:rPr>
          <w:rFonts w:eastAsia="Arial" w:cs="Arial"/>
          <w:i w:val="0"/>
          <w:spacing w:val="23"/>
          <w:szCs w:val="20"/>
          <w:lang w:val="es-CO"/>
        </w:rPr>
        <w:t xml:space="preserve"> </w:t>
      </w:r>
      <w:r w:rsidRPr="0060216C">
        <w:rPr>
          <w:rFonts w:eastAsia="Arial" w:cs="Arial"/>
          <w:i w:val="0"/>
          <w:szCs w:val="20"/>
          <w:lang w:val="es-CO"/>
        </w:rPr>
        <w:t>5</w:t>
      </w:r>
      <w:r w:rsidRPr="0060216C">
        <w:rPr>
          <w:rFonts w:eastAsia="Arial" w:cs="Arial"/>
          <w:i w:val="0"/>
          <w:spacing w:val="24"/>
          <w:szCs w:val="20"/>
          <w:lang w:val="es-CO"/>
        </w:rPr>
        <w:t xml:space="preserve"> </w:t>
      </w:r>
      <w:r w:rsidRPr="0060216C">
        <w:rPr>
          <w:rFonts w:eastAsia="Arial" w:cs="Arial"/>
          <w:i w:val="0"/>
          <w:szCs w:val="20"/>
          <w:lang w:val="es-CO"/>
        </w:rPr>
        <w:t>y</w:t>
      </w:r>
      <w:r w:rsidRPr="0060216C">
        <w:rPr>
          <w:rFonts w:eastAsia="Arial" w:cs="Arial"/>
          <w:i w:val="0"/>
          <w:spacing w:val="21"/>
          <w:szCs w:val="20"/>
          <w:lang w:val="es-CO"/>
        </w:rPr>
        <w:t xml:space="preserve"> </w:t>
      </w:r>
      <w:r w:rsidRPr="0060216C">
        <w:rPr>
          <w:rFonts w:eastAsia="Arial" w:cs="Arial"/>
          <w:i w:val="0"/>
          <w:spacing w:val="1"/>
          <w:szCs w:val="20"/>
          <w:lang w:val="es-CO"/>
        </w:rPr>
        <w:t>2</w:t>
      </w:r>
      <w:r w:rsidRPr="0060216C">
        <w:rPr>
          <w:rFonts w:eastAsia="Arial" w:cs="Arial"/>
          <w:i w:val="0"/>
          <w:szCs w:val="20"/>
          <w:lang w:val="es-CO"/>
        </w:rPr>
        <w:t xml:space="preserve">6 </w:t>
      </w:r>
      <w:r w:rsidRPr="0060216C">
        <w:rPr>
          <w:rFonts w:eastAsia="Arial" w:cs="Arial"/>
          <w:i w:val="0"/>
          <w:spacing w:val="1"/>
          <w:szCs w:val="20"/>
          <w:lang w:val="es-CO"/>
        </w:rPr>
        <w:t>e</w:t>
      </w:r>
      <w:r w:rsidRPr="0060216C">
        <w:rPr>
          <w:rFonts w:eastAsia="Arial" w:cs="Arial"/>
          <w:i w:val="0"/>
          <w:szCs w:val="20"/>
          <w:lang w:val="es-CO"/>
        </w:rPr>
        <w:t>n rel</w:t>
      </w:r>
      <w:r w:rsidRPr="0060216C">
        <w:rPr>
          <w:rFonts w:eastAsia="Arial" w:cs="Arial"/>
          <w:i w:val="0"/>
          <w:spacing w:val="1"/>
          <w:szCs w:val="20"/>
          <w:lang w:val="es-CO"/>
        </w:rPr>
        <w:t>a</w:t>
      </w:r>
      <w:r w:rsidRPr="0060216C">
        <w:rPr>
          <w:rFonts w:eastAsia="Arial" w:cs="Arial"/>
          <w:i w:val="0"/>
          <w:szCs w:val="20"/>
          <w:lang w:val="es-CO"/>
        </w:rPr>
        <w:t>c</w:t>
      </w:r>
      <w:r w:rsidRPr="0060216C">
        <w:rPr>
          <w:rFonts w:eastAsia="Arial" w:cs="Arial"/>
          <w:i w:val="0"/>
          <w:spacing w:val="-3"/>
          <w:szCs w:val="20"/>
          <w:lang w:val="es-CO"/>
        </w:rPr>
        <w:t>i</w:t>
      </w:r>
      <w:r w:rsidRPr="0060216C">
        <w:rPr>
          <w:rFonts w:eastAsia="Arial" w:cs="Arial"/>
          <w:i w:val="0"/>
          <w:spacing w:val="-1"/>
          <w:szCs w:val="20"/>
          <w:lang w:val="es-CO"/>
        </w:rPr>
        <w:t>ó</w:t>
      </w:r>
      <w:r w:rsidRPr="0060216C">
        <w:rPr>
          <w:rFonts w:eastAsia="Arial" w:cs="Arial"/>
          <w:i w:val="0"/>
          <w:szCs w:val="20"/>
          <w:lang w:val="es-CO"/>
        </w:rPr>
        <w:t>n c</w:t>
      </w:r>
      <w:r w:rsidRPr="0060216C">
        <w:rPr>
          <w:rFonts w:eastAsia="Arial" w:cs="Arial"/>
          <w:i w:val="0"/>
          <w:spacing w:val="1"/>
          <w:szCs w:val="20"/>
          <w:lang w:val="es-CO"/>
        </w:rPr>
        <w:t>o</w:t>
      </w:r>
      <w:r w:rsidRPr="0060216C">
        <w:rPr>
          <w:rFonts w:eastAsia="Arial" w:cs="Arial"/>
          <w:i w:val="0"/>
          <w:szCs w:val="20"/>
          <w:lang w:val="es-CO"/>
        </w:rPr>
        <w:t>n</w:t>
      </w:r>
      <w:r w:rsidRPr="0060216C">
        <w:rPr>
          <w:rFonts w:eastAsia="Arial" w:cs="Arial"/>
          <w:i w:val="0"/>
          <w:spacing w:val="-2"/>
          <w:szCs w:val="20"/>
          <w:lang w:val="es-CO"/>
        </w:rPr>
        <w:t xml:space="preserve"> </w:t>
      </w:r>
      <w:r w:rsidRPr="0060216C">
        <w:rPr>
          <w:rFonts w:eastAsia="Arial" w:cs="Arial"/>
          <w:i w:val="0"/>
          <w:szCs w:val="20"/>
          <w:lang w:val="es-CO"/>
        </w:rPr>
        <w:t>l</w:t>
      </w:r>
      <w:r w:rsidRPr="0060216C">
        <w:rPr>
          <w:rFonts w:eastAsia="Arial" w:cs="Arial"/>
          <w:i w:val="0"/>
          <w:spacing w:val="1"/>
          <w:szCs w:val="20"/>
          <w:lang w:val="es-CO"/>
        </w:rPr>
        <w:t>o</w:t>
      </w:r>
      <w:r w:rsidRPr="0060216C">
        <w:rPr>
          <w:rFonts w:eastAsia="Arial" w:cs="Arial"/>
          <w:i w:val="0"/>
          <w:szCs w:val="20"/>
          <w:lang w:val="es-CO"/>
        </w:rPr>
        <w:t>s</w:t>
      </w:r>
      <w:r w:rsidRPr="0060216C">
        <w:rPr>
          <w:rFonts w:eastAsia="Arial" w:cs="Arial"/>
          <w:i w:val="0"/>
          <w:spacing w:val="-1"/>
          <w:szCs w:val="20"/>
          <w:lang w:val="es-CO"/>
        </w:rPr>
        <w:t xml:space="preserve"> </w:t>
      </w:r>
      <w:r w:rsidRPr="0060216C">
        <w:rPr>
          <w:rFonts w:eastAsia="Arial" w:cs="Arial"/>
          <w:i w:val="0"/>
          <w:spacing w:val="1"/>
          <w:szCs w:val="20"/>
          <w:lang w:val="es-CO"/>
        </w:rPr>
        <w:t>a</w:t>
      </w:r>
      <w:r w:rsidRPr="0060216C">
        <w:rPr>
          <w:rFonts w:eastAsia="Arial" w:cs="Arial"/>
          <w:i w:val="0"/>
          <w:szCs w:val="20"/>
          <w:lang w:val="es-CO"/>
        </w:rPr>
        <w:t>rt</w:t>
      </w:r>
      <w:r w:rsidRPr="0060216C">
        <w:rPr>
          <w:rFonts w:eastAsia="Arial" w:cs="Arial"/>
          <w:i w:val="0"/>
          <w:spacing w:val="-2"/>
          <w:szCs w:val="20"/>
          <w:lang w:val="es-CO"/>
        </w:rPr>
        <w:t>í</w:t>
      </w:r>
      <w:r w:rsidRPr="0060216C">
        <w:rPr>
          <w:rFonts w:eastAsia="Arial" w:cs="Arial"/>
          <w:i w:val="0"/>
          <w:szCs w:val="20"/>
          <w:lang w:val="es-CO"/>
        </w:rPr>
        <w:t>c</w:t>
      </w:r>
      <w:r w:rsidRPr="0060216C">
        <w:rPr>
          <w:rFonts w:eastAsia="Arial" w:cs="Arial"/>
          <w:i w:val="0"/>
          <w:spacing w:val="1"/>
          <w:szCs w:val="20"/>
          <w:lang w:val="es-CO"/>
        </w:rPr>
        <w:t>u</w:t>
      </w:r>
      <w:r w:rsidRPr="0060216C">
        <w:rPr>
          <w:rFonts w:eastAsia="Arial" w:cs="Arial"/>
          <w:i w:val="0"/>
          <w:szCs w:val="20"/>
          <w:lang w:val="es-CO"/>
        </w:rPr>
        <w:t>los</w:t>
      </w:r>
      <w:r w:rsidRPr="0060216C">
        <w:rPr>
          <w:rFonts w:eastAsia="Arial" w:cs="Arial"/>
          <w:i w:val="0"/>
          <w:spacing w:val="-4"/>
          <w:szCs w:val="20"/>
          <w:lang w:val="es-CO"/>
        </w:rPr>
        <w:t xml:space="preserve"> </w:t>
      </w:r>
      <w:r w:rsidRPr="0060216C">
        <w:rPr>
          <w:rFonts w:eastAsia="Arial" w:cs="Arial"/>
          <w:i w:val="0"/>
          <w:spacing w:val="1"/>
          <w:szCs w:val="20"/>
          <w:lang w:val="es-CO"/>
        </w:rPr>
        <w:t>1</w:t>
      </w:r>
      <w:r w:rsidRPr="0060216C">
        <w:rPr>
          <w:rFonts w:eastAsia="Arial" w:cs="Arial"/>
          <w:i w:val="0"/>
          <w:szCs w:val="20"/>
          <w:lang w:val="es-CO"/>
        </w:rPr>
        <w:t>.1</w:t>
      </w:r>
      <w:r w:rsidRPr="0060216C">
        <w:rPr>
          <w:rFonts w:eastAsia="Arial" w:cs="Arial"/>
          <w:i w:val="0"/>
          <w:spacing w:val="-4"/>
          <w:szCs w:val="20"/>
          <w:lang w:val="es-CO"/>
        </w:rPr>
        <w:t xml:space="preserve"> </w:t>
      </w:r>
      <w:r w:rsidRPr="0060216C">
        <w:rPr>
          <w:rFonts w:eastAsia="Arial" w:cs="Arial"/>
          <w:i w:val="0"/>
          <w:szCs w:val="20"/>
          <w:lang w:val="es-CO"/>
        </w:rPr>
        <w:t>y</w:t>
      </w:r>
      <w:r w:rsidRPr="0060216C">
        <w:rPr>
          <w:rFonts w:eastAsia="Arial" w:cs="Arial"/>
          <w:i w:val="0"/>
          <w:spacing w:val="-3"/>
          <w:szCs w:val="20"/>
          <w:lang w:val="es-CO"/>
        </w:rPr>
        <w:t xml:space="preserve"> </w:t>
      </w:r>
      <w:r w:rsidRPr="0060216C">
        <w:rPr>
          <w:rFonts w:eastAsia="Arial" w:cs="Arial"/>
          <w:i w:val="0"/>
          <w:szCs w:val="20"/>
          <w:lang w:val="es-CO"/>
        </w:rPr>
        <w:t xml:space="preserve">2 </w:t>
      </w:r>
      <w:r w:rsidRPr="0060216C">
        <w:rPr>
          <w:rFonts w:eastAsia="Arial" w:cs="Arial"/>
          <w:i w:val="0"/>
          <w:spacing w:val="1"/>
          <w:szCs w:val="20"/>
          <w:lang w:val="es-CO"/>
        </w:rPr>
        <w:t>d</w:t>
      </w:r>
      <w:r w:rsidRPr="0060216C">
        <w:rPr>
          <w:rFonts w:eastAsia="Arial" w:cs="Arial"/>
          <w:i w:val="0"/>
          <w:szCs w:val="20"/>
          <w:lang w:val="es-CO"/>
        </w:rPr>
        <w:t xml:space="preserve">e </w:t>
      </w:r>
      <w:r w:rsidRPr="0060216C">
        <w:rPr>
          <w:rFonts w:eastAsia="Arial" w:cs="Arial"/>
          <w:i w:val="0"/>
          <w:spacing w:val="1"/>
          <w:szCs w:val="20"/>
          <w:lang w:val="es-CO"/>
        </w:rPr>
        <w:t>d</w:t>
      </w:r>
      <w:r w:rsidRPr="0060216C">
        <w:rPr>
          <w:rFonts w:eastAsia="Arial" w:cs="Arial"/>
          <w:i w:val="0"/>
          <w:szCs w:val="20"/>
          <w:lang w:val="es-CO"/>
        </w:rPr>
        <w:t>ic</w:t>
      </w:r>
      <w:r w:rsidRPr="0060216C">
        <w:rPr>
          <w:rFonts w:eastAsia="Arial" w:cs="Arial"/>
          <w:i w:val="0"/>
          <w:spacing w:val="-2"/>
          <w:szCs w:val="20"/>
          <w:lang w:val="es-CO"/>
        </w:rPr>
        <w:t>h</w:t>
      </w:r>
      <w:r w:rsidRPr="0060216C">
        <w:rPr>
          <w:rFonts w:eastAsia="Arial" w:cs="Arial"/>
          <w:i w:val="0"/>
          <w:szCs w:val="20"/>
          <w:lang w:val="es-CO"/>
        </w:rPr>
        <w:t>o i</w:t>
      </w:r>
      <w:r w:rsidRPr="0060216C">
        <w:rPr>
          <w:rFonts w:eastAsia="Arial" w:cs="Arial"/>
          <w:i w:val="0"/>
          <w:spacing w:val="1"/>
          <w:szCs w:val="20"/>
          <w:lang w:val="es-CO"/>
        </w:rPr>
        <w:t>n</w:t>
      </w:r>
      <w:r w:rsidRPr="0060216C">
        <w:rPr>
          <w:rFonts w:eastAsia="Arial" w:cs="Arial"/>
          <w:i w:val="0"/>
          <w:szCs w:val="20"/>
          <w:lang w:val="es-CO"/>
        </w:rPr>
        <w:t>str</w:t>
      </w:r>
      <w:r w:rsidRPr="0060216C">
        <w:rPr>
          <w:rFonts w:eastAsia="Arial" w:cs="Arial"/>
          <w:i w:val="0"/>
          <w:spacing w:val="-2"/>
          <w:szCs w:val="20"/>
          <w:lang w:val="es-CO"/>
        </w:rPr>
        <w:t>u</w:t>
      </w:r>
      <w:r w:rsidRPr="0060216C">
        <w:rPr>
          <w:rFonts w:eastAsia="Arial" w:cs="Arial"/>
          <w:i w:val="0"/>
          <w:spacing w:val="1"/>
          <w:szCs w:val="20"/>
          <w:lang w:val="es-CO"/>
        </w:rPr>
        <w:t>m</w:t>
      </w:r>
      <w:r w:rsidRPr="0060216C">
        <w:rPr>
          <w:rFonts w:eastAsia="Arial" w:cs="Arial"/>
          <w:i w:val="0"/>
          <w:spacing w:val="-1"/>
          <w:szCs w:val="20"/>
          <w:lang w:val="es-CO"/>
        </w:rPr>
        <w:t>en</w:t>
      </w:r>
      <w:r w:rsidRPr="0060216C">
        <w:rPr>
          <w:rFonts w:eastAsia="Arial" w:cs="Arial"/>
          <w:i w:val="0"/>
          <w:szCs w:val="20"/>
          <w:lang w:val="es-CO"/>
        </w:rPr>
        <w:t>to)</w:t>
      </w:r>
      <w:r w:rsidRPr="0060216C">
        <w:rPr>
          <w:rFonts w:eastAsia="Arial" w:cs="Arial"/>
          <w:i w:val="0"/>
          <w:spacing w:val="1"/>
          <w:szCs w:val="20"/>
          <w:lang w:val="es-CO"/>
        </w:rPr>
        <w:t xml:space="preserve"> a</w:t>
      </w:r>
      <w:r w:rsidRPr="0060216C">
        <w:rPr>
          <w:rFonts w:eastAsia="Arial" w:cs="Arial"/>
          <w:i w:val="0"/>
          <w:szCs w:val="20"/>
          <w:lang w:val="es-CO"/>
        </w:rPr>
        <w:t>l</w:t>
      </w:r>
      <w:r w:rsidRPr="0060216C">
        <w:rPr>
          <w:rFonts w:eastAsia="Arial" w:cs="Arial"/>
          <w:i w:val="0"/>
          <w:spacing w:val="1"/>
          <w:szCs w:val="20"/>
          <w:lang w:val="es-CO"/>
        </w:rPr>
        <w:t xml:space="preserve"> n</w:t>
      </w:r>
      <w:r w:rsidRPr="0060216C">
        <w:rPr>
          <w:rFonts w:eastAsia="Arial" w:cs="Arial"/>
          <w:i w:val="0"/>
          <w:szCs w:val="20"/>
          <w:lang w:val="es-CO"/>
        </w:rPr>
        <w:t>o</w:t>
      </w:r>
      <w:r w:rsidRPr="0060216C">
        <w:rPr>
          <w:rFonts w:eastAsia="Arial" w:cs="Arial"/>
          <w:i w:val="0"/>
          <w:spacing w:val="2"/>
          <w:szCs w:val="20"/>
          <w:lang w:val="es-CO"/>
        </w:rPr>
        <w:t xml:space="preserve"> </w:t>
      </w:r>
      <w:r w:rsidRPr="0060216C">
        <w:rPr>
          <w:rFonts w:eastAsia="Arial" w:cs="Arial"/>
          <w:i w:val="0"/>
          <w:spacing w:val="1"/>
          <w:szCs w:val="20"/>
          <w:lang w:val="es-CO"/>
        </w:rPr>
        <w:t>h</w:t>
      </w:r>
      <w:r w:rsidRPr="0060216C">
        <w:rPr>
          <w:rFonts w:eastAsia="Arial" w:cs="Arial"/>
          <w:i w:val="0"/>
          <w:spacing w:val="-1"/>
          <w:szCs w:val="20"/>
          <w:lang w:val="es-CO"/>
        </w:rPr>
        <w:t>a</w:t>
      </w:r>
      <w:r w:rsidRPr="0060216C">
        <w:rPr>
          <w:rFonts w:eastAsia="Arial" w:cs="Arial"/>
          <w:i w:val="0"/>
          <w:spacing w:val="1"/>
          <w:szCs w:val="20"/>
          <w:lang w:val="es-CO"/>
        </w:rPr>
        <w:t>b</w:t>
      </w:r>
      <w:r w:rsidRPr="0060216C">
        <w:rPr>
          <w:rFonts w:eastAsia="Arial" w:cs="Arial"/>
          <w:i w:val="0"/>
          <w:spacing w:val="-1"/>
          <w:szCs w:val="20"/>
          <w:lang w:val="es-CO"/>
        </w:rPr>
        <w:t>e</w:t>
      </w:r>
      <w:r w:rsidRPr="0060216C">
        <w:rPr>
          <w:rFonts w:eastAsia="Arial" w:cs="Arial"/>
          <w:i w:val="0"/>
          <w:szCs w:val="20"/>
          <w:lang w:val="es-CO"/>
        </w:rPr>
        <w:t xml:space="preserve">r </w:t>
      </w:r>
      <w:r w:rsidRPr="0060216C">
        <w:rPr>
          <w:rFonts w:eastAsia="Arial" w:cs="Arial"/>
          <w:i w:val="0"/>
          <w:spacing w:val="1"/>
          <w:szCs w:val="20"/>
          <w:lang w:val="es-CO"/>
        </w:rPr>
        <w:t>ad</w:t>
      </w:r>
      <w:r w:rsidRPr="0060216C">
        <w:rPr>
          <w:rFonts w:eastAsia="Arial" w:cs="Arial"/>
          <w:i w:val="0"/>
          <w:spacing w:val="-1"/>
          <w:szCs w:val="20"/>
          <w:lang w:val="es-CO"/>
        </w:rPr>
        <w:t>o</w:t>
      </w:r>
      <w:r w:rsidRPr="0060216C">
        <w:rPr>
          <w:rFonts w:eastAsia="Arial" w:cs="Arial"/>
          <w:i w:val="0"/>
          <w:spacing w:val="1"/>
          <w:szCs w:val="20"/>
          <w:lang w:val="es-CO"/>
        </w:rPr>
        <w:t>p</w:t>
      </w:r>
      <w:r w:rsidRPr="0060216C">
        <w:rPr>
          <w:rFonts w:eastAsia="Arial" w:cs="Arial"/>
          <w:i w:val="0"/>
          <w:szCs w:val="20"/>
          <w:lang w:val="es-CO"/>
        </w:rPr>
        <w:t>t</w:t>
      </w:r>
      <w:r w:rsidRPr="0060216C">
        <w:rPr>
          <w:rFonts w:eastAsia="Arial" w:cs="Arial"/>
          <w:i w:val="0"/>
          <w:spacing w:val="1"/>
          <w:szCs w:val="20"/>
          <w:lang w:val="es-CO"/>
        </w:rPr>
        <w:t>a</w:t>
      </w:r>
      <w:r w:rsidRPr="0060216C">
        <w:rPr>
          <w:rFonts w:eastAsia="Arial" w:cs="Arial"/>
          <w:i w:val="0"/>
          <w:spacing w:val="-1"/>
          <w:szCs w:val="20"/>
          <w:lang w:val="es-CO"/>
        </w:rPr>
        <w:t>d</w:t>
      </w:r>
      <w:r w:rsidRPr="0060216C">
        <w:rPr>
          <w:rFonts w:eastAsia="Arial" w:cs="Arial"/>
          <w:i w:val="0"/>
          <w:szCs w:val="20"/>
          <w:lang w:val="es-CO"/>
        </w:rPr>
        <w:t xml:space="preserve">o </w:t>
      </w:r>
      <w:r w:rsidRPr="0060216C">
        <w:rPr>
          <w:rFonts w:eastAsia="Arial" w:cs="Arial"/>
          <w:i w:val="0"/>
          <w:spacing w:val="1"/>
          <w:szCs w:val="20"/>
          <w:lang w:val="es-CO"/>
        </w:rPr>
        <w:t>m</w:t>
      </w:r>
      <w:r w:rsidRPr="0060216C">
        <w:rPr>
          <w:rFonts w:eastAsia="Arial" w:cs="Arial"/>
          <w:i w:val="0"/>
          <w:spacing w:val="-1"/>
          <w:szCs w:val="20"/>
          <w:lang w:val="es-CO"/>
        </w:rPr>
        <w:t>e</w:t>
      </w:r>
      <w:r w:rsidRPr="0060216C">
        <w:rPr>
          <w:rFonts w:eastAsia="Arial" w:cs="Arial"/>
          <w:i w:val="0"/>
          <w:spacing w:val="1"/>
          <w:szCs w:val="20"/>
          <w:lang w:val="es-CO"/>
        </w:rPr>
        <w:t>d</w:t>
      </w:r>
      <w:r w:rsidRPr="0060216C">
        <w:rPr>
          <w:rFonts w:eastAsia="Arial" w:cs="Arial"/>
          <w:i w:val="0"/>
          <w:szCs w:val="20"/>
          <w:lang w:val="es-CO"/>
        </w:rPr>
        <w:t>id</w:t>
      </w:r>
      <w:r w:rsidRPr="0060216C">
        <w:rPr>
          <w:rFonts w:eastAsia="Arial" w:cs="Arial"/>
          <w:i w:val="0"/>
          <w:spacing w:val="1"/>
          <w:szCs w:val="20"/>
          <w:lang w:val="es-CO"/>
        </w:rPr>
        <w:t>a</w:t>
      </w:r>
      <w:r w:rsidRPr="0060216C">
        <w:rPr>
          <w:rFonts w:eastAsia="Arial" w:cs="Arial"/>
          <w:i w:val="0"/>
          <w:szCs w:val="20"/>
          <w:lang w:val="es-CO"/>
        </w:rPr>
        <w:t>s</w:t>
      </w:r>
      <w:r w:rsidRPr="0060216C">
        <w:rPr>
          <w:rFonts w:eastAsia="Arial" w:cs="Arial"/>
          <w:i w:val="0"/>
          <w:spacing w:val="2"/>
          <w:szCs w:val="20"/>
          <w:lang w:val="es-CO"/>
        </w:rPr>
        <w:t xml:space="preserve"> </w:t>
      </w:r>
      <w:r w:rsidRPr="0060216C">
        <w:rPr>
          <w:rFonts w:eastAsia="Arial" w:cs="Arial"/>
          <w:i w:val="0"/>
          <w:spacing w:val="1"/>
          <w:szCs w:val="20"/>
          <w:lang w:val="es-CO"/>
        </w:rPr>
        <w:t>p</w:t>
      </w:r>
      <w:r w:rsidRPr="0060216C">
        <w:rPr>
          <w:rFonts w:eastAsia="Arial" w:cs="Arial"/>
          <w:i w:val="0"/>
          <w:spacing w:val="-1"/>
          <w:szCs w:val="20"/>
          <w:lang w:val="es-CO"/>
        </w:rPr>
        <w:t>o</w:t>
      </w:r>
      <w:r w:rsidRPr="0060216C">
        <w:rPr>
          <w:rFonts w:eastAsia="Arial" w:cs="Arial"/>
          <w:i w:val="0"/>
          <w:szCs w:val="20"/>
          <w:lang w:val="es-CO"/>
        </w:rPr>
        <w:t>siti</w:t>
      </w:r>
      <w:r w:rsidRPr="0060216C">
        <w:rPr>
          <w:rFonts w:eastAsia="Arial" w:cs="Arial"/>
          <w:i w:val="0"/>
          <w:spacing w:val="-3"/>
          <w:szCs w:val="20"/>
          <w:lang w:val="es-CO"/>
        </w:rPr>
        <w:t>v</w:t>
      </w:r>
      <w:r w:rsidRPr="0060216C">
        <w:rPr>
          <w:rFonts w:eastAsia="Arial" w:cs="Arial"/>
          <w:i w:val="0"/>
          <w:spacing w:val="1"/>
          <w:szCs w:val="20"/>
          <w:lang w:val="es-CO"/>
        </w:rPr>
        <w:t>a</w:t>
      </w:r>
      <w:r w:rsidRPr="0060216C">
        <w:rPr>
          <w:rFonts w:eastAsia="Arial" w:cs="Arial"/>
          <w:i w:val="0"/>
          <w:szCs w:val="20"/>
          <w:lang w:val="es-CO"/>
        </w:rPr>
        <w:t>s</w:t>
      </w:r>
      <w:r w:rsidRPr="0060216C">
        <w:rPr>
          <w:rFonts w:eastAsia="Arial" w:cs="Arial"/>
          <w:i w:val="0"/>
          <w:spacing w:val="7"/>
          <w:szCs w:val="20"/>
          <w:lang w:val="es-CO"/>
        </w:rPr>
        <w:t xml:space="preserve"> </w:t>
      </w:r>
      <w:r w:rsidRPr="0060216C">
        <w:rPr>
          <w:rFonts w:eastAsia="Arial" w:cs="Arial"/>
          <w:i w:val="0"/>
          <w:szCs w:val="20"/>
          <w:lang w:val="es-CO"/>
        </w:rPr>
        <w:t>y</w:t>
      </w:r>
      <w:r w:rsidRPr="0060216C">
        <w:rPr>
          <w:rFonts w:eastAsia="Arial" w:cs="Arial"/>
          <w:i w:val="0"/>
          <w:spacing w:val="2"/>
          <w:szCs w:val="20"/>
          <w:lang w:val="es-CO"/>
        </w:rPr>
        <w:t xml:space="preserve"> </w:t>
      </w:r>
      <w:r w:rsidRPr="0060216C">
        <w:rPr>
          <w:rFonts w:eastAsia="Arial" w:cs="Arial"/>
          <w:i w:val="0"/>
          <w:szCs w:val="20"/>
          <w:lang w:val="es-CO"/>
        </w:rPr>
        <w:t>c</w:t>
      </w:r>
      <w:r w:rsidRPr="0060216C">
        <w:rPr>
          <w:rFonts w:eastAsia="Arial" w:cs="Arial"/>
          <w:i w:val="0"/>
          <w:spacing w:val="1"/>
          <w:szCs w:val="20"/>
          <w:lang w:val="es-CO"/>
        </w:rPr>
        <w:t>on</w:t>
      </w:r>
      <w:r w:rsidRPr="0060216C">
        <w:rPr>
          <w:rFonts w:eastAsia="Arial" w:cs="Arial"/>
          <w:i w:val="0"/>
          <w:szCs w:val="20"/>
          <w:lang w:val="es-CO"/>
        </w:rPr>
        <w:t>c</w:t>
      </w:r>
      <w:r w:rsidRPr="0060216C">
        <w:rPr>
          <w:rFonts w:eastAsia="Arial" w:cs="Arial"/>
          <w:i w:val="0"/>
          <w:spacing w:val="-1"/>
          <w:szCs w:val="20"/>
          <w:lang w:val="es-CO"/>
        </w:rPr>
        <w:t>r</w:t>
      </w:r>
      <w:r w:rsidRPr="0060216C">
        <w:rPr>
          <w:rFonts w:eastAsia="Arial" w:cs="Arial"/>
          <w:i w:val="0"/>
          <w:spacing w:val="1"/>
          <w:szCs w:val="20"/>
          <w:lang w:val="es-CO"/>
        </w:rPr>
        <w:t>e</w:t>
      </w:r>
      <w:r w:rsidRPr="0060216C">
        <w:rPr>
          <w:rFonts w:eastAsia="Arial" w:cs="Arial"/>
          <w:i w:val="0"/>
          <w:szCs w:val="20"/>
          <w:lang w:val="es-CO"/>
        </w:rPr>
        <w:t>t</w:t>
      </w:r>
      <w:r w:rsidRPr="0060216C">
        <w:rPr>
          <w:rFonts w:eastAsia="Arial" w:cs="Arial"/>
          <w:i w:val="0"/>
          <w:spacing w:val="1"/>
          <w:szCs w:val="20"/>
          <w:lang w:val="es-CO"/>
        </w:rPr>
        <w:t>a</w:t>
      </w:r>
      <w:r w:rsidRPr="0060216C">
        <w:rPr>
          <w:rFonts w:eastAsia="Arial" w:cs="Arial"/>
          <w:i w:val="0"/>
          <w:szCs w:val="20"/>
          <w:lang w:val="es-CO"/>
        </w:rPr>
        <w:t xml:space="preserve">s </w:t>
      </w:r>
      <w:r w:rsidRPr="0060216C">
        <w:rPr>
          <w:rFonts w:eastAsia="Arial" w:cs="Arial"/>
          <w:i w:val="0"/>
          <w:spacing w:val="-1"/>
          <w:szCs w:val="20"/>
          <w:lang w:val="es-CO"/>
        </w:rPr>
        <w:t>p</w:t>
      </w:r>
      <w:r w:rsidRPr="0060216C">
        <w:rPr>
          <w:rFonts w:eastAsia="Arial" w:cs="Arial"/>
          <w:i w:val="0"/>
          <w:spacing w:val="1"/>
          <w:szCs w:val="20"/>
          <w:lang w:val="es-CO"/>
        </w:rPr>
        <w:t>a</w:t>
      </w:r>
      <w:r w:rsidRPr="0060216C">
        <w:rPr>
          <w:rFonts w:eastAsia="Arial" w:cs="Arial"/>
          <w:i w:val="0"/>
          <w:szCs w:val="20"/>
          <w:lang w:val="es-CO"/>
        </w:rPr>
        <w:t>ra</w:t>
      </w:r>
      <w:r w:rsidRPr="0060216C">
        <w:rPr>
          <w:rFonts w:eastAsia="Arial" w:cs="Arial"/>
          <w:i w:val="0"/>
          <w:spacing w:val="4"/>
          <w:szCs w:val="20"/>
          <w:lang w:val="es-CO"/>
        </w:rPr>
        <w:t xml:space="preserve"> </w:t>
      </w:r>
      <w:r w:rsidRPr="0060216C">
        <w:rPr>
          <w:rFonts w:eastAsia="Arial" w:cs="Arial"/>
          <w:i w:val="0"/>
          <w:spacing w:val="1"/>
          <w:szCs w:val="20"/>
          <w:lang w:val="es-CO"/>
        </w:rPr>
        <w:t>p</w:t>
      </w:r>
      <w:r w:rsidRPr="0060216C">
        <w:rPr>
          <w:rFonts w:eastAsia="Arial" w:cs="Arial"/>
          <w:i w:val="0"/>
          <w:szCs w:val="20"/>
          <w:lang w:val="es-CO"/>
        </w:rPr>
        <w:t>r</w:t>
      </w:r>
      <w:r w:rsidRPr="0060216C">
        <w:rPr>
          <w:rFonts w:eastAsia="Arial" w:cs="Arial"/>
          <w:i w:val="0"/>
          <w:spacing w:val="-2"/>
          <w:szCs w:val="20"/>
          <w:lang w:val="es-CO"/>
        </w:rPr>
        <w:t>o</w:t>
      </w:r>
      <w:r w:rsidRPr="0060216C">
        <w:rPr>
          <w:rFonts w:eastAsia="Arial" w:cs="Arial"/>
          <w:i w:val="0"/>
          <w:spacing w:val="1"/>
          <w:szCs w:val="20"/>
          <w:lang w:val="es-CO"/>
        </w:rPr>
        <w:t>po</w:t>
      </w:r>
      <w:r w:rsidRPr="0060216C">
        <w:rPr>
          <w:rFonts w:eastAsia="Arial" w:cs="Arial"/>
          <w:i w:val="0"/>
          <w:szCs w:val="20"/>
          <w:lang w:val="es-CO"/>
        </w:rPr>
        <w:t>rc</w:t>
      </w:r>
      <w:r w:rsidRPr="0060216C">
        <w:rPr>
          <w:rFonts w:eastAsia="Arial" w:cs="Arial"/>
          <w:i w:val="0"/>
          <w:spacing w:val="-1"/>
          <w:szCs w:val="20"/>
          <w:lang w:val="es-CO"/>
        </w:rPr>
        <w:t>i</w:t>
      </w:r>
      <w:r w:rsidRPr="0060216C">
        <w:rPr>
          <w:rFonts w:eastAsia="Arial" w:cs="Arial"/>
          <w:i w:val="0"/>
          <w:spacing w:val="1"/>
          <w:szCs w:val="20"/>
          <w:lang w:val="es-CO"/>
        </w:rPr>
        <w:t>o</w:t>
      </w:r>
      <w:r w:rsidRPr="0060216C">
        <w:rPr>
          <w:rFonts w:eastAsia="Arial" w:cs="Arial"/>
          <w:i w:val="0"/>
          <w:spacing w:val="-1"/>
          <w:szCs w:val="20"/>
          <w:lang w:val="es-CO"/>
        </w:rPr>
        <w:t>n</w:t>
      </w:r>
      <w:r w:rsidRPr="0060216C">
        <w:rPr>
          <w:rFonts w:eastAsia="Arial" w:cs="Arial"/>
          <w:i w:val="0"/>
          <w:spacing w:val="1"/>
          <w:szCs w:val="20"/>
          <w:lang w:val="es-CO"/>
        </w:rPr>
        <w:t>a</w:t>
      </w:r>
      <w:r w:rsidRPr="0060216C">
        <w:rPr>
          <w:rFonts w:eastAsia="Arial" w:cs="Arial"/>
          <w:i w:val="0"/>
          <w:szCs w:val="20"/>
          <w:lang w:val="es-CO"/>
        </w:rPr>
        <w:t>r</w:t>
      </w:r>
      <w:r w:rsidRPr="0060216C">
        <w:rPr>
          <w:rFonts w:eastAsia="Arial" w:cs="Arial"/>
          <w:i w:val="0"/>
          <w:spacing w:val="3"/>
          <w:szCs w:val="20"/>
          <w:lang w:val="es-CO"/>
        </w:rPr>
        <w:t xml:space="preserve"> </w:t>
      </w:r>
      <w:r w:rsidRPr="0060216C">
        <w:rPr>
          <w:rFonts w:eastAsia="Arial" w:cs="Arial"/>
          <w:i w:val="0"/>
          <w:spacing w:val="1"/>
          <w:szCs w:val="20"/>
          <w:lang w:val="es-CO"/>
        </w:rPr>
        <w:t>a</w:t>
      </w:r>
      <w:r w:rsidRPr="0060216C">
        <w:rPr>
          <w:rFonts w:eastAsia="Arial" w:cs="Arial"/>
          <w:i w:val="0"/>
          <w:spacing w:val="-2"/>
          <w:szCs w:val="20"/>
          <w:lang w:val="es-CO"/>
        </w:rPr>
        <w:t>t</w:t>
      </w:r>
      <w:r w:rsidRPr="0060216C">
        <w:rPr>
          <w:rFonts w:eastAsia="Arial" w:cs="Arial"/>
          <w:i w:val="0"/>
          <w:spacing w:val="1"/>
          <w:szCs w:val="20"/>
          <w:lang w:val="es-CO"/>
        </w:rPr>
        <w:t>e</w:t>
      </w:r>
      <w:r w:rsidRPr="0060216C">
        <w:rPr>
          <w:rFonts w:eastAsia="Arial" w:cs="Arial"/>
          <w:i w:val="0"/>
          <w:spacing w:val="-1"/>
          <w:szCs w:val="20"/>
          <w:lang w:val="es-CO"/>
        </w:rPr>
        <w:t>n</w:t>
      </w:r>
      <w:r w:rsidRPr="0060216C">
        <w:rPr>
          <w:rFonts w:eastAsia="Arial" w:cs="Arial"/>
          <w:i w:val="0"/>
          <w:szCs w:val="20"/>
          <w:lang w:val="es-CO"/>
        </w:rPr>
        <w:t>ción</w:t>
      </w:r>
      <w:r w:rsidRPr="0060216C">
        <w:rPr>
          <w:rFonts w:eastAsia="Arial" w:cs="Arial"/>
          <w:i w:val="0"/>
          <w:spacing w:val="2"/>
          <w:szCs w:val="20"/>
          <w:lang w:val="es-CO"/>
        </w:rPr>
        <w:t xml:space="preserve"> </w:t>
      </w:r>
      <w:r w:rsidRPr="0060216C">
        <w:rPr>
          <w:rFonts w:eastAsia="Arial" w:cs="Arial"/>
          <w:i w:val="0"/>
          <w:spacing w:val="1"/>
          <w:szCs w:val="20"/>
          <w:lang w:val="es-CO"/>
        </w:rPr>
        <w:t>méd</w:t>
      </w:r>
      <w:r w:rsidRPr="0060216C">
        <w:rPr>
          <w:rFonts w:eastAsia="Arial" w:cs="Arial"/>
          <w:i w:val="0"/>
          <w:szCs w:val="20"/>
          <w:lang w:val="es-CO"/>
        </w:rPr>
        <w:t>i</w:t>
      </w:r>
      <w:r w:rsidRPr="0060216C">
        <w:rPr>
          <w:rFonts w:eastAsia="Arial" w:cs="Arial"/>
          <w:i w:val="0"/>
          <w:spacing w:val="-3"/>
          <w:szCs w:val="20"/>
          <w:lang w:val="es-CO"/>
        </w:rPr>
        <w:t>c</w:t>
      </w:r>
      <w:r w:rsidRPr="0060216C">
        <w:rPr>
          <w:rFonts w:eastAsia="Arial" w:cs="Arial"/>
          <w:i w:val="0"/>
          <w:szCs w:val="20"/>
          <w:lang w:val="es-CO"/>
        </w:rPr>
        <w:t>a in</w:t>
      </w:r>
      <w:r w:rsidRPr="0060216C">
        <w:rPr>
          <w:rFonts w:eastAsia="Arial" w:cs="Arial"/>
          <w:i w:val="0"/>
          <w:spacing w:val="1"/>
          <w:szCs w:val="20"/>
          <w:lang w:val="es-CO"/>
        </w:rPr>
        <w:t>te</w:t>
      </w:r>
      <w:r w:rsidRPr="0060216C">
        <w:rPr>
          <w:rFonts w:eastAsia="Arial" w:cs="Arial"/>
          <w:i w:val="0"/>
          <w:spacing w:val="-1"/>
          <w:szCs w:val="20"/>
          <w:lang w:val="es-CO"/>
        </w:rPr>
        <w:t>g</w:t>
      </w:r>
      <w:r w:rsidRPr="0060216C">
        <w:rPr>
          <w:rFonts w:eastAsia="Arial" w:cs="Arial"/>
          <w:i w:val="0"/>
          <w:szCs w:val="20"/>
          <w:lang w:val="es-CO"/>
        </w:rPr>
        <w:t>ral,</w:t>
      </w:r>
      <w:r w:rsidRPr="0060216C">
        <w:rPr>
          <w:rFonts w:eastAsia="Arial" w:cs="Arial"/>
          <w:i w:val="0"/>
          <w:spacing w:val="3"/>
          <w:szCs w:val="20"/>
          <w:lang w:val="es-CO"/>
        </w:rPr>
        <w:t xml:space="preserve"> </w:t>
      </w:r>
      <w:r w:rsidRPr="0060216C">
        <w:rPr>
          <w:rFonts w:eastAsia="Arial" w:cs="Arial"/>
          <w:i w:val="0"/>
          <w:spacing w:val="1"/>
          <w:szCs w:val="20"/>
          <w:lang w:val="es-CO"/>
        </w:rPr>
        <w:t>a</w:t>
      </w:r>
      <w:r w:rsidRPr="0060216C">
        <w:rPr>
          <w:rFonts w:eastAsia="Arial" w:cs="Arial"/>
          <w:i w:val="0"/>
          <w:szCs w:val="20"/>
          <w:lang w:val="es-CO"/>
        </w:rPr>
        <w:t>cc</w:t>
      </w:r>
      <w:r w:rsidRPr="0060216C">
        <w:rPr>
          <w:rFonts w:eastAsia="Arial" w:cs="Arial"/>
          <w:i w:val="0"/>
          <w:spacing w:val="1"/>
          <w:szCs w:val="20"/>
          <w:lang w:val="es-CO"/>
        </w:rPr>
        <w:t>e</w:t>
      </w:r>
      <w:r w:rsidRPr="0060216C">
        <w:rPr>
          <w:rFonts w:eastAsia="Arial" w:cs="Arial"/>
          <w:i w:val="0"/>
          <w:szCs w:val="20"/>
          <w:lang w:val="es-CO"/>
        </w:rPr>
        <w:t>sibl</w:t>
      </w:r>
      <w:r w:rsidRPr="0060216C">
        <w:rPr>
          <w:rFonts w:eastAsia="Arial" w:cs="Arial"/>
          <w:i w:val="0"/>
          <w:spacing w:val="1"/>
          <w:szCs w:val="20"/>
          <w:lang w:val="es-CO"/>
        </w:rPr>
        <w:t>e</w:t>
      </w:r>
      <w:r w:rsidRPr="0060216C">
        <w:rPr>
          <w:rFonts w:eastAsia="Arial" w:cs="Arial"/>
          <w:i w:val="0"/>
          <w:szCs w:val="20"/>
          <w:lang w:val="es-CO"/>
        </w:rPr>
        <w:t xml:space="preserve">, </w:t>
      </w:r>
      <w:r w:rsidRPr="0060216C">
        <w:rPr>
          <w:rFonts w:eastAsia="Arial" w:cs="Arial"/>
          <w:i w:val="0"/>
          <w:spacing w:val="1"/>
          <w:szCs w:val="20"/>
          <w:lang w:val="es-CO"/>
        </w:rPr>
        <w:t>a</w:t>
      </w:r>
      <w:r w:rsidRPr="0060216C">
        <w:rPr>
          <w:rFonts w:eastAsia="Arial" w:cs="Arial"/>
          <w:i w:val="0"/>
          <w:spacing w:val="-2"/>
          <w:szCs w:val="20"/>
          <w:lang w:val="es-CO"/>
        </w:rPr>
        <w:t>c</w:t>
      </w:r>
      <w:r w:rsidRPr="0060216C">
        <w:rPr>
          <w:rFonts w:eastAsia="Arial" w:cs="Arial"/>
          <w:i w:val="0"/>
          <w:spacing w:val="1"/>
          <w:szCs w:val="20"/>
          <w:lang w:val="es-CO"/>
        </w:rPr>
        <w:t>ep</w:t>
      </w:r>
      <w:r w:rsidRPr="0060216C">
        <w:rPr>
          <w:rFonts w:eastAsia="Arial" w:cs="Arial"/>
          <w:i w:val="0"/>
          <w:szCs w:val="20"/>
          <w:lang w:val="es-CO"/>
        </w:rPr>
        <w:t>t</w:t>
      </w:r>
      <w:r w:rsidRPr="0060216C">
        <w:rPr>
          <w:rFonts w:eastAsia="Arial" w:cs="Arial"/>
          <w:i w:val="0"/>
          <w:spacing w:val="-1"/>
          <w:szCs w:val="20"/>
          <w:lang w:val="es-CO"/>
        </w:rPr>
        <w:t>a</w:t>
      </w:r>
      <w:r w:rsidRPr="0060216C">
        <w:rPr>
          <w:rFonts w:eastAsia="Arial" w:cs="Arial"/>
          <w:i w:val="0"/>
          <w:spacing w:val="1"/>
          <w:szCs w:val="20"/>
          <w:lang w:val="es-CO"/>
        </w:rPr>
        <w:t>b</w:t>
      </w:r>
      <w:r w:rsidRPr="0060216C">
        <w:rPr>
          <w:rFonts w:eastAsia="Arial" w:cs="Arial"/>
          <w:i w:val="0"/>
          <w:szCs w:val="20"/>
          <w:lang w:val="es-CO"/>
        </w:rPr>
        <w:t>le</w:t>
      </w:r>
      <w:r w:rsidRPr="0060216C">
        <w:rPr>
          <w:rFonts w:eastAsia="Arial" w:cs="Arial"/>
          <w:i w:val="0"/>
          <w:spacing w:val="1"/>
          <w:szCs w:val="20"/>
          <w:lang w:val="es-CO"/>
        </w:rPr>
        <w:t xml:space="preserve"> </w:t>
      </w:r>
      <w:r w:rsidRPr="0060216C">
        <w:rPr>
          <w:rFonts w:eastAsia="Arial" w:cs="Arial"/>
          <w:i w:val="0"/>
          <w:szCs w:val="20"/>
          <w:lang w:val="es-CO"/>
        </w:rPr>
        <w:t xml:space="preserve">y </w:t>
      </w:r>
      <w:r w:rsidRPr="0060216C">
        <w:rPr>
          <w:rFonts w:eastAsia="Arial" w:cs="Arial"/>
          <w:i w:val="0"/>
          <w:spacing w:val="1"/>
          <w:szCs w:val="20"/>
          <w:lang w:val="es-CO"/>
        </w:rPr>
        <w:t>d</w:t>
      </w:r>
      <w:r w:rsidRPr="0060216C">
        <w:rPr>
          <w:rFonts w:eastAsia="Arial" w:cs="Arial"/>
          <w:i w:val="0"/>
          <w:szCs w:val="20"/>
          <w:lang w:val="es-CO"/>
        </w:rPr>
        <w:t>e</w:t>
      </w:r>
      <w:r w:rsidRPr="0060216C">
        <w:rPr>
          <w:rFonts w:eastAsia="Arial" w:cs="Arial"/>
          <w:i w:val="0"/>
          <w:spacing w:val="4"/>
          <w:szCs w:val="20"/>
          <w:lang w:val="es-CO"/>
        </w:rPr>
        <w:t xml:space="preserve"> </w:t>
      </w:r>
      <w:r w:rsidRPr="0060216C">
        <w:rPr>
          <w:rFonts w:eastAsia="Arial" w:cs="Arial"/>
          <w:i w:val="0"/>
          <w:szCs w:val="20"/>
          <w:lang w:val="es-CO"/>
        </w:rPr>
        <w:t>c</w:t>
      </w:r>
      <w:r w:rsidRPr="0060216C">
        <w:rPr>
          <w:rFonts w:eastAsia="Arial" w:cs="Arial"/>
          <w:i w:val="0"/>
          <w:spacing w:val="1"/>
          <w:szCs w:val="20"/>
          <w:lang w:val="es-CO"/>
        </w:rPr>
        <w:t>a</w:t>
      </w:r>
      <w:r w:rsidRPr="0060216C">
        <w:rPr>
          <w:rFonts w:eastAsia="Arial" w:cs="Arial"/>
          <w:i w:val="0"/>
          <w:szCs w:val="20"/>
          <w:lang w:val="es-CO"/>
        </w:rPr>
        <w:t>l</w:t>
      </w:r>
      <w:r w:rsidRPr="0060216C">
        <w:rPr>
          <w:rFonts w:eastAsia="Arial" w:cs="Arial"/>
          <w:i w:val="0"/>
          <w:spacing w:val="-1"/>
          <w:szCs w:val="20"/>
          <w:lang w:val="es-CO"/>
        </w:rPr>
        <w:t>i</w:t>
      </w:r>
      <w:r w:rsidRPr="0060216C">
        <w:rPr>
          <w:rFonts w:eastAsia="Arial" w:cs="Arial"/>
          <w:i w:val="0"/>
          <w:spacing w:val="1"/>
          <w:szCs w:val="20"/>
          <w:lang w:val="es-CO"/>
        </w:rPr>
        <w:t>d</w:t>
      </w:r>
      <w:r w:rsidRPr="0060216C">
        <w:rPr>
          <w:rFonts w:eastAsia="Arial" w:cs="Arial"/>
          <w:i w:val="0"/>
          <w:spacing w:val="-1"/>
          <w:szCs w:val="20"/>
          <w:lang w:val="es-CO"/>
        </w:rPr>
        <w:t>a</w:t>
      </w:r>
      <w:r w:rsidRPr="0060216C">
        <w:rPr>
          <w:rFonts w:eastAsia="Arial" w:cs="Arial"/>
          <w:i w:val="0"/>
          <w:spacing w:val="1"/>
          <w:szCs w:val="20"/>
          <w:lang w:val="es-CO"/>
        </w:rPr>
        <w:t xml:space="preserve">d a las víctimas, teniendo en cuenta que conocía de su condición como personas </w:t>
      </w:r>
      <w:r w:rsidR="006726E4">
        <w:rPr>
          <w:rFonts w:eastAsia="Arial" w:cs="Arial"/>
          <w:i w:val="0"/>
          <w:spacing w:val="1"/>
          <w:szCs w:val="20"/>
          <w:lang w:val="es-CO"/>
        </w:rPr>
        <w:t xml:space="preserve">que viven </w:t>
      </w:r>
      <w:r w:rsidRPr="0060216C">
        <w:rPr>
          <w:rFonts w:eastAsia="Arial" w:cs="Arial"/>
          <w:i w:val="0"/>
          <w:spacing w:val="1"/>
          <w:szCs w:val="20"/>
          <w:lang w:val="es-CO"/>
        </w:rPr>
        <w:t>con</w:t>
      </w:r>
      <w:r w:rsidR="006726E4">
        <w:rPr>
          <w:rFonts w:eastAsia="Arial" w:cs="Arial"/>
          <w:i w:val="0"/>
          <w:spacing w:val="1"/>
          <w:szCs w:val="20"/>
          <w:lang w:val="es-CO"/>
        </w:rPr>
        <w:t xml:space="preserve"> el</w:t>
      </w:r>
      <w:r w:rsidRPr="0060216C">
        <w:rPr>
          <w:rFonts w:eastAsia="Arial" w:cs="Arial"/>
          <w:i w:val="0"/>
          <w:spacing w:val="1"/>
          <w:szCs w:val="20"/>
          <w:lang w:val="es-CO"/>
        </w:rPr>
        <w:t xml:space="preserve"> VIH. En relación con el derecho a la vida, </w:t>
      </w:r>
      <w:r w:rsidRPr="0060216C">
        <w:rPr>
          <w:rFonts w:eastAsia="Arial" w:cs="Arial"/>
          <w:i w:val="0"/>
          <w:szCs w:val="20"/>
          <w:lang w:val="es-CO"/>
        </w:rPr>
        <w:t>alegaron que el Estado es responsable por el fallecimiento de 13 personas debido a la falta de atención médica adecuada, incluida la falta de acceso a medicamentos antir</w:t>
      </w:r>
      <w:r w:rsidR="00461BB6">
        <w:rPr>
          <w:rFonts w:eastAsia="Arial" w:cs="Arial"/>
          <w:i w:val="0"/>
          <w:szCs w:val="20"/>
          <w:lang w:val="es-CO"/>
        </w:rPr>
        <w:t>r</w:t>
      </w:r>
      <w:r w:rsidRPr="0060216C">
        <w:rPr>
          <w:rFonts w:eastAsia="Arial" w:cs="Arial"/>
          <w:i w:val="0"/>
          <w:szCs w:val="20"/>
          <w:lang w:val="es-CO"/>
        </w:rPr>
        <w:t>etrovirales y las pruebas necesarias para monitorear la evolución de la infección, además de otros componentes de la atención integral</w:t>
      </w:r>
      <w:r w:rsidRPr="0060216C">
        <w:rPr>
          <w:rFonts w:eastAsia="Arial" w:cs="Arial"/>
          <w:i w:val="0"/>
          <w:spacing w:val="5"/>
          <w:szCs w:val="20"/>
          <w:lang w:val="es-CO"/>
        </w:rPr>
        <w:t xml:space="preserve">. </w:t>
      </w:r>
      <w:r w:rsidRPr="0060216C">
        <w:rPr>
          <w:rFonts w:eastAsia="Arial" w:cs="Arial"/>
          <w:i w:val="0"/>
          <w:szCs w:val="20"/>
          <w:lang w:val="es-CO"/>
        </w:rPr>
        <w:t>En relación con el derecho a la integridad personal, y a la vida digna, los representantes alegaron que el Estado es responsable por el detrimento a las condiciones de salud física y psicológica que habrían sufrido las presuntas víctimas en el tiempo en que no recibieron ningún tratamiento médico o que el tratamiento médico fue inadecuado. Adicionalmente, manifestaron que el Estado discriminó a las presuntas víctimas al no garantizarles atención médica integral tomando en cuenta sus diversos factores de vulnerabilidad sumados a su condición seropositiva. Asimismo, alegaron que el Estado es responsable por no haber implementado las medidas para evitar el contagio vertical en el caso de mujeres embarazadas.</w:t>
      </w:r>
    </w:p>
    <w:p w14:paraId="5A638880"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78B83D9E" w14:textId="104A4A2D" w:rsidR="00F46845" w:rsidRPr="00E92CA8"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rFonts w:eastAsia="Arial" w:cs="Arial"/>
          <w:i w:val="0"/>
          <w:szCs w:val="20"/>
          <w:lang w:val="es-CO"/>
        </w:rPr>
        <w:t xml:space="preserve">En relación con el artículo 26, los representantes alegaron que el Estado es responsable por la violación al derecho a la salud de las víctimas, pues a pesar de tener conocimiento de la existencia de una epidemia de VIH en su territorio, adoptó medidas regresivas y no dispuso el máximo de los recursos disponibles para prevenir la propagación del virus y garantizar el derecho a la salud; estas medidas incluyeron </w:t>
      </w:r>
      <w:r w:rsidRPr="0060216C">
        <w:rPr>
          <w:rFonts w:eastAsia="Arial" w:cs="Arial"/>
          <w:i w:val="0"/>
          <w:spacing w:val="1"/>
          <w:szCs w:val="20"/>
          <w:lang w:val="es-CO"/>
        </w:rPr>
        <w:t>ba</w:t>
      </w:r>
      <w:r w:rsidRPr="0060216C">
        <w:rPr>
          <w:rFonts w:eastAsia="Arial" w:cs="Arial"/>
          <w:i w:val="0"/>
          <w:spacing w:val="-3"/>
          <w:szCs w:val="20"/>
          <w:lang w:val="es-CO"/>
        </w:rPr>
        <w:t>r</w:t>
      </w:r>
      <w:r w:rsidRPr="0060216C">
        <w:rPr>
          <w:rFonts w:eastAsia="Arial" w:cs="Arial"/>
          <w:i w:val="0"/>
          <w:szCs w:val="20"/>
          <w:lang w:val="es-CO"/>
        </w:rPr>
        <w:t>reras</w:t>
      </w:r>
      <w:r w:rsidRPr="0060216C">
        <w:rPr>
          <w:rFonts w:eastAsia="Arial" w:cs="Arial"/>
          <w:i w:val="0"/>
          <w:spacing w:val="32"/>
          <w:szCs w:val="20"/>
          <w:lang w:val="es-CO"/>
        </w:rPr>
        <w:t xml:space="preserve"> </w:t>
      </w:r>
      <w:r w:rsidRPr="0060216C">
        <w:rPr>
          <w:rFonts w:eastAsia="Arial" w:cs="Arial"/>
          <w:i w:val="0"/>
          <w:szCs w:val="20"/>
          <w:lang w:val="es-CO"/>
        </w:rPr>
        <w:t>le</w:t>
      </w:r>
      <w:r w:rsidRPr="0060216C">
        <w:rPr>
          <w:rFonts w:eastAsia="Arial" w:cs="Arial"/>
          <w:i w:val="0"/>
          <w:spacing w:val="-1"/>
          <w:szCs w:val="20"/>
          <w:lang w:val="es-CO"/>
        </w:rPr>
        <w:t>g</w:t>
      </w:r>
      <w:r w:rsidRPr="0060216C">
        <w:rPr>
          <w:rFonts w:eastAsia="Arial" w:cs="Arial"/>
          <w:i w:val="0"/>
          <w:spacing w:val="1"/>
          <w:szCs w:val="20"/>
          <w:lang w:val="es-CO"/>
        </w:rPr>
        <w:t>a</w:t>
      </w:r>
      <w:r w:rsidRPr="0060216C">
        <w:rPr>
          <w:rFonts w:eastAsia="Arial" w:cs="Arial"/>
          <w:i w:val="0"/>
          <w:szCs w:val="20"/>
          <w:lang w:val="es-CO"/>
        </w:rPr>
        <w:t xml:space="preserve">les </w:t>
      </w:r>
      <w:r w:rsidRPr="0060216C">
        <w:rPr>
          <w:rFonts w:eastAsia="Arial" w:cs="Arial"/>
          <w:i w:val="0"/>
          <w:spacing w:val="1"/>
          <w:szCs w:val="20"/>
          <w:lang w:val="es-CO"/>
        </w:rPr>
        <w:t>e</w:t>
      </w:r>
      <w:r w:rsidRPr="0060216C">
        <w:rPr>
          <w:rFonts w:eastAsia="Arial" w:cs="Arial"/>
          <w:i w:val="0"/>
          <w:szCs w:val="20"/>
          <w:lang w:val="es-CO"/>
        </w:rPr>
        <w:t>n</w:t>
      </w:r>
      <w:r w:rsidRPr="0060216C">
        <w:rPr>
          <w:rFonts w:eastAsia="Arial" w:cs="Arial"/>
          <w:i w:val="0"/>
          <w:spacing w:val="6"/>
          <w:szCs w:val="20"/>
          <w:lang w:val="es-CO"/>
        </w:rPr>
        <w:t xml:space="preserve"> </w:t>
      </w:r>
      <w:r w:rsidRPr="0060216C">
        <w:rPr>
          <w:rFonts w:eastAsia="Arial" w:cs="Arial"/>
          <w:i w:val="0"/>
          <w:spacing w:val="-1"/>
          <w:szCs w:val="20"/>
          <w:lang w:val="es-CO"/>
        </w:rPr>
        <w:t>m</w:t>
      </w:r>
      <w:r w:rsidRPr="0060216C">
        <w:rPr>
          <w:rFonts w:eastAsia="Arial" w:cs="Arial"/>
          <w:i w:val="0"/>
          <w:spacing w:val="1"/>
          <w:szCs w:val="20"/>
          <w:lang w:val="es-CO"/>
        </w:rPr>
        <w:t>a</w:t>
      </w:r>
      <w:r w:rsidRPr="0060216C">
        <w:rPr>
          <w:rFonts w:eastAsia="Arial" w:cs="Arial"/>
          <w:i w:val="0"/>
          <w:szCs w:val="20"/>
          <w:lang w:val="es-CO"/>
        </w:rPr>
        <w:t>t</w:t>
      </w:r>
      <w:r w:rsidRPr="0060216C">
        <w:rPr>
          <w:rFonts w:eastAsia="Arial" w:cs="Arial"/>
          <w:i w:val="0"/>
          <w:spacing w:val="1"/>
          <w:szCs w:val="20"/>
          <w:lang w:val="es-CO"/>
        </w:rPr>
        <w:t>e</w:t>
      </w:r>
      <w:r w:rsidRPr="0060216C">
        <w:rPr>
          <w:rFonts w:eastAsia="Arial" w:cs="Arial"/>
          <w:i w:val="0"/>
          <w:szCs w:val="20"/>
          <w:lang w:val="es-CO"/>
        </w:rPr>
        <w:t>r</w:t>
      </w:r>
      <w:r w:rsidRPr="0060216C">
        <w:rPr>
          <w:rFonts w:eastAsia="Arial" w:cs="Arial"/>
          <w:i w:val="0"/>
          <w:spacing w:val="-1"/>
          <w:szCs w:val="20"/>
          <w:lang w:val="es-CO"/>
        </w:rPr>
        <w:t>i</w:t>
      </w:r>
      <w:r w:rsidRPr="0060216C">
        <w:rPr>
          <w:rFonts w:eastAsia="Arial" w:cs="Arial"/>
          <w:i w:val="0"/>
          <w:szCs w:val="20"/>
          <w:lang w:val="es-CO"/>
        </w:rPr>
        <w:t>a</w:t>
      </w:r>
      <w:r w:rsidRPr="0060216C">
        <w:rPr>
          <w:rFonts w:eastAsia="Arial" w:cs="Arial"/>
          <w:i w:val="0"/>
          <w:spacing w:val="4"/>
          <w:szCs w:val="20"/>
          <w:lang w:val="es-CO"/>
        </w:rPr>
        <w:t xml:space="preserve"> </w:t>
      </w:r>
      <w:r w:rsidRPr="0060216C">
        <w:rPr>
          <w:rFonts w:eastAsia="Arial" w:cs="Arial"/>
          <w:i w:val="0"/>
          <w:spacing w:val="-1"/>
          <w:szCs w:val="20"/>
          <w:lang w:val="es-CO"/>
        </w:rPr>
        <w:t>d</w:t>
      </w:r>
      <w:r w:rsidRPr="0060216C">
        <w:rPr>
          <w:rFonts w:eastAsia="Arial" w:cs="Arial"/>
          <w:i w:val="0"/>
          <w:szCs w:val="20"/>
          <w:lang w:val="es-CO"/>
        </w:rPr>
        <w:t>e</w:t>
      </w:r>
      <w:r w:rsidRPr="0060216C">
        <w:rPr>
          <w:rFonts w:eastAsia="Arial" w:cs="Arial"/>
          <w:i w:val="0"/>
          <w:spacing w:val="6"/>
          <w:szCs w:val="20"/>
          <w:lang w:val="es-CO"/>
        </w:rPr>
        <w:t xml:space="preserve"> </w:t>
      </w:r>
      <w:r w:rsidRPr="0060216C">
        <w:rPr>
          <w:rFonts w:eastAsia="Arial" w:cs="Arial"/>
          <w:i w:val="0"/>
          <w:spacing w:val="1"/>
          <w:szCs w:val="20"/>
          <w:lang w:val="es-CO"/>
        </w:rPr>
        <w:t>patentes</w:t>
      </w:r>
      <w:r w:rsidRPr="0060216C">
        <w:rPr>
          <w:rFonts w:eastAsia="Arial" w:cs="Arial"/>
          <w:i w:val="0"/>
          <w:spacing w:val="30"/>
          <w:szCs w:val="20"/>
          <w:lang w:val="es-CO"/>
        </w:rPr>
        <w:t xml:space="preserve"> </w:t>
      </w:r>
      <w:r w:rsidRPr="0060216C">
        <w:rPr>
          <w:rFonts w:eastAsia="Arial" w:cs="Arial"/>
          <w:i w:val="0"/>
          <w:spacing w:val="-1"/>
          <w:szCs w:val="20"/>
          <w:lang w:val="es-CO"/>
        </w:rPr>
        <w:t>q</w:t>
      </w:r>
      <w:r w:rsidRPr="0060216C">
        <w:rPr>
          <w:rFonts w:eastAsia="Arial" w:cs="Arial"/>
          <w:i w:val="0"/>
          <w:spacing w:val="1"/>
          <w:szCs w:val="20"/>
          <w:lang w:val="es-CO"/>
        </w:rPr>
        <w:t>u</w:t>
      </w:r>
      <w:r w:rsidRPr="0060216C">
        <w:rPr>
          <w:rFonts w:eastAsia="Arial" w:cs="Arial"/>
          <w:i w:val="0"/>
          <w:szCs w:val="20"/>
          <w:lang w:val="es-CO"/>
        </w:rPr>
        <w:t>e</w:t>
      </w:r>
      <w:r w:rsidRPr="0060216C">
        <w:rPr>
          <w:rFonts w:eastAsia="Arial" w:cs="Arial"/>
          <w:i w:val="0"/>
          <w:spacing w:val="33"/>
          <w:szCs w:val="20"/>
          <w:lang w:val="es-CO"/>
        </w:rPr>
        <w:t xml:space="preserve"> </w:t>
      </w:r>
      <w:r w:rsidRPr="0060216C">
        <w:rPr>
          <w:rFonts w:eastAsia="Arial" w:cs="Arial"/>
          <w:i w:val="0"/>
          <w:spacing w:val="1"/>
          <w:szCs w:val="20"/>
          <w:lang w:val="es-CO"/>
        </w:rPr>
        <w:t>ha</w:t>
      </w:r>
      <w:r w:rsidRPr="0060216C">
        <w:rPr>
          <w:rFonts w:eastAsia="Arial" w:cs="Arial"/>
          <w:i w:val="0"/>
          <w:szCs w:val="20"/>
          <w:lang w:val="es-CO"/>
        </w:rPr>
        <w:t>n</w:t>
      </w:r>
      <w:r w:rsidRPr="0060216C">
        <w:rPr>
          <w:rFonts w:eastAsia="Arial" w:cs="Arial"/>
          <w:i w:val="0"/>
          <w:spacing w:val="32"/>
          <w:szCs w:val="20"/>
          <w:lang w:val="es-CO"/>
        </w:rPr>
        <w:t xml:space="preserve"> </w:t>
      </w:r>
      <w:r w:rsidRPr="0060216C">
        <w:rPr>
          <w:rFonts w:eastAsia="Arial" w:cs="Arial"/>
          <w:i w:val="0"/>
          <w:szCs w:val="20"/>
          <w:lang w:val="es-CO"/>
        </w:rPr>
        <w:t>i</w:t>
      </w:r>
      <w:r w:rsidRPr="0060216C">
        <w:rPr>
          <w:rFonts w:eastAsia="Arial" w:cs="Arial"/>
          <w:i w:val="0"/>
          <w:spacing w:val="1"/>
          <w:szCs w:val="20"/>
          <w:lang w:val="es-CO"/>
        </w:rPr>
        <w:t>mp</w:t>
      </w:r>
      <w:r w:rsidRPr="0060216C">
        <w:rPr>
          <w:rFonts w:eastAsia="Arial" w:cs="Arial"/>
          <w:i w:val="0"/>
          <w:spacing w:val="-1"/>
          <w:szCs w:val="20"/>
          <w:lang w:val="es-CO"/>
        </w:rPr>
        <w:t>e</w:t>
      </w:r>
      <w:r w:rsidRPr="0060216C">
        <w:rPr>
          <w:rFonts w:eastAsia="Arial" w:cs="Arial"/>
          <w:i w:val="0"/>
          <w:spacing w:val="1"/>
          <w:szCs w:val="20"/>
          <w:lang w:val="es-CO"/>
        </w:rPr>
        <w:t>d</w:t>
      </w:r>
      <w:r w:rsidRPr="0060216C">
        <w:rPr>
          <w:rFonts w:eastAsia="Arial" w:cs="Arial"/>
          <w:i w:val="0"/>
          <w:szCs w:val="20"/>
          <w:lang w:val="es-CO"/>
        </w:rPr>
        <w:t>ido</w:t>
      </w:r>
      <w:r w:rsidRPr="0060216C">
        <w:rPr>
          <w:rFonts w:eastAsia="Arial" w:cs="Arial"/>
          <w:i w:val="0"/>
          <w:spacing w:val="33"/>
          <w:szCs w:val="20"/>
          <w:lang w:val="es-CO"/>
        </w:rPr>
        <w:t xml:space="preserve"> </w:t>
      </w:r>
      <w:r w:rsidRPr="0060216C">
        <w:rPr>
          <w:rFonts w:eastAsia="Arial" w:cs="Arial"/>
          <w:i w:val="0"/>
          <w:spacing w:val="1"/>
          <w:szCs w:val="20"/>
          <w:lang w:val="es-CO"/>
        </w:rPr>
        <w:t>e</w:t>
      </w:r>
      <w:r w:rsidRPr="0060216C">
        <w:rPr>
          <w:rFonts w:eastAsia="Arial" w:cs="Arial"/>
          <w:i w:val="0"/>
          <w:szCs w:val="20"/>
          <w:lang w:val="es-CO"/>
        </w:rPr>
        <w:t>l</w:t>
      </w:r>
      <w:r w:rsidRPr="0060216C">
        <w:rPr>
          <w:rFonts w:eastAsia="Arial" w:cs="Arial"/>
          <w:i w:val="0"/>
          <w:spacing w:val="31"/>
          <w:szCs w:val="20"/>
          <w:lang w:val="es-CO"/>
        </w:rPr>
        <w:t xml:space="preserve"> </w:t>
      </w:r>
      <w:r w:rsidRPr="0060216C">
        <w:rPr>
          <w:rFonts w:eastAsia="Arial" w:cs="Arial"/>
          <w:i w:val="0"/>
          <w:spacing w:val="1"/>
          <w:szCs w:val="20"/>
          <w:lang w:val="es-CO"/>
        </w:rPr>
        <w:t>a</w:t>
      </w:r>
      <w:r w:rsidRPr="0060216C">
        <w:rPr>
          <w:rFonts w:eastAsia="Arial" w:cs="Arial"/>
          <w:i w:val="0"/>
          <w:spacing w:val="-1"/>
          <w:szCs w:val="20"/>
          <w:lang w:val="es-CO"/>
        </w:rPr>
        <w:t>b</w:t>
      </w:r>
      <w:r w:rsidRPr="0060216C">
        <w:rPr>
          <w:rFonts w:eastAsia="Arial" w:cs="Arial"/>
          <w:i w:val="0"/>
          <w:spacing w:val="1"/>
          <w:szCs w:val="20"/>
          <w:lang w:val="es-CO"/>
        </w:rPr>
        <w:t>a</w:t>
      </w:r>
      <w:r w:rsidRPr="0060216C">
        <w:rPr>
          <w:rFonts w:eastAsia="Arial" w:cs="Arial"/>
          <w:i w:val="0"/>
          <w:szCs w:val="20"/>
          <w:lang w:val="es-CO"/>
        </w:rPr>
        <w:t>st</w:t>
      </w:r>
      <w:r w:rsidRPr="0060216C">
        <w:rPr>
          <w:rFonts w:eastAsia="Arial" w:cs="Arial"/>
          <w:i w:val="0"/>
          <w:spacing w:val="1"/>
          <w:szCs w:val="20"/>
          <w:lang w:val="es-CO"/>
        </w:rPr>
        <w:t>e</w:t>
      </w:r>
      <w:r w:rsidRPr="0060216C">
        <w:rPr>
          <w:rFonts w:eastAsia="Arial" w:cs="Arial"/>
          <w:i w:val="0"/>
          <w:spacing w:val="-2"/>
          <w:szCs w:val="20"/>
          <w:lang w:val="es-CO"/>
        </w:rPr>
        <w:t>c</w:t>
      </w:r>
      <w:r w:rsidRPr="0060216C">
        <w:rPr>
          <w:rFonts w:eastAsia="Arial" w:cs="Arial"/>
          <w:i w:val="0"/>
          <w:szCs w:val="20"/>
          <w:lang w:val="es-CO"/>
        </w:rPr>
        <w:t>i</w:t>
      </w:r>
      <w:r w:rsidRPr="0060216C">
        <w:rPr>
          <w:rFonts w:eastAsia="Arial" w:cs="Arial"/>
          <w:i w:val="0"/>
          <w:spacing w:val="1"/>
          <w:szCs w:val="20"/>
          <w:lang w:val="es-CO"/>
        </w:rPr>
        <w:t>m</w:t>
      </w:r>
      <w:r w:rsidRPr="0060216C">
        <w:rPr>
          <w:rFonts w:eastAsia="Arial" w:cs="Arial"/>
          <w:i w:val="0"/>
          <w:szCs w:val="20"/>
          <w:lang w:val="es-CO"/>
        </w:rPr>
        <w:t>ie</w:t>
      </w:r>
      <w:r w:rsidRPr="0060216C">
        <w:rPr>
          <w:rFonts w:eastAsia="Arial" w:cs="Arial"/>
          <w:i w:val="0"/>
          <w:spacing w:val="1"/>
          <w:szCs w:val="20"/>
          <w:lang w:val="es-CO"/>
        </w:rPr>
        <w:t>n</w:t>
      </w:r>
      <w:r w:rsidRPr="0060216C">
        <w:rPr>
          <w:rFonts w:eastAsia="Arial" w:cs="Arial"/>
          <w:i w:val="0"/>
          <w:spacing w:val="-2"/>
          <w:szCs w:val="20"/>
          <w:lang w:val="es-CO"/>
        </w:rPr>
        <w:t>t</w:t>
      </w:r>
      <w:r w:rsidRPr="0060216C">
        <w:rPr>
          <w:rFonts w:eastAsia="Arial" w:cs="Arial"/>
          <w:i w:val="0"/>
          <w:szCs w:val="20"/>
          <w:lang w:val="es-CO"/>
        </w:rPr>
        <w:t>o</w:t>
      </w:r>
      <w:r w:rsidRPr="0060216C">
        <w:rPr>
          <w:rFonts w:eastAsia="Arial" w:cs="Arial"/>
          <w:i w:val="0"/>
          <w:spacing w:val="28"/>
          <w:szCs w:val="20"/>
          <w:lang w:val="es-CO"/>
        </w:rPr>
        <w:t xml:space="preserve"> </w:t>
      </w:r>
      <w:r w:rsidRPr="0060216C">
        <w:rPr>
          <w:rFonts w:eastAsia="Arial" w:cs="Arial"/>
          <w:i w:val="0"/>
          <w:spacing w:val="1"/>
          <w:szCs w:val="20"/>
          <w:lang w:val="es-CO"/>
        </w:rPr>
        <w:t>pe</w:t>
      </w:r>
      <w:r w:rsidRPr="0060216C">
        <w:rPr>
          <w:rFonts w:eastAsia="Arial" w:cs="Arial"/>
          <w:i w:val="0"/>
          <w:szCs w:val="20"/>
          <w:lang w:val="es-CO"/>
        </w:rPr>
        <w:t>r</w:t>
      </w:r>
      <w:r w:rsidRPr="0060216C">
        <w:rPr>
          <w:rFonts w:eastAsia="Arial" w:cs="Arial"/>
          <w:i w:val="0"/>
          <w:spacing w:val="-1"/>
          <w:szCs w:val="20"/>
          <w:lang w:val="es-CO"/>
        </w:rPr>
        <w:t>m</w:t>
      </w:r>
      <w:r w:rsidRPr="0060216C">
        <w:rPr>
          <w:rFonts w:eastAsia="Arial" w:cs="Arial"/>
          <w:i w:val="0"/>
          <w:spacing w:val="1"/>
          <w:szCs w:val="20"/>
          <w:lang w:val="es-CO"/>
        </w:rPr>
        <w:t>a</w:t>
      </w:r>
      <w:r w:rsidRPr="0060216C">
        <w:rPr>
          <w:rFonts w:eastAsia="Arial" w:cs="Arial"/>
          <w:i w:val="0"/>
          <w:spacing w:val="-1"/>
          <w:szCs w:val="20"/>
          <w:lang w:val="es-CO"/>
        </w:rPr>
        <w:t>n</w:t>
      </w:r>
      <w:r w:rsidRPr="0060216C">
        <w:rPr>
          <w:rFonts w:eastAsia="Arial" w:cs="Arial"/>
          <w:i w:val="0"/>
          <w:spacing w:val="1"/>
          <w:szCs w:val="20"/>
          <w:lang w:val="es-CO"/>
        </w:rPr>
        <w:t>en</w:t>
      </w:r>
      <w:r w:rsidRPr="0060216C">
        <w:rPr>
          <w:rFonts w:eastAsia="Arial" w:cs="Arial"/>
          <w:i w:val="0"/>
          <w:spacing w:val="-2"/>
          <w:szCs w:val="20"/>
          <w:lang w:val="es-CO"/>
        </w:rPr>
        <w:t>t</w:t>
      </w:r>
      <w:r w:rsidRPr="0060216C">
        <w:rPr>
          <w:rFonts w:eastAsia="Arial" w:cs="Arial"/>
          <w:i w:val="0"/>
          <w:szCs w:val="20"/>
          <w:lang w:val="es-CO"/>
        </w:rPr>
        <w:t>e</w:t>
      </w:r>
      <w:r w:rsidRPr="0060216C">
        <w:rPr>
          <w:rFonts w:eastAsia="Arial" w:cs="Arial"/>
          <w:i w:val="0"/>
          <w:spacing w:val="31"/>
          <w:szCs w:val="20"/>
          <w:lang w:val="es-CO"/>
        </w:rPr>
        <w:t xml:space="preserve"> </w:t>
      </w:r>
      <w:r w:rsidRPr="0060216C">
        <w:rPr>
          <w:rFonts w:eastAsia="Arial" w:cs="Arial"/>
          <w:i w:val="0"/>
          <w:spacing w:val="-1"/>
          <w:szCs w:val="20"/>
          <w:lang w:val="es-CO"/>
        </w:rPr>
        <w:t>e</w:t>
      </w:r>
      <w:r w:rsidRPr="0060216C">
        <w:rPr>
          <w:rFonts w:eastAsia="Arial" w:cs="Arial"/>
          <w:i w:val="0"/>
          <w:szCs w:val="20"/>
          <w:lang w:val="es-CO"/>
        </w:rPr>
        <w:t>n</w:t>
      </w:r>
      <w:r w:rsidRPr="0060216C">
        <w:rPr>
          <w:rFonts w:eastAsia="Arial" w:cs="Arial"/>
          <w:i w:val="0"/>
          <w:spacing w:val="32"/>
          <w:szCs w:val="20"/>
          <w:lang w:val="es-CO"/>
        </w:rPr>
        <w:t xml:space="preserve"> </w:t>
      </w:r>
      <w:r w:rsidRPr="0060216C">
        <w:rPr>
          <w:rFonts w:eastAsia="Arial" w:cs="Arial"/>
          <w:i w:val="0"/>
          <w:spacing w:val="1"/>
          <w:szCs w:val="20"/>
          <w:lang w:val="es-CO"/>
        </w:rPr>
        <w:t>e</w:t>
      </w:r>
      <w:r w:rsidRPr="0060216C">
        <w:rPr>
          <w:rFonts w:eastAsia="Arial" w:cs="Arial"/>
          <w:i w:val="0"/>
          <w:szCs w:val="20"/>
          <w:lang w:val="es-CO"/>
        </w:rPr>
        <w:t>l</w:t>
      </w:r>
      <w:r w:rsidRPr="0060216C">
        <w:rPr>
          <w:rFonts w:eastAsia="Arial" w:cs="Arial"/>
          <w:i w:val="0"/>
          <w:spacing w:val="31"/>
          <w:szCs w:val="20"/>
          <w:lang w:val="es-CO"/>
        </w:rPr>
        <w:t xml:space="preserve"> </w:t>
      </w:r>
      <w:r w:rsidRPr="0060216C">
        <w:rPr>
          <w:rFonts w:eastAsia="Arial" w:cs="Arial"/>
          <w:i w:val="0"/>
          <w:szCs w:val="20"/>
          <w:lang w:val="es-CO"/>
        </w:rPr>
        <w:t>sist</w:t>
      </w:r>
      <w:r w:rsidRPr="0060216C">
        <w:rPr>
          <w:rFonts w:eastAsia="Arial" w:cs="Arial"/>
          <w:i w:val="0"/>
          <w:spacing w:val="1"/>
          <w:szCs w:val="20"/>
          <w:lang w:val="es-CO"/>
        </w:rPr>
        <w:t>e</w:t>
      </w:r>
      <w:r w:rsidRPr="0060216C">
        <w:rPr>
          <w:rFonts w:eastAsia="Arial" w:cs="Arial"/>
          <w:i w:val="0"/>
          <w:spacing w:val="-1"/>
          <w:szCs w:val="20"/>
          <w:lang w:val="es-CO"/>
        </w:rPr>
        <w:t>m</w:t>
      </w:r>
      <w:r w:rsidRPr="0060216C">
        <w:rPr>
          <w:rFonts w:eastAsia="Arial" w:cs="Arial"/>
          <w:i w:val="0"/>
          <w:szCs w:val="20"/>
          <w:lang w:val="es-CO"/>
        </w:rPr>
        <w:t>a</w:t>
      </w:r>
      <w:r w:rsidRPr="0060216C">
        <w:rPr>
          <w:rFonts w:eastAsia="Arial" w:cs="Arial"/>
          <w:i w:val="0"/>
          <w:spacing w:val="1"/>
          <w:szCs w:val="20"/>
          <w:lang w:val="es-CO"/>
        </w:rPr>
        <w:t xml:space="preserve"> d</w:t>
      </w:r>
      <w:r w:rsidRPr="0060216C">
        <w:rPr>
          <w:rFonts w:eastAsia="Arial" w:cs="Arial"/>
          <w:i w:val="0"/>
          <w:szCs w:val="20"/>
          <w:lang w:val="es-CO"/>
        </w:rPr>
        <w:t>e</w:t>
      </w:r>
      <w:r w:rsidRPr="0060216C">
        <w:rPr>
          <w:rFonts w:eastAsia="Arial" w:cs="Arial"/>
          <w:i w:val="0"/>
          <w:spacing w:val="3"/>
          <w:szCs w:val="20"/>
          <w:lang w:val="es-CO"/>
        </w:rPr>
        <w:t xml:space="preserve"> </w:t>
      </w:r>
      <w:r w:rsidRPr="0060216C">
        <w:rPr>
          <w:rFonts w:eastAsia="Arial" w:cs="Arial"/>
          <w:i w:val="0"/>
          <w:szCs w:val="20"/>
          <w:lang w:val="es-CO"/>
        </w:rPr>
        <w:t>s</w:t>
      </w:r>
      <w:r w:rsidRPr="0060216C">
        <w:rPr>
          <w:rFonts w:eastAsia="Arial" w:cs="Arial"/>
          <w:i w:val="0"/>
          <w:spacing w:val="1"/>
          <w:szCs w:val="20"/>
          <w:lang w:val="es-CO"/>
        </w:rPr>
        <w:t>a</w:t>
      </w:r>
      <w:r w:rsidRPr="0060216C">
        <w:rPr>
          <w:rFonts w:eastAsia="Arial" w:cs="Arial"/>
          <w:i w:val="0"/>
          <w:szCs w:val="20"/>
          <w:lang w:val="es-CO"/>
        </w:rPr>
        <w:t>lud de medicamentos de bajo costo</w:t>
      </w:r>
      <w:r w:rsidR="006D1041">
        <w:rPr>
          <w:rFonts w:eastAsia="Arial" w:cs="Arial"/>
          <w:i w:val="0"/>
          <w:szCs w:val="20"/>
          <w:lang w:val="es-CO"/>
        </w:rPr>
        <w:t>,</w:t>
      </w:r>
      <w:r w:rsidRPr="0060216C">
        <w:rPr>
          <w:rFonts w:eastAsia="Arial" w:cs="Arial"/>
          <w:i w:val="0"/>
          <w:szCs w:val="20"/>
          <w:lang w:val="es-CO"/>
        </w:rPr>
        <w:t xml:space="preserve"> al no permitirle al Estado disponer de forma efectiva de sus recursos económicos. Específicamente, sostuvieron que Guatemala adoptó normas que no permiten acceder de manera permanente a los medicamentos necesarios para personas </w:t>
      </w:r>
      <w:r w:rsidR="006D1041">
        <w:rPr>
          <w:rFonts w:eastAsia="Arial" w:cs="Arial"/>
          <w:i w:val="0"/>
          <w:szCs w:val="20"/>
          <w:lang w:val="es-CO"/>
        </w:rPr>
        <w:t xml:space="preserve">que viven </w:t>
      </w:r>
      <w:r w:rsidRPr="0060216C">
        <w:rPr>
          <w:rFonts w:eastAsia="Arial" w:cs="Arial"/>
          <w:i w:val="0"/>
          <w:szCs w:val="20"/>
          <w:lang w:val="es-CO"/>
        </w:rPr>
        <w:t>con</w:t>
      </w:r>
      <w:r w:rsidR="006D1041">
        <w:rPr>
          <w:rFonts w:eastAsia="Arial" w:cs="Arial"/>
          <w:i w:val="0"/>
          <w:szCs w:val="20"/>
          <w:lang w:val="es-CO"/>
        </w:rPr>
        <w:t xml:space="preserve"> el</w:t>
      </w:r>
      <w:r w:rsidRPr="0060216C">
        <w:rPr>
          <w:rFonts w:eastAsia="Arial" w:cs="Arial"/>
          <w:i w:val="0"/>
          <w:szCs w:val="20"/>
          <w:lang w:val="es-CO"/>
        </w:rPr>
        <w:t xml:space="preserve"> VIH, lo que ha impactado de forma directa a las presuntas víctimas. En ese sentido, la Ley de Propiedad Industrial estableció una limitación al comercio legítimo de medicamentos genéricos, impactando el acceso a tratamientos para personas</w:t>
      </w:r>
      <w:r w:rsidR="006D1041">
        <w:rPr>
          <w:rFonts w:eastAsia="Arial" w:cs="Arial"/>
          <w:i w:val="0"/>
          <w:szCs w:val="20"/>
          <w:lang w:val="es-CO"/>
        </w:rPr>
        <w:t xml:space="preserve"> que viven</w:t>
      </w:r>
      <w:r w:rsidRPr="0060216C">
        <w:rPr>
          <w:rFonts w:eastAsia="Arial" w:cs="Arial"/>
          <w:i w:val="0"/>
          <w:szCs w:val="20"/>
          <w:lang w:val="es-CO"/>
        </w:rPr>
        <w:t xml:space="preserve"> con</w:t>
      </w:r>
      <w:r w:rsidR="006D1041">
        <w:rPr>
          <w:rFonts w:eastAsia="Arial" w:cs="Arial"/>
          <w:i w:val="0"/>
          <w:szCs w:val="20"/>
          <w:lang w:val="es-CO"/>
        </w:rPr>
        <w:t xml:space="preserve"> el</w:t>
      </w:r>
      <w:r w:rsidRPr="0060216C">
        <w:rPr>
          <w:rFonts w:eastAsia="Arial" w:cs="Arial"/>
          <w:i w:val="0"/>
          <w:szCs w:val="20"/>
          <w:lang w:val="es-CO"/>
        </w:rPr>
        <w:t xml:space="preserve"> VIH. De igual forma, alegaron que dichas medidas han estado acompañadas por prácticas y normativa en materia de contratación administrativa que han impedido una disposición adecuada de los recursos disponibles para acceder a medicamentos. Asimismo, los representantes alegaron que la corrupción ha sido un obstáculo para disponer de forma efectiva de los recursos disponibles y con ello garantizar el derecho a la salud.</w:t>
      </w:r>
    </w:p>
    <w:p w14:paraId="6B826831"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4F20C67E" w14:textId="7AB0A52C" w:rsidR="00F46845" w:rsidRPr="00E92CA8" w:rsidRDefault="00F46845" w:rsidP="00E92CA8">
      <w:pPr>
        <w:pStyle w:val="Estilo1"/>
        <w:numPr>
          <w:ilvl w:val="0"/>
          <w:numId w:val="3"/>
        </w:numPr>
        <w:tabs>
          <w:tab w:val="left" w:pos="709"/>
          <w:tab w:val="left" w:pos="1134"/>
        </w:tabs>
        <w:spacing w:after="0"/>
        <w:ind w:left="0" w:right="-4" w:firstLine="0"/>
        <w:rPr>
          <w:i w:val="0"/>
          <w:spacing w:val="1"/>
          <w:w w:val="106"/>
          <w:szCs w:val="20"/>
          <w:lang w:val="es-CO"/>
        </w:rPr>
      </w:pPr>
      <w:r w:rsidRPr="0060216C">
        <w:rPr>
          <w:i w:val="0"/>
          <w:szCs w:val="20"/>
          <w:lang w:val="es-CR"/>
        </w:rPr>
        <w:t xml:space="preserve">El </w:t>
      </w:r>
      <w:r w:rsidRPr="00A56166">
        <w:rPr>
          <w:b/>
          <w:szCs w:val="20"/>
          <w:lang w:val="es-CR"/>
        </w:rPr>
        <w:t>Estado</w:t>
      </w:r>
      <w:r w:rsidRPr="0060216C">
        <w:rPr>
          <w:b/>
          <w:i w:val="0"/>
          <w:szCs w:val="20"/>
          <w:lang w:val="es-CR"/>
        </w:rPr>
        <w:t xml:space="preserve"> </w:t>
      </w:r>
      <w:r w:rsidRPr="0060216C">
        <w:rPr>
          <w:rFonts w:eastAsia="Times New Roman" w:cs="Times New Roman"/>
          <w:i w:val="0"/>
          <w:szCs w:val="20"/>
          <w:lang w:val="es-CO"/>
        </w:rPr>
        <w:t>manifestó que</w:t>
      </w:r>
      <w:r w:rsidRPr="0060216C">
        <w:rPr>
          <w:rFonts w:eastAsia="Times New Roman" w:cs="Times New Roman"/>
          <w:i w:val="0"/>
          <w:spacing w:val="3"/>
          <w:szCs w:val="20"/>
          <w:lang w:val="es-CO"/>
        </w:rPr>
        <w:t xml:space="preserve"> </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dop</w:t>
      </w:r>
      <w:r w:rsidRPr="0060216C">
        <w:rPr>
          <w:rFonts w:eastAsia="Times New Roman" w:cs="Times New Roman"/>
          <w:i w:val="0"/>
          <w:spacing w:val="-1"/>
          <w:szCs w:val="20"/>
          <w:lang w:val="es-CO"/>
        </w:rPr>
        <w:t>t</w:t>
      </w:r>
      <w:r w:rsidRPr="0060216C">
        <w:rPr>
          <w:rFonts w:eastAsia="Times New Roman" w:cs="Times New Roman"/>
          <w:i w:val="0"/>
          <w:szCs w:val="20"/>
          <w:lang w:val="es-CO"/>
        </w:rPr>
        <w:t xml:space="preserve">ó </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od</w:t>
      </w:r>
      <w:r w:rsidRPr="0060216C">
        <w:rPr>
          <w:rFonts w:eastAsia="Times New Roman" w:cs="Times New Roman"/>
          <w:i w:val="0"/>
          <w:spacing w:val="-2"/>
          <w:szCs w:val="20"/>
          <w:lang w:val="es-CO"/>
        </w:rPr>
        <w:t>a</w:t>
      </w:r>
      <w:r w:rsidRPr="0060216C">
        <w:rPr>
          <w:rFonts w:eastAsia="Times New Roman" w:cs="Times New Roman"/>
          <w:i w:val="0"/>
          <w:szCs w:val="20"/>
          <w:lang w:val="es-CO"/>
        </w:rPr>
        <w:t>s</w:t>
      </w:r>
      <w:r w:rsidRPr="0060216C">
        <w:rPr>
          <w:rFonts w:eastAsia="Times New Roman" w:cs="Times New Roman"/>
          <w:i w:val="0"/>
          <w:spacing w:val="1"/>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a</w:t>
      </w:r>
      <w:r w:rsidRPr="0060216C">
        <w:rPr>
          <w:rFonts w:eastAsia="Times New Roman" w:cs="Times New Roman"/>
          <w:i w:val="0"/>
          <w:szCs w:val="20"/>
          <w:lang w:val="es-CO"/>
        </w:rPr>
        <w:t>s</w:t>
      </w:r>
      <w:r w:rsidRPr="0060216C">
        <w:rPr>
          <w:rFonts w:eastAsia="Times New Roman" w:cs="Times New Roman"/>
          <w:i w:val="0"/>
          <w:spacing w:val="1"/>
          <w:szCs w:val="20"/>
          <w:lang w:val="es-CO"/>
        </w:rPr>
        <w:t xml:space="preserve"> m</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d</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a</w:t>
      </w:r>
      <w:r w:rsidRPr="0060216C">
        <w:rPr>
          <w:rFonts w:eastAsia="Times New Roman" w:cs="Times New Roman"/>
          <w:i w:val="0"/>
          <w:szCs w:val="20"/>
          <w:lang w:val="es-CO"/>
        </w:rPr>
        <w:t>s</w:t>
      </w:r>
      <w:r w:rsidRPr="0060216C">
        <w:rPr>
          <w:rFonts w:eastAsia="Times New Roman" w:cs="Times New Roman"/>
          <w:i w:val="0"/>
          <w:spacing w:val="1"/>
          <w:szCs w:val="20"/>
          <w:lang w:val="es-CO"/>
        </w:rPr>
        <w:t xml:space="preserve"> </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s</w:t>
      </w:r>
      <w:r w:rsidRPr="0060216C">
        <w:rPr>
          <w:rFonts w:eastAsia="Times New Roman" w:cs="Times New Roman"/>
          <w:i w:val="0"/>
          <w:szCs w:val="20"/>
          <w:lang w:val="es-CO"/>
        </w:rPr>
        <w:t xml:space="preserve">u </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ce</w:t>
      </w:r>
      <w:r w:rsidRPr="0060216C">
        <w:rPr>
          <w:rFonts w:eastAsia="Times New Roman" w:cs="Times New Roman"/>
          <w:i w:val="0"/>
          <w:szCs w:val="20"/>
          <w:lang w:val="es-CO"/>
        </w:rPr>
        <w:t>,</w:t>
      </w:r>
      <w:r w:rsidRPr="0060216C">
        <w:rPr>
          <w:rFonts w:eastAsia="Times New Roman" w:cs="Times New Roman"/>
          <w:i w:val="0"/>
          <w:spacing w:val="3"/>
          <w:szCs w:val="20"/>
          <w:lang w:val="es-CO"/>
        </w:rPr>
        <w:t xml:space="preserve"> </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u</w:t>
      </w:r>
      <w:r w:rsidRPr="0060216C">
        <w:rPr>
          <w:rFonts w:eastAsia="Times New Roman" w:cs="Times New Roman"/>
          <w:i w:val="0"/>
          <w:spacing w:val="-2"/>
          <w:szCs w:val="20"/>
          <w:lang w:val="es-CO"/>
        </w:rPr>
        <w:t>y</w:t>
      </w:r>
      <w:r w:rsidRPr="0060216C">
        <w:rPr>
          <w:rFonts w:eastAsia="Times New Roman" w:cs="Times New Roman"/>
          <w:i w:val="0"/>
          <w:spacing w:val="2"/>
          <w:szCs w:val="20"/>
          <w:lang w:val="es-CO"/>
        </w:rPr>
        <w:t>end</w:t>
      </w:r>
      <w:r w:rsidRPr="0060216C">
        <w:rPr>
          <w:rFonts w:eastAsia="Times New Roman" w:cs="Times New Roman"/>
          <w:i w:val="0"/>
          <w:szCs w:val="20"/>
          <w:lang w:val="es-CO"/>
        </w:rPr>
        <w:t>o</w:t>
      </w:r>
      <w:r w:rsidRPr="0060216C">
        <w:rPr>
          <w:rFonts w:eastAsia="Times New Roman" w:cs="Times New Roman"/>
          <w:i w:val="0"/>
          <w:spacing w:val="4"/>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ve</w:t>
      </w:r>
      <w:r w:rsidRPr="0060216C">
        <w:rPr>
          <w:rFonts w:eastAsia="Times New Roman" w:cs="Times New Roman"/>
          <w:i w:val="0"/>
          <w:spacing w:val="-1"/>
          <w:szCs w:val="20"/>
          <w:lang w:val="es-CO"/>
        </w:rPr>
        <w:t>r</w:t>
      </w:r>
      <w:r w:rsidRPr="0060216C">
        <w:rPr>
          <w:rFonts w:eastAsia="Times New Roman" w:cs="Times New Roman"/>
          <w:i w:val="0"/>
          <w:spacing w:val="3"/>
          <w:szCs w:val="20"/>
          <w:lang w:val="es-CO"/>
        </w:rPr>
        <w:t>t</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i</w:t>
      </w:r>
      <w:r w:rsidRPr="0060216C">
        <w:rPr>
          <w:rFonts w:eastAsia="Times New Roman" w:cs="Times New Roman"/>
          <w:i w:val="0"/>
          <w:szCs w:val="20"/>
          <w:lang w:val="es-CO"/>
        </w:rPr>
        <w:t>a</w:t>
      </w:r>
      <w:r w:rsidRPr="0060216C">
        <w:rPr>
          <w:rFonts w:eastAsia="Times New Roman" w:cs="Times New Roman"/>
          <w:i w:val="0"/>
          <w:spacing w:val="15"/>
          <w:szCs w:val="20"/>
          <w:lang w:val="es-CO"/>
        </w:rPr>
        <w:t xml:space="preserve"> </w:t>
      </w:r>
      <w:r w:rsidRPr="0060216C">
        <w:rPr>
          <w:rFonts w:eastAsia="Times New Roman" w:cs="Times New Roman"/>
          <w:i w:val="0"/>
          <w:spacing w:val="-2"/>
          <w:szCs w:val="20"/>
          <w:lang w:val="es-CO"/>
        </w:rPr>
        <w:t>a</w:t>
      </w:r>
      <w:r w:rsidRPr="0060216C">
        <w:rPr>
          <w:rFonts w:eastAsia="Times New Roman" w:cs="Times New Roman"/>
          <w:i w:val="0"/>
          <w:szCs w:val="20"/>
          <w:lang w:val="es-CO"/>
        </w:rPr>
        <w:t>l</w:t>
      </w:r>
      <w:r w:rsidRPr="0060216C">
        <w:rPr>
          <w:rFonts w:eastAsia="Times New Roman" w:cs="Times New Roman"/>
          <w:i w:val="0"/>
          <w:spacing w:val="12"/>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ac</w:t>
      </w:r>
      <w:r w:rsidRPr="0060216C">
        <w:rPr>
          <w:rFonts w:eastAsia="Times New Roman" w:cs="Times New Roman"/>
          <w:i w:val="0"/>
          <w:spacing w:val="3"/>
          <w:szCs w:val="20"/>
          <w:lang w:val="es-CO"/>
        </w:rPr>
        <w:t>i</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n</w:t>
      </w:r>
      <w:r w:rsidRPr="0060216C">
        <w:rPr>
          <w:rFonts w:eastAsia="Times New Roman" w:cs="Times New Roman"/>
          <w:i w:val="0"/>
          <w:spacing w:val="-1"/>
          <w:szCs w:val="20"/>
          <w:lang w:val="es-CO"/>
        </w:rPr>
        <w:t>t</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pacing w:val="2"/>
          <w:szCs w:val="20"/>
          <w:lang w:val="es-CO"/>
        </w:rPr>
        <w:t>d</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zCs w:val="20"/>
          <w:lang w:val="es-CO"/>
        </w:rPr>
        <w:t>o</w:t>
      </w:r>
      <w:r w:rsidRPr="0060216C">
        <w:rPr>
          <w:rFonts w:eastAsia="Times New Roman" w:cs="Times New Roman"/>
          <w:i w:val="0"/>
          <w:spacing w:val="15"/>
          <w:szCs w:val="20"/>
          <w:lang w:val="es-CO"/>
        </w:rPr>
        <w:t xml:space="preserve"> </w:t>
      </w:r>
      <w:r w:rsidRPr="0060216C">
        <w:rPr>
          <w:rFonts w:eastAsia="Times New Roman" w:cs="Times New Roman"/>
          <w:i w:val="0"/>
          <w:spacing w:val="2"/>
          <w:szCs w:val="20"/>
          <w:lang w:val="es-CO"/>
        </w:rPr>
        <w:t>q</w:t>
      </w:r>
      <w:r w:rsidRPr="0060216C">
        <w:rPr>
          <w:rFonts w:eastAsia="Times New Roman" w:cs="Times New Roman"/>
          <w:i w:val="0"/>
          <w:spacing w:val="-2"/>
          <w:szCs w:val="20"/>
          <w:lang w:val="es-CO"/>
        </w:rPr>
        <w:t>u</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b</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zCs w:val="20"/>
          <w:lang w:val="es-CO"/>
        </w:rPr>
        <w:t>y</w:t>
      </w:r>
      <w:r w:rsidRPr="0060216C">
        <w:rPr>
          <w:rFonts w:eastAsia="Times New Roman" w:cs="Times New Roman"/>
          <w:i w:val="0"/>
          <w:spacing w:val="11"/>
          <w:szCs w:val="20"/>
          <w:lang w:val="es-CO"/>
        </w:rPr>
        <w:t xml:space="preserve"> </w:t>
      </w:r>
      <w:r w:rsidRPr="0060216C">
        <w:rPr>
          <w:rFonts w:eastAsia="Times New Roman" w:cs="Times New Roman"/>
          <w:i w:val="0"/>
          <w:spacing w:val="-2"/>
          <w:szCs w:val="20"/>
          <w:lang w:val="es-CO"/>
        </w:rPr>
        <w:t>n</w:t>
      </w:r>
      <w:r w:rsidRPr="0060216C">
        <w:rPr>
          <w:rFonts w:eastAsia="Times New Roman" w:cs="Times New Roman"/>
          <w:i w:val="0"/>
          <w:szCs w:val="20"/>
          <w:lang w:val="es-CO"/>
        </w:rPr>
        <w:t>o</w:t>
      </w:r>
      <w:r w:rsidRPr="0060216C">
        <w:rPr>
          <w:rFonts w:eastAsia="Times New Roman" w:cs="Times New Roman"/>
          <w:i w:val="0"/>
          <w:spacing w:val="15"/>
          <w:szCs w:val="20"/>
          <w:lang w:val="es-CO"/>
        </w:rPr>
        <w:t xml:space="preserve"> </w:t>
      </w:r>
      <w:r w:rsidRPr="0060216C">
        <w:rPr>
          <w:rFonts w:eastAsia="Times New Roman" w:cs="Times New Roman"/>
          <w:i w:val="0"/>
          <w:spacing w:val="-2"/>
          <w:szCs w:val="20"/>
          <w:lang w:val="es-CO"/>
        </w:rPr>
        <w:t>de</w:t>
      </w:r>
      <w:r w:rsidRPr="0060216C">
        <w:rPr>
          <w:rFonts w:eastAsia="Times New Roman" w:cs="Times New Roman"/>
          <w:i w:val="0"/>
          <w:spacing w:val="2"/>
          <w:szCs w:val="20"/>
          <w:lang w:val="es-CO"/>
        </w:rPr>
        <w:t>b</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pacing w:val="-2"/>
          <w:szCs w:val="20"/>
          <w:lang w:val="es-CO"/>
        </w:rPr>
        <w:t>ha</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r</w:t>
      </w:r>
      <w:r w:rsidRPr="0060216C">
        <w:rPr>
          <w:rFonts w:eastAsia="Times New Roman" w:cs="Times New Roman"/>
          <w:i w:val="0"/>
          <w:szCs w:val="20"/>
          <w:lang w:val="es-CO"/>
        </w:rPr>
        <w:t>, por lo que</w:t>
      </w:r>
      <w:r w:rsidRPr="0060216C">
        <w:rPr>
          <w:rFonts w:eastAsia="Times New Roman" w:cs="Times New Roman"/>
          <w:i w:val="0"/>
          <w:spacing w:val="14"/>
          <w:szCs w:val="20"/>
          <w:lang w:val="es-CO"/>
        </w:rPr>
        <w:t xml:space="preserve"> </w:t>
      </w:r>
      <w:r w:rsidRPr="0060216C">
        <w:rPr>
          <w:rFonts w:eastAsia="Times New Roman" w:cs="Times New Roman"/>
          <w:i w:val="0"/>
          <w:spacing w:val="-2"/>
          <w:szCs w:val="20"/>
          <w:lang w:val="es-CO"/>
        </w:rPr>
        <w:t>n</w:t>
      </w:r>
      <w:r w:rsidRPr="0060216C">
        <w:rPr>
          <w:rFonts w:eastAsia="Times New Roman" w:cs="Times New Roman"/>
          <w:i w:val="0"/>
          <w:szCs w:val="20"/>
          <w:lang w:val="es-CO"/>
        </w:rPr>
        <w:t>o</w:t>
      </w:r>
      <w:r w:rsidRPr="0060216C">
        <w:rPr>
          <w:rFonts w:eastAsia="Times New Roman" w:cs="Times New Roman"/>
          <w:i w:val="0"/>
          <w:spacing w:val="15"/>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ue</w:t>
      </w:r>
      <w:r w:rsidRPr="0060216C">
        <w:rPr>
          <w:rFonts w:eastAsia="Times New Roman" w:cs="Times New Roman"/>
          <w:i w:val="0"/>
          <w:spacing w:val="2"/>
          <w:szCs w:val="20"/>
          <w:lang w:val="es-CO"/>
        </w:rPr>
        <w:t>d</w:t>
      </w:r>
      <w:r w:rsidRPr="0060216C">
        <w:rPr>
          <w:rFonts w:eastAsia="Times New Roman" w:cs="Times New Roman"/>
          <w:i w:val="0"/>
          <w:szCs w:val="20"/>
          <w:lang w:val="es-CO"/>
        </w:rPr>
        <w:t>e</w:t>
      </w:r>
      <w:r w:rsidRPr="0060216C">
        <w:rPr>
          <w:rFonts w:eastAsia="Times New Roman" w:cs="Times New Roman"/>
          <w:i w:val="0"/>
          <w:spacing w:val="11"/>
          <w:szCs w:val="20"/>
          <w:lang w:val="es-CO"/>
        </w:rPr>
        <w:t xml:space="preserve"> </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d</w:t>
      </w:r>
      <w:r w:rsidRPr="0060216C">
        <w:rPr>
          <w:rFonts w:eastAsia="Times New Roman" w:cs="Times New Roman"/>
          <w:i w:val="0"/>
          <w:spacing w:val="-1"/>
          <w:szCs w:val="20"/>
          <w:lang w:val="es-CO"/>
        </w:rPr>
        <w:t>i</w:t>
      </w:r>
      <w:r w:rsidRPr="0060216C">
        <w:rPr>
          <w:rFonts w:eastAsia="Times New Roman" w:cs="Times New Roman"/>
          <w:i w:val="0"/>
          <w:spacing w:val="3"/>
          <w:szCs w:val="20"/>
          <w:lang w:val="es-CO"/>
        </w:rPr>
        <w:t>t</w:t>
      </w:r>
      <w:r w:rsidRPr="0060216C">
        <w:rPr>
          <w:rFonts w:eastAsia="Times New Roman" w:cs="Times New Roman"/>
          <w:i w:val="0"/>
          <w:spacing w:val="-2"/>
          <w:szCs w:val="20"/>
          <w:lang w:val="es-CO"/>
        </w:rPr>
        <w:t>á</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e</w:t>
      </w:r>
      <w:r w:rsidRPr="0060216C">
        <w:rPr>
          <w:rFonts w:eastAsia="Times New Roman" w:cs="Times New Roman"/>
          <w:i w:val="0"/>
          <w:spacing w:val="3"/>
          <w:szCs w:val="20"/>
          <w:lang w:val="es-CO"/>
        </w:rPr>
        <w:t>l</w:t>
      </w:r>
      <w:r w:rsidRPr="0060216C">
        <w:rPr>
          <w:rFonts w:eastAsia="Times New Roman" w:cs="Times New Roman"/>
          <w:i w:val="0"/>
          <w:szCs w:val="20"/>
          <w:lang w:val="es-CO"/>
        </w:rPr>
        <w:t>e</w:t>
      </w:r>
      <w:r w:rsidRPr="0060216C">
        <w:rPr>
          <w:rFonts w:eastAsia="Times New Roman" w:cs="Times New Roman"/>
          <w:i w:val="0"/>
          <w:spacing w:val="12"/>
          <w:szCs w:val="20"/>
          <w:lang w:val="es-CO"/>
        </w:rPr>
        <w:t xml:space="preserve"> </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es</w:t>
      </w:r>
      <w:r w:rsidRPr="0060216C">
        <w:rPr>
          <w:rFonts w:eastAsia="Times New Roman" w:cs="Times New Roman"/>
          <w:i w:val="0"/>
          <w:spacing w:val="2"/>
          <w:szCs w:val="20"/>
          <w:lang w:val="es-CO"/>
        </w:rPr>
        <w:t>po</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b</w:t>
      </w:r>
      <w:r w:rsidRPr="0060216C">
        <w:rPr>
          <w:rFonts w:eastAsia="Times New Roman" w:cs="Times New Roman"/>
          <w:i w:val="0"/>
          <w:spacing w:val="-1"/>
          <w:szCs w:val="20"/>
          <w:lang w:val="es-CO"/>
        </w:rPr>
        <w:t>il</w:t>
      </w:r>
      <w:r w:rsidRPr="0060216C">
        <w:rPr>
          <w:rFonts w:eastAsia="Times New Roman" w:cs="Times New Roman"/>
          <w:i w:val="0"/>
          <w:spacing w:val="3"/>
          <w:szCs w:val="20"/>
          <w:lang w:val="es-CO"/>
        </w:rPr>
        <w:t>i</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a</w:t>
      </w:r>
      <w:r w:rsidRPr="0060216C">
        <w:rPr>
          <w:rFonts w:eastAsia="Times New Roman" w:cs="Times New Roman"/>
          <w:i w:val="0"/>
          <w:szCs w:val="20"/>
          <w:lang w:val="es-CO"/>
        </w:rPr>
        <w:t xml:space="preserve">d </w:t>
      </w:r>
      <w:r w:rsidRPr="0060216C">
        <w:rPr>
          <w:rFonts w:eastAsia="Times New Roman" w:cs="Times New Roman"/>
          <w:i w:val="0"/>
          <w:spacing w:val="-2"/>
          <w:szCs w:val="20"/>
          <w:lang w:val="es-CO"/>
        </w:rPr>
        <w:t>e</w:t>
      </w:r>
      <w:r w:rsidRPr="0060216C">
        <w:rPr>
          <w:rFonts w:eastAsia="Times New Roman" w:cs="Times New Roman"/>
          <w:i w:val="0"/>
          <w:szCs w:val="20"/>
          <w:lang w:val="es-CO"/>
        </w:rPr>
        <w:t xml:space="preserve">n </w:t>
      </w:r>
      <w:r w:rsidRPr="0060216C">
        <w:rPr>
          <w:rFonts w:eastAsia="Times New Roman" w:cs="Times New Roman"/>
          <w:i w:val="0"/>
          <w:spacing w:val="-2"/>
          <w:szCs w:val="20"/>
          <w:lang w:val="es-CO"/>
        </w:rPr>
        <w:t>sen</w:t>
      </w:r>
      <w:r w:rsidRPr="0060216C">
        <w:rPr>
          <w:rFonts w:eastAsia="Times New Roman" w:cs="Times New Roman"/>
          <w:i w:val="0"/>
          <w:spacing w:val="3"/>
          <w:szCs w:val="20"/>
          <w:lang w:val="es-CO"/>
        </w:rPr>
        <w:t>t</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d</w:t>
      </w:r>
      <w:r w:rsidRPr="0060216C">
        <w:rPr>
          <w:rFonts w:eastAsia="Times New Roman" w:cs="Times New Roman"/>
          <w:i w:val="0"/>
          <w:szCs w:val="20"/>
          <w:lang w:val="es-CO"/>
        </w:rPr>
        <w:t>o</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es</w:t>
      </w:r>
      <w:r w:rsidRPr="0060216C">
        <w:rPr>
          <w:rFonts w:eastAsia="Times New Roman" w:cs="Times New Roman"/>
          <w:i w:val="0"/>
          <w:spacing w:val="-1"/>
          <w:szCs w:val="20"/>
          <w:lang w:val="es-CO"/>
        </w:rPr>
        <w:t>tri</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o</w:t>
      </w:r>
      <w:r w:rsidRPr="0060216C">
        <w:rPr>
          <w:rFonts w:eastAsia="Times New Roman" w:cs="Times New Roman"/>
          <w:i w:val="0"/>
          <w:szCs w:val="20"/>
          <w:lang w:val="es-CO"/>
        </w:rPr>
        <w:t>,</w:t>
      </w:r>
      <w:r w:rsidRPr="0060216C">
        <w:rPr>
          <w:rFonts w:eastAsia="Times New Roman" w:cs="Times New Roman"/>
          <w:i w:val="0"/>
          <w:spacing w:val="3"/>
          <w:szCs w:val="20"/>
          <w:lang w:val="es-CO"/>
        </w:rPr>
        <w:t xml:space="preserve"> </w:t>
      </w:r>
      <w:r w:rsidRPr="0060216C">
        <w:rPr>
          <w:rFonts w:eastAsia="Times New Roman" w:cs="Times New Roman"/>
          <w:i w:val="0"/>
          <w:spacing w:val="-2"/>
          <w:szCs w:val="20"/>
          <w:lang w:val="es-CO"/>
        </w:rPr>
        <w:t>s</w:t>
      </w:r>
      <w:r w:rsidRPr="0060216C">
        <w:rPr>
          <w:rFonts w:eastAsia="Times New Roman" w:cs="Times New Roman"/>
          <w:i w:val="0"/>
          <w:szCs w:val="20"/>
          <w:lang w:val="es-CO"/>
        </w:rPr>
        <w:t>i</w:t>
      </w:r>
      <w:r w:rsidRPr="0060216C">
        <w:rPr>
          <w:rFonts w:eastAsia="Times New Roman" w:cs="Times New Roman"/>
          <w:i w:val="0"/>
          <w:spacing w:val="1"/>
          <w:szCs w:val="20"/>
          <w:lang w:val="es-CO"/>
        </w:rPr>
        <w:t xml:space="preserve"> </w:t>
      </w:r>
      <w:r w:rsidRPr="0060216C">
        <w:rPr>
          <w:rFonts w:eastAsia="Times New Roman" w:cs="Times New Roman"/>
          <w:i w:val="0"/>
          <w:spacing w:val="-2"/>
          <w:szCs w:val="20"/>
          <w:lang w:val="es-CO"/>
        </w:rPr>
        <w:t>e</w:t>
      </w:r>
      <w:r w:rsidRPr="0060216C">
        <w:rPr>
          <w:rFonts w:eastAsia="Times New Roman" w:cs="Times New Roman"/>
          <w:i w:val="0"/>
          <w:szCs w:val="20"/>
          <w:lang w:val="es-CO"/>
        </w:rPr>
        <w:t>l</w:t>
      </w:r>
      <w:r w:rsidRPr="0060216C">
        <w:rPr>
          <w:rFonts w:eastAsia="Times New Roman" w:cs="Times New Roman"/>
          <w:i w:val="0"/>
          <w:spacing w:val="1"/>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ac</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n</w:t>
      </w:r>
      <w:r w:rsidRPr="0060216C">
        <w:rPr>
          <w:rFonts w:eastAsia="Times New Roman" w:cs="Times New Roman"/>
          <w:i w:val="0"/>
          <w:spacing w:val="3"/>
          <w:szCs w:val="20"/>
          <w:lang w:val="es-CO"/>
        </w:rPr>
        <w:t>t</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n</w:t>
      </w:r>
      <w:r w:rsidRPr="0060216C">
        <w:rPr>
          <w:rFonts w:eastAsia="Times New Roman" w:cs="Times New Roman"/>
          <w:i w:val="0"/>
          <w:szCs w:val="20"/>
          <w:lang w:val="es-CO"/>
        </w:rPr>
        <w:t>o</w:t>
      </w:r>
      <w:r w:rsidRPr="0060216C">
        <w:rPr>
          <w:rFonts w:eastAsia="Times New Roman" w:cs="Times New Roman"/>
          <w:i w:val="0"/>
          <w:spacing w:val="4"/>
          <w:szCs w:val="20"/>
          <w:lang w:val="es-CO"/>
        </w:rPr>
        <w:t xml:space="preserve"> </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es</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t</w:t>
      </w:r>
      <w:r w:rsidRPr="0060216C">
        <w:rPr>
          <w:rFonts w:eastAsia="Times New Roman" w:cs="Times New Roman"/>
          <w:i w:val="0"/>
          <w:szCs w:val="20"/>
          <w:lang w:val="es-CO"/>
        </w:rPr>
        <w:t>ó</w:t>
      </w:r>
      <w:r w:rsidRPr="0060216C">
        <w:rPr>
          <w:rFonts w:eastAsia="Times New Roman" w:cs="Times New Roman"/>
          <w:i w:val="0"/>
          <w:spacing w:val="4"/>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a</w:t>
      </w:r>
      <w:r w:rsidRPr="0060216C">
        <w:rPr>
          <w:rFonts w:eastAsia="Times New Roman" w:cs="Times New Roman"/>
          <w:i w:val="0"/>
          <w:szCs w:val="20"/>
          <w:lang w:val="es-CO"/>
        </w:rPr>
        <w:t xml:space="preserve">s </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ec</w:t>
      </w:r>
      <w:r w:rsidRPr="0060216C">
        <w:rPr>
          <w:rFonts w:eastAsia="Times New Roman" w:cs="Times New Roman"/>
          <w:i w:val="0"/>
          <w:spacing w:val="2"/>
          <w:szCs w:val="20"/>
          <w:lang w:val="es-CO"/>
        </w:rPr>
        <w:t>o</w:t>
      </w:r>
      <w:r w:rsidRPr="0060216C">
        <w:rPr>
          <w:rFonts w:eastAsia="Times New Roman" w:cs="Times New Roman"/>
          <w:i w:val="0"/>
          <w:spacing w:val="1"/>
          <w:szCs w:val="20"/>
          <w:lang w:val="es-CO"/>
        </w:rPr>
        <w:t>m</w:t>
      </w:r>
      <w:r w:rsidRPr="0060216C">
        <w:rPr>
          <w:rFonts w:eastAsia="Times New Roman" w:cs="Times New Roman"/>
          <w:i w:val="0"/>
          <w:spacing w:val="-2"/>
          <w:szCs w:val="20"/>
          <w:lang w:val="es-CO"/>
        </w:rPr>
        <w:t>en</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o</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s</w:t>
      </w:r>
      <w:r w:rsidRPr="0060216C">
        <w:rPr>
          <w:rFonts w:eastAsia="Times New Roman" w:cs="Times New Roman"/>
          <w:i w:val="0"/>
          <w:szCs w:val="20"/>
          <w:lang w:val="es-CO"/>
        </w:rPr>
        <w:t xml:space="preserve"> realizadas. </w:t>
      </w:r>
      <w:r w:rsidRPr="0060216C">
        <w:rPr>
          <w:rFonts w:eastAsia="Times New Roman" w:cs="Times New Roman"/>
          <w:i w:val="0"/>
          <w:spacing w:val="2"/>
          <w:szCs w:val="20"/>
          <w:lang w:val="es-CO"/>
        </w:rPr>
        <w:t>E</w:t>
      </w:r>
      <w:r w:rsidRPr="0060216C">
        <w:rPr>
          <w:rFonts w:eastAsia="Times New Roman" w:cs="Times New Roman"/>
          <w:i w:val="0"/>
          <w:szCs w:val="20"/>
          <w:lang w:val="es-CO"/>
        </w:rPr>
        <w:t>l</w:t>
      </w:r>
      <w:r w:rsidRPr="0060216C">
        <w:rPr>
          <w:rFonts w:eastAsia="Times New Roman" w:cs="Times New Roman"/>
          <w:i w:val="0"/>
          <w:spacing w:val="20"/>
          <w:szCs w:val="20"/>
          <w:lang w:val="es-CO"/>
        </w:rPr>
        <w:t xml:space="preserve"> </w:t>
      </w:r>
      <w:r w:rsidRPr="0060216C">
        <w:rPr>
          <w:rFonts w:eastAsia="Times New Roman" w:cs="Times New Roman"/>
          <w:i w:val="0"/>
          <w:spacing w:val="2"/>
          <w:szCs w:val="20"/>
          <w:lang w:val="es-CO"/>
        </w:rPr>
        <w:t>Estado</w:t>
      </w:r>
      <w:r w:rsidRPr="0060216C">
        <w:rPr>
          <w:rFonts w:eastAsia="Times New Roman" w:cs="Times New Roman"/>
          <w:i w:val="0"/>
          <w:spacing w:val="23"/>
          <w:szCs w:val="20"/>
          <w:lang w:val="es-CO"/>
        </w:rPr>
        <w:t xml:space="preserve"> </w:t>
      </w:r>
      <w:r w:rsidRPr="0060216C">
        <w:rPr>
          <w:rFonts w:eastAsia="Times New Roman" w:cs="Times New Roman"/>
          <w:i w:val="0"/>
          <w:spacing w:val="-2"/>
          <w:szCs w:val="20"/>
          <w:lang w:val="es-CO"/>
        </w:rPr>
        <w:t>se</w:t>
      </w:r>
      <w:r w:rsidRPr="0060216C">
        <w:rPr>
          <w:rFonts w:eastAsia="Times New Roman" w:cs="Times New Roman"/>
          <w:i w:val="0"/>
          <w:spacing w:val="2"/>
          <w:szCs w:val="20"/>
          <w:lang w:val="es-CO"/>
        </w:rPr>
        <w:t>ñ</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l</w:t>
      </w:r>
      <w:r w:rsidRPr="0060216C">
        <w:rPr>
          <w:rFonts w:eastAsia="Times New Roman" w:cs="Times New Roman"/>
          <w:i w:val="0"/>
          <w:szCs w:val="20"/>
          <w:lang w:val="es-CO"/>
        </w:rPr>
        <w:t>ó</w:t>
      </w:r>
      <w:r w:rsidRPr="0060216C">
        <w:rPr>
          <w:rFonts w:eastAsia="Times New Roman" w:cs="Times New Roman"/>
          <w:i w:val="0"/>
          <w:spacing w:val="19"/>
          <w:szCs w:val="20"/>
          <w:lang w:val="es-CO"/>
        </w:rPr>
        <w:t xml:space="preserve"> </w:t>
      </w:r>
      <w:r w:rsidRPr="0060216C">
        <w:rPr>
          <w:rFonts w:eastAsia="Times New Roman" w:cs="Times New Roman"/>
          <w:i w:val="0"/>
          <w:spacing w:val="2"/>
          <w:szCs w:val="20"/>
          <w:lang w:val="es-CO"/>
        </w:rPr>
        <w:t>q</w:t>
      </w:r>
      <w:r w:rsidRPr="0060216C">
        <w:rPr>
          <w:rFonts w:eastAsia="Times New Roman" w:cs="Times New Roman"/>
          <w:i w:val="0"/>
          <w:spacing w:val="-2"/>
          <w:szCs w:val="20"/>
          <w:lang w:val="es-CO"/>
        </w:rPr>
        <w:t>u</w:t>
      </w:r>
      <w:r w:rsidRPr="0060216C">
        <w:rPr>
          <w:rFonts w:eastAsia="Times New Roman" w:cs="Times New Roman"/>
          <w:i w:val="0"/>
          <w:szCs w:val="20"/>
          <w:lang w:val="es-CO"/>
        </w:rPr>
        <w:t>e,</w:t>
      </w:r>
      <w:r w:rsidRPr="0060216C">
        <w:rPr>
          <w:rFonts w:eastAsia="Times New Roman" w:cs="Times New Roman"/>
          <w:i w:val="0"/>
          <w:spacing w:val="19"/>
          <w:szCs w:val="20"/>
          <w:lang w:val="es-CO"/>
        </w:rPr>
        <w:t xml:space="preserve"> </w:t>
      </w:r>
      <w:r w:rsidRPr="0060216C">
        <w:rPr>
          <w:rFonts w:eastAsia="Times New Roman" w:cs="Times New Roman"/>
          <w:i w:val="0"/>
          <w:spacing w:val="-2"/>
          <w:szCs w:val="20"/>
          <w:lang w:val="es-CO"/>
        </w:rPr>
        <w:t>s</w:t>
      </w:r>
      <w:r w:rsidRPr="0060216C">
        <w:rPr>
          <w:rFonts w:eastAsia="Times New Roman" w:cs="Times New Roman"/>
          <w:i w:val="0"/>
          <w:spacing w:val="-1"/>
          <w:szCs w:val="20"/>
          <w:lang w:val="es-CO"/>
        </w:rPr>
        <w:t>i</w:t>
      </w:r>
      <w:r w:rsidRPr="0060216C">
        <w:rPr>
          <w:rFonts w:eastAsia="Times New Roman" w:cs="Times New Roman"/>
          <w:i w:val="0"/>
          <w:szCs w:val="20"/>
          <w:lang w:val="es-CO"/>
        </w:rPr>
        <w:t>n</w:t>
      </w:r>
      <w:r w:rsidRPr="0060216C">
        <w:rPr>
          <w:rFonts w:eastAsia="Times New Roman" w:cs="Times New Roman"/>
          <w:i w:val="0"/>
          <w:spacing w:val="19"/>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rj</w:t>
      </w:r>
      <w:r w:rsidRPr="0060216C">
        <w:rPr>
          <w:rFonts w:eastAsia="Times New Roman" w:cs="Times New Roman"/>
          <w:i w:val="0"/>
          <w:spacing w:val="-2"/>
          <w:szCs w:val="20"/>
          <w:lang w:val="es-CO"/>
        </w:rPr>
        <w:t>u</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c</w:t>
      </w:r>
      <w:r w:rsidRPr="0060216C">
        <w:rPr>
          <w:rFonts w:eastAsia="Times New Roman" w:cs="Times New Roman"/>
          <w:i w:val="0"/>
          <w:spacing w:val="-1"/>
          <w:szCs w:val="20"/>
          <w:lang w:val="es-CO"/>
        </w:rPr>
        <w:t>i</w:t>
      </w:r>
      <w:r w:rsidRPr="0060216C">
        <w:rPr>
          <w:rFonts w:eastAsia="Times New Roman" w:cs="Times New Roman"/>
          <w:i w:val="0"/>
          <w:szCs w:val="20"/>
          <w:lang w:val="es-CO"/>
        </w:rPr>
        <w:t>o</w:t>
      </w:r>
      <w:r w:rsidRPr="0060216C">
        <w:rPr>
          <w:rFonts w:eastAsia="Times New Roman" w:cs="Times New Roman"/>
          <w:i w:val="0"/>
          <w:spacing w:val="23"/>
          <w:szCs w:val="20"/>
          <w:lang w:val="es-CO"/>
        </w:rPr>
        <w:t xml:space="preserve"> </w:t>
      </w:r>
      <w:r w:rsidRPr="0060216C">
        <w:rPr>
          <w:rFonts w:eastAsia="Times New Roman" w:cs="Times New Roman"/>
          <w:i w:val="0"/>
          <w:spacing w:val="2"/>
          <w:szCs w:val="20"/>
          <w:lang w:val="es-CO"/>
        </w:rPr>
        <w:t>d</w:t>
      </w:r>
      <w:r w:rsidRPr="0060216C">
        <w:rPr>
          <w:rFonts w:eastAsia="Times New Roman" w:cs="Times New Roman"/>
          <w:i w:val="0"/>
          <w:szCs w:val="20"/>
          <w:lang w:val="es-CO"/>
        </w:rPr>
        <w:t>e</w:t>
      </w:r>
      <w:r w:rsidRPr="0060216C">
        <w:rPr>
          <w:rFonts w:eastAsia="Times New Roman" w:cs="Times New Roman"/>
          <w:i w:val="0"/>
          <w:spacing w:val="19"/>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zCs w:val="20"/>
          <w:lang w:val="es-CO"/>
        </w:rPr>
        <w:t>a</w:t>
      </w:r>
      <w:r w:rsidRPr="0060216C">
        <w:rPr>
          <w:rFonts w:eastAsia="Times New Roman" w:cs="Times New Roman"/>
          <w:i w:val="0"/>
          <w:spacing w:val="19"/>
          <w:szCs w:val="20"/>
          <w:lang w:val="es-CO"/>
        </w:rPr>
        <w:t xml:space="preserve"> </w:t>
      </w:r>
      <w:r w:rsidRPr="0060216C">
        <w:rPr>
          <w:rFonts w:eastAsia="Times New Roman" w:cs="Times New Roman"/>
          <w:i w:val="0"/>
          <w:spacing w:val="-2"/>
          <w:szCs w:val="20"/>
          <w:lang w:val="es-CO"/>
        </w:rPr>
        <w:t>eve</w:t>
      </w:r>
      <w:r w:rsidRPr="0060216C">
        <w:rPr>
          <w:rFonts w:eastAsia="Times New Roman" w:cs="Times New Roman"/>
          <w:i w:val="0"/>
          <w:spacing w:val="2"/>
          <w:szCs w:val="20"/>
          <w:lang w:val="es-CO"/>
        </w:rPr>
        <w:t>n</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u</w:t>
      </w:r>
      <w:r w:rsidRPr="0060216C">
        <w:rPr>
          <w:rFonts w:eastAsia="Times New Roman" w:cs="Times New Roman"/>
          <w:i w:val="0"/>
          <w:spacing w:val="-2"/>
          <w:szCs w:val="20"/>
          <w:lang w:val="es-CO"/>
        </w:rPr>
        <w:t>a</w:t>
      </w:r>
      <w:r w:rsidRPr="0060216C">
        <w:rPr>
          <w:rFonts w:eastAsia="Times New Roman" w:cs="Times New Roman"/>
          <w:i w:val="0"/>
          <w:szCs w:val="20"/>
          <w:lang w:val="es-CO"/>
        </w:rPr>
        <w:t>l</w:t>
      </w:r>
      <w:r w:rsidRPr="0060216C">
        <w:rPr>
          <w:rFonts w:eastAsia="Times New Roman" w:cs="Times New Roman"/>
          <w:i w:val="0"/>
          <w:spacing w:val="20"/>
          <w:szCs w:val="20"/>
          <w:lang w:val="es-CO"/>
        </w:rPr>
        <w:t xml:space="preserve"> </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es</w:t>
      </w:r>
      <w:r w:rsidRPr="0060216C">
        <w:rPr>
          <w:rFonts w:eastAsia="Times New Roman" w:cs="Times New Roman"/>
          <w:i w:val="0"/>
          <w:spacing w:val="2"/>
          <w:szCs w:val="20"/>
          <w:lang w:val="es-CO"/>
        </w:rPr>
        <w:t>po</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b</w:t>
      </w:r>
      <w:r w:rsidRPr="0060216C">
        <w:rPr>
          <w:rFonts w:eastAsia="Times New Roman" w:cs="Times New Roman"/>
          <w:i w:val="0"/>
          <w:spacing w:val="-1"/>
          <w:szCs w:val="20"/>
          <w:lang w:val="es-CO"/>
        </w:rPr>
        <w:t>ili</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a</w:t>
      </w:r>
      <w:r w:rsidRPr="0060216C">
        <w:rPr>
          <w:rFonts w:eastAsia="Times New Roman" w:cs="Times New Roman"/>
          <w:i w:val="0"/>
          <w:szCs w:val="20"/>
          <w:lang w:val="es-CO"/>
        </w:rPr>
        <w:t>d</w:t>
      </w:r>
      <w:r w:rsidRPr="0060216C">
        <w:rPr>
          <w:rFonts w:eastAsia="Times New Roman" w:cs="Times New Roman"/>
          <w:i w:val="0"/>
          <w:spacing w:val="23"/>
          <w:szCs w:val="20"/>
          <w:lang w:val="es-CO"/>
        </w:rPr>
        <w:t xml:space="preserve"> </w:t>
      </w:r>
      <w:r w:rsidRPr="0060216C">
        <w:rPr>
          <w:rFonts w:eastAsia="Times New Roman" w:cs="Times New Roman"/>
          <w:i w:val="0"/>
          <w:spacing w:val="2"/>
          <w:szCs w:val="20"/>
          <w:lang w:val="es-CO"/>
        </w:rPr>
        <w:t>q</w:t>
      </w:r>
      <w:r w:rsidRPr="0060216C">
        <w:rPr>
          <w:rFonts w:eastAsia="Times New Roman" w:cs="Times New Roman"/>
          <w:i w:val="0"/>
          <w:spacing w:val="-2"/>
          <w:szCs w:val="20"/>
          <w:lang w:val="es-CO"/>
        </w:rPr>
        <w:t>u</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pod</w:t>
      </w:r>
      <w:r w:rsidRPr="0060216C">
        <w:rPr>
          <w:rFonts w:eastAsia="Times New Roman" w:cs="Times New Roman"/>
          <w:i w:val="0"/>
          <w:spacing w:val="-1"/>
          <w:szCs w:val="20"/>
          <w:lang w:val="es-CO"/>
        </w:rPr>
        <w:t>rí</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tri</w:t>
      </w:r>
      <w:r w:rsidRPr="0060216C">
        <w:rPr>
          <w:rFonts w:eastAsia="Times New Roman" w:cs="Times New Roman"/>
          <w:i w:val="0"/>
          <w:spacing w:val="2"/>
          <w:szCs w:val="20"/>
          <w:lang w:val="es-CO"/>
        </w:rPr>
        <w:t>b</w:t>
      </w:r>
      <w:r w:rsidRPr="0060216C">
        <w:rPr>
          <w:rFonts w:eastAsia="Times New Roman" w:cs="Times New Roman"/>
          <w:i w:val="0"/>
          <w:spacing w:val="-2"/>
          <w:szCs w:val="20"/>
          <w:lang w:val="es-CO"/>
        </w:rPr>
        <w:t>u</w:t>
      </w:r>
      <w:r w:rsidRPr="0060216C">
        <w:rPr>
          <w:rFonts w:eastAsia="Times New Roman" w:cs="Times New Roman"/>
          <w:i w:val="0"/>
          <w:spacing w:val="3"/>
          <w:szCs w:val="20"/>
          <w:lang w:val="es-CO"/>
        </w:rPr>
        <w:t>í</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l</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po</w:t>
      </w:r>
      <w:r w:rsidRPr="0060216C">
        <w:rPr>
          <w:rFonts w:eastAsia="Times New Roman" w:cs="Times New Roman"/>
          <w:i w:val="0"/>
          <w:szCs w:val="20"/>
          <w:lang w:val="es-CO"/>
        </w:rPr>
        <w:t>r</w:t>
      </w:r>
      <w:r w:rsidRPr="0060216C">
        <w:rPr>
          <w:rFonts w:eastAsia="Times New Roman" w:cs="Times New Roman"/>
          <w:i w:val="0"/>
          <w:spacing w:val="1"/>
          <w:szCs w:val="20"/>
          <w:lang w:val="es-CO"/>
        </w:rPr>
        <w:t xml:space="preserve"> </w:t>
      </w:r>
      <w:r w:rsidRPr="0060216C">
        <w:rPr>
          <w:rFonts w:eastAsia="Times New Roman" w:cs="Times New Roman"/>
          <w:i w:val="0"/>
          <w:spacing w:val="3"/>
          <w:szCs w:val="20"/>
          <w:lang w:val="es-CO"/>
        </w:rPr>
        <w:t>l</w:t>
      </w:r>
      <w:r w:rsidRPr="0060216C">
        <w:rPr>
          <w:rFonts w:eastAsia="Times New Roman" w:cs="Times New Roman"/>
          <w:i w:val="0"/>
          <w:szCs w:val="20"/>
          <w:lang w:val="es-CO"/>
        </w:rPr>
        <w:t xml:space="preserve">a </w:t>
      </w:r>
      <w:r w:rsidRPr="0060216C">
        <w:rPr>
          <w:rFonts w:eastAsia="Times New Roman" w:cs="Times New Roman"/>
          <w:i w:val="0"/>
          <w:spacing w:val="3"/>
          <w:szCs w:val="20"/>
          <w:lang w:val="es-CO"/>
        </w:rPr>
        <w:t>f</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l</w:t>
      </w:r>
      <w:r w:rsidRPr="0060216C">
        <w:rPr>
          <w:rFonts w:eastAsia="Times New Roman" w:cs="Times New Roman"/>
          <w:i w:val="0"/>
          <w:spacing w:val="3"/>
          <w:szCs w:val="20"/>
          <w:lang w:val="es-CO"/>
        </w:rPr>
        <w:t>t</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d</w:t>
      </w:r>
      <w:r w:rsidRPr="0060216C">
        <w:rPr>
          <w:rFonts w:eastAsia="Times New Roman" w:cs="Times New Roman"/>
          <w:i w:val="0"/>
          <w:szCs w:val="20"/>
          <w:lang w:val="es-CO"/>
        </w:rPr>
        <w:t xml:space="preserve">e </w:t>
      </w:r>
      <w:r w:rsidRPr="0060216C">
        <w:rPr>
          <w:rFonts w:eastAsia="Times New Roman" w:cs="Times New Roman"/>
          <w:i w:val="0"/>
          <w:spacing w:val="1"/>
          <w:szCs w:val="20"/>
          <w:lang w:val="es-CO"/>
        </w:rPr>
        <w:t>m</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d</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m</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n</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o</w:t>
      </w:r>
      <w:r w:rsidRPr="0060216C">
        <w:rPr>
          <w:rFonts w:eastAsia="Times New Roman" w:cs="Times New Roman"/>
          <w:i w:val="0"/>
          <w:szCs w:val="20"/>
          <w:lang w:val="es-CO"/>
        </w:rPr>
        <w:t>s,</w:t>
      </w:r>
      <w:r w:rsidRPr="0060216C">
        <w:rPr>
          <w:rFonts w:eastAsia="Times New Roman" w:cs="Times New Roman"/>
          <w:i w:val="0"/>
          <w:spacing w:val="3"/>
          <w:szCs w:val="20"/>
          <w:lang w:val="es-CO"/>
        </w:rPr>
        <w:t xml:space="preserve"> </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b</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po</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s</w:t>
      </w:r>
      <w:r w:rsidRPr="0060216C">
        <w:rPr>
          <w:rFonts w:eastAsia="Times New Roman" w:cs="Times New Roman"/>
          <w:i w:val="0"/>
          <w:szCs w:val="20"/>
          <w:lang w:val="es-CO"/>
        </w:rPr>
        <w:t xml:space="preserve">e </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o</w:t>
      </w:r>
      <w:r w:rsidRPr="0060216C">
        <w:rPr>
          <w:rFonts w:eastAsia="Times New Roman" w:cs="Times New Roman"/>
          <w:i w:val="0"/>
          <w:szCs w:val="20"/>
          <w:lang w:val="es-CO"/>
        </w:rPr>
        <w:t>s</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e</w:t>
      </w:r>
      <w:r w:rsidRPr="0060216C">
        <w:rPr>
          <w:rFonts w:eastAsia="Times New Roman" w:cs="Times New Roman"/>
          <w:i w:val="0"/>
          <w:spacing w:val="3"/>
          <w:szCs w:val="20"/>
          <w:lang w:val="es-CO"/>
        </w:rPr>
        <w:t>f</w:t>
      </w:r>
      <w:r w:rsidRPr="0060216C">
        <w:rPr>
          <w:rFonts w:eastAsia="Times New Roman" w:cs="Times New Roman"/>
          <w:i w:val="0"/>
          <w:spacing w:val="-2"/>
          <w:szCs w:val="20"/>
          <w:lang w:val="es-CO"/>
        </w:rPr>
        <w:t>ec</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o</w:t>
      </w:r>
      <w:r w:rsidRPr="0060216C">
        <w:rPr>
          <w:rFonts w:eastAsia="Times New Roman" w:cs="Times New Roman"/>
          <w:i w:val="0"/>
          <w:szCs w:val="20"/>
          <w:lang w:val="es-CO"/>
        </w:rPr>
        <w:t xml:space="preserve">s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s</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o</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óg</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o</w:t>
      </w:r>
      <w:r w:rsidRPr="0060216C">
        <w:rPr>
          <w:rFonts w:eastAsia="Times New Roman" w:cs="Times New Roman"/>
          <w:i w:val="0"/>
          <w:szCs w:val="20"/>
          <w:lang w:val="es-CO"/>
        </w:rPr>
        <w:t>s o</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há</w:t>
      </w:r>
      <w:r w:rsidRPr="0060216C">
        <w:rPr>
          <w:rFonts w:eastAsia="Times New Roman" w:cs="Times New Roman"/>
          <w:i w:val="0"/>
          <w:spacing w:val="2"/>
          <w:szCs w:val="20"/>
          <w:lang w:val="es-CO"/>
        </w:rPr>
        <w:t>b</w:t>
      </w:r>
      <w:r w:rsidRPr="0060216C">
        <w:rPr>
          <w:rFonts w:eastAsia="Times New Roman" w:cs="Times New Roman"/>
          <w:i w:val="0"/>
          <w:spacing w:val="-1"/>
          <w:szCs w:val="20"/>
          <w:lang w:val="es-CO"/>
        </w:rPr>
        <w:t>it</w:t>
      </w:r>
      <w:r w:rsidRPr="0060216C">
        <w:rPr>
          <w:rFonts w:eastAsia="Times New Roman" w:cs="Times New Roman"/>
          <w:i w:val="0"/>
          <w:spacing w:val="2"/>
          <w:szCs w:val="20"/>
          <w:lang w:val="es-CO"/>
        </w:rPr>
        <w:t>o</w:t>
      </w:r>
      <w:r w:rsidRPr="0060216C">
        <w:rPr>
          <w:rFonts w:eastAsia="Times New Roman" w:cs="Times New Roman"/>
          <w:i w:val="0"/>
          <w:szCs w:val="20"/>
          <w:lang w:val="es-CO"/>
        </w:rPr>
        <w:t>s</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d</w:t>
      </w:r>
      <w:r w:rsidRPr="0060216C">
        <w:rPr>
          <w:rFonts w:eastAsia="Times New Roman" w:cs="Times New Roman"/>
          <w:i w:val="0"/>
          <w:szCs w:val="20"/>
          <w:lang w:val="es-CO"/>
        </w:rPr>
        <w:t xml:space="preserve">e </w:t>
      </w:r>
      <w:r w:rsidRPr="0060216C">
        <w:rPr>
          <w:rFonts w:eastAsia="Times New Roman" w:cs="Times New Roman"/>
          <w:i w:val="0"/>
          <w:spacing w:val="-1"/>
          <w:szCs w:val="20"/>
          <w:lang w:val="es-CO"/>
        </w:rPr>
        <w:t>l</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o</w:t>
      </w:r>
      <w:r w:rsidRPr="0060216C">
        <w:rPr>
          <w:rFonts w:eastAsia="Times New Roman" w:cs="Times New Roman"/>
          <w:i w:val="0"/>
          <w:spacing w:val="-2"/>
          <w:szCs w:val="20"/>
          <w:lang w:val="es-CO"/>
        </w:rPr>
        <w:t>n</w:t>
      </w:r>
      <w:r w:rsidRPr="0060216C">
        <w:rPr>
          <w:rFonts w:eastAsia="Times New Roman" w:cs="Times New Roman"/>
          <w:i w:val="0"/>
          <w:szCs w:val="20"/>
          <w:lang w:val="es-CO"/>
        </w:rPr>
        <w:t xml:space="preserve">a </w:t>
      </w:r>
      <w:r w:rsidR="00F5388B">
        <w:rPr>
          <w:rFonts w:eastAsia="Times New Roman" w:cs="Times New Roman"/>
          <w:i w:val="0"/>
          <w:spacing w:val="3"/>
          <w:szCs w:val="20"/>
          <w:lang w:val="es-CO"/>
        </w:rPr>
        <w:t>que vive con el</w:t>
      </w:r>
      <w:r w:rsidRPr="0060216C">
        <w:rPr>
          <w:rFonts w:eastAsia="Times New Roman" w:cs="Times New Roman"/>
          <w:i w:val="0"/>
          <w:szCs w:val="20"/>
          <w:lang w:val="es-CO"/>
        </w:rPr>
        <w:t xml:space="preserve"> </w:t>
      </w:r>
      <w:r w:rsidRPr="0060216C">
        <w:rPr>
          <w:rFonts w:eastAsia="Times New Roman" w:cs="Times New Roman"/>
          <w:i w:val="0"/>
          <w:spacing w:val="5"/>
          <w:szCs w:val="20"/>
          <w:lang w:val="es-CO"/>
        </w:rPr>
        <w:t>V</w:t>
      </w:r>
      <w:r w:rsidRPr="0060216C">
        <w:rPr>
          <w:rFonts w:eastAsia="Times New Roman" w:cs="Times New Roman"/>
          <w:i w:val="0"/>
          <w:spacing w:val="-5"/>
          <w:szCs w:val="20"/>
          <w:lang w:val="es-CO"/>
        </w:rPr>
        <w:t>I</w:t>
      </w:r>
      <w:r w:rsidRPr="0060216C">
        <w:rPr>
          <w:rFonts w:eastAsia="Times New Roman" w:cs="Times New Roman"/>
          <w:i w:val="0"/>
          <w:spacing w:val="1"/>
          <w:szCs w:val="20"/>
          <w:lang w:val="es-CO"/>
        </w:rPr>
        <w:t>H</w:t>
      </w:r>
      <w:r w:rsidRPr="0060216C">
        <w:rPr>
          <w:rFonts w:eastAsia="Times New Roman" w:cs="Times New Roman"/>
          <w:i w:val="0"/>
          <w:szCs w:val="20"/>
          <w:lang w:val="es-CO"/>
        </w:rPr>
        <w:t>,</w:t>
      </w:r>
      <w:r w:rsidRPr="0060216C">
        <w:rPr>
          <w:rFonts w:eastAsia="Times New Roman" w:cs="Times New Roman"/>
          <w:i w:val="0"/>
          <w:spacing w:val="3"/>
          <w:szCs w:val="20"/>
          <w:lang w:val="es-CO"/>
        </w:rPr>
        <w:t xml:space="preserve"> </w:t>
      </w:r>
      <w:r w:rsidRPr="0060216C">
        <w:rPr>
          <w:rFonts w:eastAsia="Times New Roman" w:cs="Times New Roman"/>
          <w:i w:val="0"/>
          <w:spacing w:val="2"/>
          <w:szCs w:val="20"/>
          <w:lang w:val="es-CO"/>
        </w:rPr>
        <w:t>q</w:t>
      </w:r>
      <w:r w:rsidRPr="0060216C">
        <w:rPr>
          <w:rFonts w:eastAsia="Times New Roman" w:cs="Times New Roman"/>
          <w:i w:val="0"/>
          <w:spacing w:val="-2"/>
          <w:szCs w:val="20"/>
          <w:lang w:val="es-CO"/>
        </w:rPr>
        <w:t>u</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c</w:t>
      </w:r>
      <w:r w:rsidRPr="0060216C">
        <w:rPr>
          <w:rFonts w:eastAsia="Times New Roman" w:cs="Times New Roman"/>
          <w:i w:val="0"/>
          <w:spacing w:val="2"/>
          <w:szCs w:val="20"/>
          <w:lang w:val="es-CO"/>
        </w:rPr>
        <w:t>o</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d</w:t>
      </w:r>
      <w:r w:rsidRPr="0060216C">
        <w:rPr>
          <w:rFonts w:eastAsia="Times New Roman" w:cs="Times New Roman"/>
          <w:i w:val="0"/>
          <w:spacing w:val="-2"/>
          <w:szCs w:val="20"/>
          <w:lang w:val="es-CO"/>
        </w:rPr>
        <w:t>y</w:t>
      </w:r>
      <w:r w:rsidRPr="0060216C">
        <w:rPr>
          <w:rFonts w:eastAsia="Times New Roman" w:cs="Times New Roman"/>
          <w:i w:val="0"/>
          <w:spacing w:val="2"/>
          <w:szCs w:val="20"/>
          <w:lang w:val="es-CO"/>
        </w:rPr>
        <w:t>u</w:t>
      </w:r>
      <w:r w:rsidRPr="0060216C">
        <w:rPr>
          <w:rFonts w:eastAsia="Times New Roman" w:cs="Times New Roman"/>
          <w:i w:val="0"/>
          <w:spacing w:val="-2"/>
          <w:szCs w:val="20"/>
          <w:lang w:val="es-CO"/>
        </w:rPr>
        <w:t>va</w:t>
      </w:r>
      <w:r w:rsidRPr="0060216C">
        <w:rPr>
          <w:rFonts w:eastAsia="Times New Roman" w:cs="Times New Roman"/>
          <w:i w:val="0"/>
          <w:spacing w:val="3"/>
          <w:szCs w:val="20"/>
          <w:lang w:val="es-CO"/>
        </w:rPr>
        <w:t>r</w:t>
      </w:r>
      <w:r w:rsidRPr="0060216C">
        <w:rPr>
          <w:rFonts w:eastAsia="Times New Roman" w:cs="Times New Roman"/>
          <w:i w:val="0"/>
          <w:spacing w:val="-1"/>
          <w:szCs w:val="20"/>
          <w:lang w:val="es-CO"/>
        </w:rPr>
        <w:t>í</w:t>
      </w:r>
      <w:r w:rsidRPr="0060216C">
        <w:rPr>
          <w:rFonts w:eastAsia="Times New Roman" w:cs="Times New Roman"/>
          <w:i w:val="0"/>
          <w:szCs w:val="20"/>
          <w:lang w:val="es-CO"/>
        </w:rPr>
        <w:t xml:space="preserve">a </w:t>
      </w:r>
      <w:r w:rsidRPr="0060216C">
        <w:rPr>
          <w:rFonts w:eastAsia="Times New Roman" w:cs="Times New Roman"/>
          <w:i w:val="0"/>
          <w:spacing w:val="-2"/>
          <w:szCs w:val="20"/>
          <w:lang w:val="es-CO"/>
        </w:rPr>
        <w:t>a</w:t>
      </w:r>
      <w:r w:rsidRPr="0060216C">
        <w:rPr>
          <w:rFonts w:eastAsia="Times New Roman" w:cs="Times New Roman"/>
          <w:i w:val="0"/>
          <w:szCs w:val="20"/>
          <w:lang w:val="es-CO"/>
        </w:rPr>
        <w:t xml:space="preserve">l </w:t>
      </w:r>
      <w:r w:rsidRPr="0060216C">
        <w:rPr>
          <w:rFonts w:eastAsia="Times New Roman" w:cs="Times New Roman"/>
          <w:i w:val="0"/>
          <w:spacing w:val="2"/>
          <w:szCs w:val="20"/>
          <w:lang w:val="es-CO"/>
        </w:rPr>
        <w:t>Estado</w:t>
      </w:r>
      <w:r w:rsidRPr="0060216C">
        <w:rPr>
          <w:rFonts w:eastAsia="Times New Roman" w:cs="Times New Roman"/>
          <w:i w:val="0"/>
          <w:spacing w:val="3"/>
          <w:szCs w:val="20"/>
          <w:lang w:val="es-CO"/>
        </w:rPr>
        <w:t xml:space="preserve"> </w:t>
      </w:r>
      <w:r w:rsidRPr="0060216C">
        <w:rPr>
          <w:rFonts w:eastAsia="Times New Roman" w:cs="Times New Roman"/>
          <w:i w:val="0"/>
          <w:szCs w:val="20"/>
          <w:lang w:val="es-CO"/>
        </w:rPr>
        <w:t>a</w:t>
      </w:r>
      <w:r w:rsidRPr="0060216C">
        <w:rPr>
          <w:rFonts w:eastAsia="Times New Roman" w:cs="Times New Roman"/>
          <w:i w:val="0"/>
          <w:spacing w:val="-1"/>
          <w:szCs w:val="20"/>
          <w:lang w:val="es-CO"/>
        </w:rPr>
        <w:t xml:space="preserve"> </w:t>
      </w:r>
      <w:r w:rsidRPr="0060216C">
        <w:rPr>
          <w:rFonts w:eastAsia="Times New Roman" w:cs="Times New Roman"/>
          <w:i w:val="0"/>
          <w:spacing w:val="-2"/>
          <w:szCs w:val="20"/>
          <w:lang w:val="es-CO"/>
        </w:rPr>
        <w:t>cu</w:t>
      </w:r>
      <w:r w:rsidRPr="0060216C">
        <w:rPr>
          <w:rFonts w:eastAsia="Times New Roman" w:cs="Times New Roman"/>
          <w:i w:val="0"/>
          <w:spacing w:val="1"/>
          <w:szCs w:val="20"/>
          <w:lang w:val="es-CO"/>
        </w:rPr>
        <w:t>m</w:t>
      </w:r>
      <w:r w:rsidRPr="0060216C">
        <w:rPr>
          <w:rFonts w:eastAsia="Times New Roman" w:cs="Times New Roman"/>
          <w:i w:val="0"/>
          <w:spacing w:val="2"/>
          <w:szCs w:val="20"/>
          <w:lang w:val="es-CO"/>
        </w:rPr>
        <w:t>p</w:t>
      </w:r>
      <w:r w:rsidRPr="0060216C">
        <w:rPr>
          <w:rFonts w:eastAsia="Times New Roman" w:cs="Times New Roman"/>
          <w:i w:val="0"/>
          <w:spacing w:val="-1"/>
          <w:szCs w:val="20"/>
          <w:lang w:val="es-CO"/>
        </w:rPr>
        <w:t>li</w:t>
      </w:r>
      <w:r w:rsidRPr="0060216C">
        <w:rPr>
          <w:rFonts w:eastAsia="Times New Roman" w:cs="Times New Roman"/>
          <w:i w:val="0"/>
          <w:szCs w:val="20"/>
          <w:lang w:val="es-CO"/>
        </w:rPr>
        <w:t xml:space="preserve">r </w:t>
      </w:r>
      <w:r w:rsidRPr="0060216C">
        <w:rPr>
          <w:rFonts w:eastAsia="Times New Roman" w:cs="Times New Roman"/>
          <w:i w:val="0"/>
          <w:spacing w:val="-2"/>
          <w:szCs w:val="20"/>
          <w:lang w:val="es-CO"/>
        </w:rPr>
        <w:t>s</w:t>
      </w:r>
      <w:r w:rsidRPr="0060216C">
        <w:rPr>
          <w:rFonts w:eastAsia="Times New Roman" w:cs="Times New Roman"/>
          <w:i w:val="0"/>
          <w:spacing w:val="2"/>
          <w:szCs w:val="20"/>
          <w:lang w:val="es-CO"/>
        </w:rPr>
        <w:t>u</w:t>
      </w:r>
      <w:r w:rsidRPr="0060216C">
        <w:rPr>
          <w:rFonts w:eastAsia="Times New Roman" w:cs="Times New Roman"/>
          <w:i w:val="0"/>
          <w:szCs w:val="20"/>
          <w:lang w:val="es-CO"/>
        </w:rPr>
        <w:t>s</w:t>
      </w:r>
      <w:r w:rsidRPr="0060216C">
        <w:rPr>
          <w:rFonts w:eastAsia="Times New Roman" w:cs="Times New Roman"/>
          <w:i w:val="0"/>
          <w:spacing w:val="1"/>
          <w:szCs w:val="20"/>
          <w:lang w:val="es-CO"/>
        </w:rPr>
        <w:t xml:space="preserve"> </w:t>
      </w:r>
      <w:r w:rsidRPr="0060216C">
        <w:rPr>
          <w:rFonts w:eastAsia="Times New Roman" w:cs="Times New Roman"/>
          <w:i w:val="0"/>
          <w:spacing w:val="2"/>
          <w:szCs w:val="20"/>
          <w:lang w:val="es-CO"/>
        </w:rPr>
        <w:t>ob</w:t>
      </w:r>
      <w:r w:rsidRPr="0060216C">
        <w:rPr>
          <w:rFonts w:eastAsia="Times New Roman" w:cs="Times New Roman"/>
          <w:i w:val="0"/>
          <w:spacing w:val="-1"/>
          <w:szCs w:val="20"/>
          <w:lang w:val="es-CO"/>
        </w:rPr>
        <w:t>li</w:t>
      </w:r>
      <w:r w:rsidRPr="0060216C">
        <w:rPr>
          <w:rFonts w:eastAsia="Times New Roman" w:cs="Times New Roman"/>
          <w:i w:val="0"/>
          <w:spacing w:val="-2"/>
          <w:szCs w:val="20"/>
          <w:lang w:val="es-CO"/>
        </w:rPr>
        <w:t>gac</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on</w:t>
      </w:r>
      <w:r w:rsidRPr="0060216C">
        <w:rPr>
          <w:rFonts w:eastAsia="Times New Roman" w:cs="Times New Roman"/>
          <w:i w:val="0"/>
          <w:spacing w:val="-2"/>
          <w:szCs w:val="20"/>
          <w:lang w:val="es-CO"/>
        </w:rPr>
        <w:t>e</w:t>
      </w:r>
      <w:r w:rsidRPr="0060216C">
        <w:rPr>
          <w:rFonts w:eastAsia="Times New Roman" w:cs="Times New Roman"/>
          <w:i w:val="0"/>
          <w:szCs w:val="20"/>
          <w:lang w:val="es-CO"/>
        </w:rPr>
        <w:t xml:space="preserve">s </w:t>
      </w:r>
      <w:r w:rsidRPr="0060216C">
        <w:rPr>
          <w:rFonts w:eastAsia="Times New Roman" w:cs="Times New Roman"/>
          <w:i w:val="0"/>
          <w:spacing w:val="3"/>
          <w:szCs w:val="20"/>
          <w:lang w:val="es-CO"/>
        </w:rPr>
        <w:t>i</w:t>
      </w:r>
      <w:r w:rsidRPr="0060216C">
        <w:rPr>
          <w:rFonts w:eastAsia="Times New Roman" w:cs="Times New Roman"/>
          <w:i w:val="0"/>
          <w:spacing w:val="-2"/>
          <w:szCs w:val="20"/>
          <w:lang w:val="es-CO"/>
        </w:rPr>
        <w:t>n</w:t>
      </w:r>
      <w:r w:rsidRPr="0060216C">
        <w:rPr>
          <w:rFonts w:eastAsia="Times New Roman" w:cs="Times New Roman"/>
          <w:i w:val="0"/>
          <w:spacing w:val="-1"/>
          <w:szCs w:val="20"/>
          <w:lang w:val="es-CO"/>
        </w:rPr>
        <w:t>t</w:t>
      </w:r>
      <w:r w:rsidRPr="0060216C">
        <w:rPr>
          <w:rFonts w:eastAsia="Times New Roman" w:cs="Times New Roman"/>
          <w:i w:val="0"/>
          <w:spacing w:val="2"/>
          <w:szCs w:val="20"/>
          <w:lang w:val="es-CO"/>
        </w:rPr>
        <w:t>e</w:t>
      </w:r>
      <w:r w:rsidRPr="0060216C">
        <w:rPr>
          <w:rFonts w:eastAsia="Times New Roman" w:cs="Times New Roman"/>
          <w:i w:val="0"/>
          <w:spacing w:val="-1"/>
          <w:szCs w:val="20"/>
          <w:lang w:val="es-CO"/>
        </w:rPr>
        <w:t>r</w:t>
      </w:r>
      <w:r w:rsidRPr="0060216C">
        <w:rPr>
          <w:rFonts w:eastAsia="Times New Roman" w:cs="Times New Roman"/>
          <w:i w:val="0"/>
          <w:spacing w:val="2"/>
          <w:szCs w:val="20"/>
          <w:lang w:val="es-CO"/>
        </w:rPr>
        <w:t>n</w:t>
      </w:r>
      <w:r w:rsidRPr="0060216C">
        <w:rPr>
          <w:rFonts w:eastAsia="Times New Roman" w:cs="Times New Roman"/>
          <w:i w:val="0"/>
          <w:spacing w:val="-2"/>
          <w:szCs w:val="20"/>
          <w:lang w:val="es-CO"/>
        </w:rPr>
        <w:t>ac</w:t>
      </w:r>
      <w:r w:rsidRPr="0060216C">
        <w:rPr>
          <w:rFonts w:eastAsia="Times New Roman" w:cs="Times New Roman"/>
          <w:i w:val="0"/>
          <w:spacing w:val="-1"/>
          <w:szCs w:val="20"/>
          <w:lang w:val="es-CO"/>
        </w:rPr>
        <w:t>i</w:t>
      </w:r>
      <w:r w:rsidRPr="0060216C">
        <w:rPr>
          <w:rFonts w:eastAsia="Times New Roman" w:cs="Times New Roman"/>
          <w:i w:val="0"/>
          <w:spacing w:val="2"/>
          <w:szCs w:val="20"/>
          <w:lang w:val="es-CO"/>
        </w:rPr>
        <w:t>on</w:t>
      </w:r>
      <w:r w:rsidRPr="0060216C">
        <w:rPr>
          <w:rFonts w:eastAsia="Times New Roman" w:cs="Times New Roman"/>
          <w:i w:val="0"/>
          <w:spacing w:val="-2"/>
          <w:szCs w:val="20"/>
          <w:lang w:val="es-CO"/>
        </w:rPr>
        <w:t>a</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e</w:t>
      </w:r>
      <w:r w:rsidRPr="0060216C">
        <w:rPr>
          <w:rFonts w:eastAsia="Times New Roman" w:cs="Times New Roman"/>
          <w:i w:val="0"/>
          <w:spacing w:val="-2"/>
          <w:szCs w:val="20"/>
          <w:lang w:val="es-CO"/>
        </w:rPr>
        <w:t>s</w:t>
      </w:r>
      <w:r w:rsidRPr="0060216C">
        <w:rPr>
          <w:rFonts w:eastAsia="Times New Roman" w:cs="Times New Roman"/>
          <w:i w:val="0"/>
          <w:szCs w:val="20"/>
          <w:lang w:val="es-CO"/>
        </w:rPr>
        <w:t>. En relación con los alegatos relacionados con el artículo 26, e</w:t>
      </w:r>
      <w:r w:rsidRPr="0060216C">
        <w:rPr>
          <w:rFonts w:eastAsia="Times New Roman" w:cs="Times New Roman"/>
          <w:i w:val="0"/>
          <w:szCs w:val="20"/>
          <w:lang w:val="es-CR"/>
        </w:rPr>
        <w:t>l</w:t>
      </w:r>
      <w:r w:rsidRPr="0060216C">
        <w:rPr>
          <w:rFonts w:eastAsia="Times New Roman" w:cs="Times New Roman"/>
          <w:i w:val="0"/>
          <w:spacing w:val="4"/>
          <w:szCs w:val="20"/>
          <w:lang w:val="es-CR"/>
        </w:rPr>
        <w:t xml:space="preserve"> </w:t>
      </w:r>
      <w:r w:rsidRPr="0060216C">
        <w:rPr>
          <w:rFonts w:eastAsia="Times New Roman" w:cs="Times New Roman"/>
          <w:i w:val="0"/>
          <w:spacing w:val="2"/>
          <w:szCs w:val="20"/>
          <w:lang w:val="es-CR"/>
        </w:rPr>
        <w:t>Estado</w:t>
      </w:r>
      <w:r w:rsidRPr="0060216C">
        <w:rPr>
          <w:rFonts w:eastAsia="Times New Roman" w:cs="Times New Roman"/>
          <w:i w:val="0"/>
          <w:spacing w:val="7"/>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o</w:t>
      </w:r>
      <w:r w:rsidRPr="0060216C">
        <w:rPr>
          <w:rFonts w:eastAsia="Times New Roman" w:cs="Times New Roman"/>
          <w:i w:val="0"/>
          <w:spacing w:val="-3"/>
          <w:szCs w:val="20"/>
          <w:lang w:val="es-CR"/>
        </w:rPr>
        <w:t>m</w:t>
      </w:r>
      <w:r w:rsidRPr="0060216C">
        <w:rPr>
          <w:rFonts w:eastAsia="Times New Roman" w:cs="Times New Roman"/>
          <w:i w:val="0"/>
          <w:spacing w:val="2"/>
          <w:szCs w:val="20"/>
          <w:lang w:val="es-CR"/>
        </w:rPr>
        <w:t>p</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rt</w:t>
      </w:r>
      <w:r w:rsidRPr="0060216C">
        <w:rPr>
          <w:rFonts w:eastAsia="Times New Roman" w:cs="Times New Roman"/>
          <w:i w:val="0"/>
          <w:szCs w:val="20"/>
          <w:lang w:val="es-CR"/>
        </w:rPr>
        <w:t>e</w:t>
      </w:r>
      <w:r w:rsidRPr="0060216C">
        <w:rPr>
          <w:rFonts w:eastAsia="Times New Roman" w:cs="Times New Roman"/>
          <w:i w:val="0"/>
          <w:spacing w:val="3"/>
          <w:szCs w:val="20"/>
          <w:lang w:val="es-CR"/>
        </w:rPr>
        <w:t xml:space="preserve"> </w:t>
      </w:r>
      <w:r w:rsidRPr="0060216C">
        <w:rPr>
          <w:rFonts w:eastAsia="Times New Roman" w:cs="Times New Roman"/>
          <w:i w:val="0"/>
          <w:spacing w:val="-1"/>
          <w:szCs w:val="20"/>
          <w:lang w:val="es-CR"/>
        </w:rPr>
        <w:t>l</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ec</w:t>
      </w:r>
      <w:r w:rsidRPr="0060216C">
        <w:rPr>
          <w:rFonts w:eastAsia="Times New Roman" w:cs="Times New Roman"/>
          <w:i w:val="0"/>
          <w:spacing w:val="3"/>
          <w:szCs w:val="20"/>
          <w:lang w:val="es-CR"/>
        </w:rPr>
        <w:t>i</w:t>
      </w:r>
      <w:r w:rsidRPr="0060216C">
        <w:rPr>
          <w:rFonts w:eastAsia="Times New Roman" w:cs="Times New Roman"/>
          <w:i w:val="0"/>
          <w:spacing w:val="-2"/>
          <w:szCs w:val="20"/>
          <w:lang w:val="es-CR"/>
        </w:rPr>
        <w:t>s</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ó</w:t>
      </w:r>
      <w:r w:rsidRPr="0060216C">
        <w:rPr>
          <w:rFonts w:eastAsia="Times New Roman" w:cs="Times New Roman"/>
          <w:i w:val="0"/>
          <w:szCs w:val="20"/>
          <w:lang w:val="es-CR"/>
        </w:rPr>
        <w:t>n</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a</w:t>
      </w:r>
      <w:r w:rsidRPr="0060216C">
        <w:rPr>
          <w:rFonts w:eastAsia="Times New Roman" w:cs="Times New Roman"/>
          <w:i w:val="0"/>
          <w:spacing w:val="2"/>
          <w:szCs w:val="20"/>
          <w:lang w:val="es-CR"/>
        </w:rPr>
        <w:t>dop</w:t>
      </w:r>
      <w:r w:rsidRPr="0060216C">
        <w:rPr>
          <w:rFonts w:eastAsia="Times New Roman" w:cs="Times New Roman"/>
          <w:i w:val="0"/>
          <w:spacing w:val="-1"/>
          <w:szCs w:val="20"/>
          <w:lang w:val="es-CR"/>
        </w:rPr>
        <w:t>t</w:t>
      </w:r>
      <w:r w:rsidRPr="0060216C">
        <w:rPr>
          <w:rFonts w:eastAsia="Times New Roman" w:cs="Times New Roman"/>
          <w:i w:val="0"/>
          <w:spacing w:val="-2"/>
          <w:szCs w:val="20"/>
          <w:lang w:val="es-CR"/>
        </w:rPr>
        <w:t>a</w:t>
      </w:r>
      <w:r w:rsidRPr="0060216C">
        <w:rPr>
          <w:rFonts w:eastAsia="Times New Roman" w:cs="Times New Roman"/>
          <w:i w:val="0"/>
          <w:spacing w:val="2"/>
          <w:szCs w:val="20"/>
          <w:lang w:val="es-CR"/>
        </w:rPr>
        <w:t>d</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po</w:t>
      </w:r>
      <w:r w:rsidRPr="0060216C">
        <w:rPr>
          <w:rFonts w:eastAsia="Times New Roman" w:cs="Times New Roman"/>
          <w:i w:val="0"/>
          <w:szCs w:val="20"/>
          <w:lang w:val="es-CR"/>
        </w:rPr>
        <w:t xml:space="preserve">r </w:t>
      </w:r>
      <w:r w:rsidRPr="0060216C">
        <w:rPr>
          <w:rFonts w:eastAsia="Times New Roman" w:cs="Times New Roman"/>
          <w:i w:val="0"/>
          <w:spacing w:val="-1"/>
          <w:szCs w:val="20"/>
          <w:lang w:val="es-CR"/>
        </w:rPr>
        <w:t>l</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1"/>
          <w:szCs w:val="20"/>
          <w:lang w:val="es-CR"/>
        </w:rPr>
        <w:t>C</w:t>
      </w:r>
      <w:r w:rsidRPr="0060216C">
        <w:rPr>
          <w:rFonts w:eastAsia="Times New Roman" w:cs="Times New Roman"/>
          <w:i w:val="0"/>
          <w:spacing w:val="-5"/>
          <w:szCs w:val="20"/>
          <w:lang w:val="es-CR"/>
        </w:rPr>
        <w:t>I</w:t>
      </w:r>
      <w:r w:rsidRPr="0060216C">
        <w:rPr>
          <w:rFonts w:eastAsia="Times New Roman" w:cs="Times New Roman"/>
          <w:i w:val="0"/>
          <w:spacing w:val="1"/>
          <w:szCs w:val="20"/>
          <w:lang w:val="es-CR"/>
        </w:rPr>
        <w:t>D</w:t>
      </w:r>
      <w:r w:rsidRPr="0060216C">
        <w:rPr>
          <w:rFonts w:eastAsia="Times New Roman" w:cs="Times New Roman"/>
          <w:i w:val="0"/>
          <w:szCs w:val="20"/>
          <w:lang w:val="es-CR"/>
        </w:rPr>
        <w:t>H,</w:t>
      </w:r>
      <w:r w:rsidRPr="0060216C">
        <w:rPr>
          <w:rFonts w:eastAsia="Times New Roman" w:cs="Times New Roman"/>
          <w:i w:val="0"/>
          <w:spacing w:val="7"/>
          <w:szCs w:val="20"/>
          <w:lang w:val="es-CR"/>
        </w:rPr>
        <w:t xml:space="preserve"> </w:t>
      </w:r>
      <w:r w:rsidRPr="0060216C">
        <w:rPr>
          <w:rFonts w:eastAsia="Times New Roman" w:cs="Times New Roman"/>
          <w:i w:val="0"/>
          <w:spacing w:val="-2"/>
          <w:szCs w:val="20"/>
          <w:lang w:val="es-CR"/>
        </w:rPr>
        <w:t>a</w:t>
      </w:r>
      <w:r w:rsidRPr="0060216C">
        <w:rPr>
          <w:rFonts w:eastAsia="Times New Roman" w:cs="Times New Roman"/>
          <w:i w:val="0"/>
          <w:szCs w:val="20"/>
          <w:lang w:val="es-CR"/>
        </w:rPr>
        <w:t>l</w:t>
      </w:r>
      <w:r w:rsidRPr="0060216C">
        <w:rPr>
          <w:rFonts w:eastAsia="Times New Roman" w:cs="Times New Roman"/>
          <w:i w:val="0"/>
          <w:spacing w:val="4"/>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on</w:t>
      </w:r>
      <w:r w:rsidRPr="0060216C">
        <w:rPr>
          <w:rFonts w:eastAsia="Times New Roman" w:cs="Times New Roman"/>
          <w:i w:val="0"/>
          <w:spacing w:val="-2"/>
          <w:szCs w:val="20"/>
          <w:lang w:val="es-CR"/>
        </w:rPr>
        <w:t>s</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w:t>
      </w:r>
      <w:r w:rsidRPr="0060216C">
        <w:rPr>
          <w:rFonts w:eastAsia="Times New Roman" w:cs="Times New Roman"/>
          <w:i w:val="0"/>
          <w:spacing w:val="3"/>
          <w:szCs w:val="20"/>
          <w:lang w:val="es-CR"/>
        </w:rPr>
        <w:t>r</w:t>
      </w:r>
      <w:r w:rsidRPr="0060216C">
        <w:rPr>
          <w:rFonts w:eastAsia="Times New Roman" w:cs="Times New Roman"/>
          <w:i w:val="0"/>
          <w:spacing w:val="-2"/>
          <w:szCs w:val="20"/>
          <w:lang w:val="es-CR"/>
        </w:rPr>
        <w:t>a</w:t>
      </w:r>
      <w:r w:rsidRPr="0060216C">
        <w:rPr>
          <w:rFonts w:eastAsia="Times New Roman" w:cs="Times New Roman"/>
          <w:i w:val="0"/>
          <w:szCs w:val="20"/>
          <w:lang w:val="es-CR"/>
        </w:rPr>
        <w:t>r</w:t>
      </w:r>
      <w:r w:rsidRPr="0060216C">
        <w:rPr>
          <w:rFonts w:eastAsia="Times New Roman" w:cs="Times New Roman"/>
          <w:i w:val="0"/>
          <w:spacing w:val="4"/>
          <w:szCs w:val="20"/>
          <w:lang w:val="es-CR"/>
        </w:rPr>
        <w:t xml:space="preserve"> </w:t>
      </w:r>
      <w:r w:rsidRPr="0060216C">
        <w:rPr>
          <w:rFonts w:eastAsia="Times New Roman" w:cs="Times New Roman"/>
          <w:i w:val="0"/>
          <w:spacing w:val="2"/>
          <w:szCs w:val="20"/>
          <w:lang w:val="es-CR"/>
        </w:rPr>
        <w:t>q</w:t>
      </w:r>
      <w:r w:rsidRPr="0060216C">
        <w:rPr>
          <w:rFonts w:eastAsia="Times New Roman" w:cs="Times New Roman"/>
          <w:i w:val="0"/>
          <w:spacing w:val="-2"/>
          <w:szCs w:val="20"/>
          <w:lang w:val="es-CR"/>
        </w:rPr>
        <w:t>u</w:t>
      </w:r>
      <w:r w:rsidRPr="0060216C">
        <w:rPr>
          <w:rFonts w:eastAsia="Times New Roman" w:cs="Times New Roman"/>
          <w:i w:val="0"/>
          <w:szCs w:val="20"/>
          <w:lang w:val="es-CR"/>
        </w:rPr>
        <w:t>e</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e</w:t>
      </w:r>
      <w:r w:rsidRPr="0060216C">
        <w:rPr>
          <w:rFonts w:eastAsia="Times New Roman" w:cs="Times New Roman"/>
          <w:i w:val="0"/>
          <w:szCs w:val="20"/>
          <w:lang w:val="es-CR"/>
        </w:rPr>
        <w:t>n</w:t>
      </w:r>
      <w:r w:rsidRPr="0060216C">
        <w:rPr>
          <w:rFonts w:eastAsia="Times New Roman" w:cs="Times New Roman"/>
          <w:i w:val="0"/>
          <w:spacing w:val="7"/>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uan</w:t>
      </w:r>
      <w:r w:rsidRPr="0060216C">
        <w:rPr>
          <w:rFonts w:eastAsia="Times New Roman" w:cs="Times New Roman"/>
          <w:i w:val="0"/>
          <w:spacing w:val="-1"/>
          <w:szCs w:val="20"/>
          <w:lang w:val="es-CR"/>
        </w:rPr>
        <w:t>t</w:t>
      </w:r>
      <w:r w:rsidRPr="0060216C">
        <w:rPr>
          <w:rFonts w:eastAsia="Times New Roman" w:cs="Times New Roman"/>
          <w:i w:val="0"/>
          <w:szCs w:val="20"/>
          <w:lang w:val="es-CR"/>
        </w:rPr>
        <w:t>o</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 xml:space="preserve">se </w:t>
      </w:r>
      <w:r w:rsidRPr="0060216C">
        <w:rPr>
          <w:rFonts w:eastAsia="Times New Roman" w:cs="Times New Roman"/>
          <w:i w:val="0"/>
          <w:spacing w:val="-1"/>
          <w:szCs w:val="20"/>
          <w:lang w:val="es-CR"/>
        </w:rPr>
        <w:t>t</w:t>
      </w:r>
      <w:r w:rsidRPr="0060216C">
        <w:rPr>
          <w:rFonts w:eastAsia="Times New Roman" w:cs="Times New Roman"/>
          <w:i w:val="0"/>
          <w:spacing w:val="-2"/>
          <w:szCs w:val="20"/>
          <w:lang w:val="es-CR"/>
        </w:rPr>
        <w:t>r</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t</w:t>
      </w:r>
      <w:r w:rsidRPr="0060216C">
        <w:rPr>
          <w:rFonts w:eastAsia="Times New Roman" w:cs="Times New Roman"/>
          <w:i w:val="0"/>
          <w:szCs w:val="20"/>
          <w:lang w:val="es-CR"/>
        </w:rPr>
        <w:t>a</w:t>
      </w:r>
      <w:r w:rsidRPr="0060216C">
        <w:rPr>
          <w:rFonts w:eastAsia="Times New Roman" w:cs="Times New Roman"/>
          <w:i w:val="0"/>
          <w:spacing w:val="7"/>
          <w:szCs w:val="20"/>
          <w:lang w:val="es-CR"/>
        </w:rPr>
        <w:t xml:space="preserve"> </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w:t>
      </w:r>
      <w:r w:rsidRPr="0060216C">
        <w:rPr>
          <w:rFonts w:eastAsia="Times New Roman" w:cs="Times New Roman"/>
          <w:i w:val="0"/>
          <w:szCs w:val="20"/>
          <w:lang w:val="es-CR"/>
        </w:rPr>
        <w:t xml:space="preserve">l </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erec</w:t>
      </w:r>
      <w:r w:rsidRPr="0060216C">
        <w:rPr>
          <w:rFonts w:eastAsia="Times New Roman" w:cs="Times New Roman"/>
          <w:i w:val="0"/>
          <w:spacing w:val="2"/>
          <w:szCs w:val="20"/>
          <w:lang w:val="es-CR"/>
        </w:rPr>
        <w:t>h</w:t>
      </w:r>
      <w:r w:rsidRPr="0060216C">
        <w:rPr>
          <w:rFonts w:eastAsia="Times New Roman" w:cs="Times New Roman"/>
          <w:i w:val="0"/>
          <w:szCs w:val="20"/>
          <w:lang w:val="es-CR"/>
        </w:rPr>
        <w:t>o</w:t>
      </w:r>
      <w:r w:rsidRPr="0060216C">
        <w:rPr>
          <w:rFonts w:eastAsia="Times New Roman" w:cs="Times New Roman"/>
          <w:i w:val="0"/>
          <w:spacing w:val="7"/>
          <w:szCs w:val="20"/>
          <w:lang w:val="es-CR"/>
        </w:rPr>
        <w:t xml:space="preserve"> </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1"/>
          <w:szCs w:val="20"/>
          <w:lang w:val="es-CR"/>
        </w:rPr>
        <w:t>l</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s</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l</w:t>
      </w:r>
      <w:r w:rsidRPr="0060216C">
        <w:rPr>
          <w:rFonts w:eastAsia="Times New Roman" w:cs="Times New Roman"/>
          <w:i w:val="0"/>
          <w:spacing w:val="-2"/>
          <w:szCs w:val="20"/>
          <w:lang w:val="es-CR"/>
        </w:rPr>
        <w:t>u</w:t>
      </w:r>
      <w:r w:rsidRPr="0060216C">
        <w:rPr>
          <w:rFonts w:eastAsia="Times New Roman" w:cs="Times New Roman"/>
          <w:i w:val="0"/>
          <w:szCs w:val="20"/>
          <w:lang w:val="es-CR"/>
        </w:rPr>
        <w:t>d</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h</w:t>
      </w:r>
      <w:r w:rsidRPr="0060216C">
        <w:rPr>
          <w:rFonts w:eastAsia="Times New Roman" w:cs="Times New Roman"/>
          <w:i w:val="0"/>
          <w:spacing w:val="2"/>
          <w:szCs w:val="20"/>
          <w:lang w:val="es-CR"/>
        </w:rPr>
        <w:t>a</w:t>
      </w:r>
      <w:r w:rsidRPr="0060216C">
        <w:rPr>
          <w:rFonts w:eastAsia="Times New Roman" w:cs="Times New Roman"/>
          <w:i w:val="0"/>
          <w:szCs w:val="20"/>
          <w:lang w:val="es-CR"/>
        </w:rPr>
        <w:t>y</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u</w:t>
      </w:r>
      <w:r w:rsidRPr="0060216C">
        <w:rPr>
          <w:rFonts w:eastAsia="Times New Roman" w:cs="Times New Roman"/>
          <w:i w:val="0"/>
          <w:spacing w:val="2"/>
          <w:szCs w:val="20"/>
          <w:lang w:val="es-CR"/>
        </w:rPr>
        <w:t>n</w:t>
      </w:r>
      <w:r w:rsidRPr="0060216C">
        <w:rPr>
          <w:rFonts w:eastAsia="Times New Roman" w:cs="Times New Roman"/>
          <w:i w:val="0"/>
          <w:szCs w:val="20"/>
          <w:lang w:val="es-CR"/>
        </w:rPr>
        <w:t>a</w:t>
      </w:r>
      <w:r w:rsidRPr="0060216C">
        <w:rPr>
          <w:rFonts w:eastAsia="Times New Roman" w:cs="Times New Roman"/>
          <w:i w:val="0"/>
          <w:spacing w:val="-1"/>
          <w:szCs w:val="20"/>
          <w:lang w:val="es-CR"/>
        </w:rPr>
        <w:t xml:space="preserve"> </w:t>
      </w:r>
      <w:r w:rsidRPr="0060216C">
        <w:rPr>
          <w:rFonts w:eastAsia="Times New Roman" w:cs="Times New Roman"/>
          <w:i w:val="0"/>
          <w:spacing w:val="2"/>
          <w:szCs w:val="20"/>
          <w:lang w:val="es-CR"/>
        </w:rPr>
        <w:t>ob</w:t>
      </w:r>
      <w:r w:rsidRPr="0060216C">
        <w:rPr>
          <w:rFonts w:eastAsia="Times New Roman" w:cs="Times New Roman"/>
          <w:i w:val="0"/>
          <w:spacing w:val="-1"/>
          <w:szCs w:val="20"/>
          <w:lang w:val="es-CR"/>
        </w:rPr>
        <w:t>li</w:t>
      </w:r>
      <w:r w:rsidRPr="0060216C">
        <w:rPr>
          <w:rFonts w:eastAsia="Times New Roman" w:cs="Times New Roman"/>
          <w:i w:val="0"/>
          <w:spacing w:val="-2"/>
          <w:szCs w:val="20"/>
          <w:lang w:val="es-CR"/>
        </w:rPr>
        <w:t>g</w:t>
      </w:r>
      <w:r w:rsidRPr="0060216C">
        <w:rPr>
          <w:rFonts w:eastAsia="Times New Roman" w:cs="Times New Roman"/>
          <w:i w:val="0"/>
          <w:spacing w:val="2"/>
          <w:szCs w:val="20"/>
          <w:lang w:val="es-CR"/>
        </w:rPr>
        <w:t>a</w:t>
      </w:r>
      <w:r w:rsidRPr="0060216C">
        <w:rPr>
          <w:rFonts w:eastAsia="Times New Roman" w:cs="Times New Roman"/>
          <w:i w:val="0"/>
          <w:spacing w:val="-2"/>
          <w:szCs w:val="20"/>
          <w:lang w:val="es-CR"/>
        </w:rPr>
        <w:t>c</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ó</w:t>
      </w:r>
      <w:r w:rsidRPr="0060216C">
        <w:rPr>
          <w:rFonts w:eastAsia="Times New Roman" w:cs="Times New Roman"/>
          <w:i w:val="0"/>
          <w:szCs w:val="20"/>
          <w:lang w:val="es-CR"/>
        </w:rPr>
        <w:t>n</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d</w:t>
      </w:r>
      <w:r w:rsidRPr="0060216C">
        <w:rPr>
          <w:rFonts w:eastAsia="Times New Roman" w:cs="Times New Roman"/>
          <w:i w:val="0"/>
          <w:szCs w:val="20"/>
          <w:lang w:val="es-CR"/>
        </w:rPr>
        <w:t>e</w:t>
      </w:r>
      <w:r w:rsidRPr="0060216C">
        <w:rPr>
          <w:rFonts w:eastAsia="Times New Roman" w:cs="Times New Roman"/>
          <w:i w:val="0"/>
          <w:spacing w:val="-1"/>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u</w:t>
      </w:r>
      <w:r w:rsidRPr="0060216C">
        <w:rPr>
          <w:rFonts w:eastAsia="Times New Roman" w:cs="Times New Roman"/>
          <w:i w:val="0"/>
          <w:spacing w:val="1"/>
          <w:szCs w:val="20"/>
          <w:lang w:val="es-CR"/>
        </w:rPr>
        <w:t>m</w:t>
      </w:r>
      <w:r w:rsidRPr="0060216C">
        <w:rPr>
          <w:rFonts w:eastAsia="Times New Roman" w:cs="Times New Roman"/>
          <w:i w:val="0"/>
          <w:spacing w:val="2"/>
          <w:szCs w:val="20"/>
          <w:lang w:val="es-CR"/>
        </w:rPr>
        <w:t>p</w:t>
      </w:r>
      <w:r w:rsidRPr="0060216C">
        <w:rPr>
          <w:rFonts w:eastAsia="Times New Roman" w:cs="Times New Roman"/>
          <w:i w:val="0"/>
          <w:spacing w:val="-1"/>
          <w:szCs w:val="20"/>
          <w:lang w:val="es-CR"/>
        </w:rPr>
        <w:t>li</w:t>
      </w:r>
      <w:r w:rsidRPr="0060216C">
        <w:rPr>
          <w:rFonts w:eastAsia="Times New Roman" w:cs="Times New Roman"/>
          <w:i w:val="0"/>
          <w:spacing w:val="1"/>
          <w:szCs w:val="20"/>
          <w:lang w:val="es-CR"/>
        </w:rPr>
        <w:t>m</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e</w:t>
      </w:r>
      <w:r w:rsidRPr="0060216C">
        <w:rPr>
          <w:rFonts w:eastAsia="Times New Roman" w:cs="Times New Roman"/>
          <w:i w:val="0"/>
          <w:spacing w:val="2"/>
          <w:szCs w:val="20"/>
          <w:lang w:val="es-CR"/>
        </w:rPr>
        <w:t>n</w:t>
      </w:r>
      <w:r w:rsidRPr="0060216C">
        <w:rPr>
          <w:rFonts w:eastAsia="Times New Roman" w:cs="Times New Roman"/>
          <w:i w:val="0"/>
          <w:spacing w:val="-1"/>
          <w:szCs w:val="20"/>
          <w:lang w:val="es-CR"/>
        </w:rPr>
        <w:t>t</w:t>
      </w:r>
      <w:r w:rsidRPr="0060216C">
        <w:rPr>
          <w:rFonts w:eastAsia="Times New Roman" w:cs="Times New Roman"/>
          <w:i w:val="0"/>
          <w:szCs w:val="20"/>
          <w:lang w:val="es-CR"/>
        </w:rPr>
        <w:t>o</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p</w:t>
      </w:r>
      <w:r w:rsidRPr="0060216C">
        <w:rPr>
          <w:rFonts w:eastAsia="Times New Roman" w:cs="Times New Roman"/>
          <w:i w:val="0"/>
          <w:spacing w:val="-2"/>
          <w:szCs w:val="20"/>
          <w:lang w:val="es-CR"/>
        </w:rPr>
        <w:t>ro</w:t>
      </w:r>
      <w:r w:rsidRPr="0060216C">
        <w:rPr>
          <w:rFonts w:eastAsia="Times New Roman" w:cs="Times New Roman"/>
          <w:i w:val="0"/>
          <w:spacing w:val="2"/>
          <w:szCs w:val="20"/>
          <w:lang w:val="es-CR"/>
        </w:rPr>
        <w:t>g</w:t>
      </w:r>
      <w:r w:rsidRPr="0060216C">
        <w:rPr>
          <w:rFonts w:eastAsia="Times New Roman" w:cs="Times New Roman"/>
          <w:i w:val="0"/>
          <w:spacing w:val="-2"/>
          <w:szCs w:val="20"/>
          <w:lang w:val="es-CR"/>
        </w:rPr>
        <w:t>res</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v</w:t>
      </w:r>
      <w:r w:rsidRPr="0060216C">
        <w:rPr>
          <w:rFonts w:eastAsia="Times New Roman" w:cs="Times New Roman"/>
          <w:i w:val="0"/>
          <w:spacing w:val="2"/>
          <w:szCs w:val="20"/>
          <w:lang w:val="es-CR"/>
        </w:rPr>
        <w:t>o</w:t>
      </w:r>
      <w:r w:rsidRPr="0060216C">
        <w:rPr>
          <w:rFonts w:eastAsia="Times New Roman" w:cs="Times New Roman"/>
          <w:i w:val="0"/>
          <w:szCs w:val="20"/>
          <w:lang w:val="es-CR"/>
        </w:rPr>
        <w:t>,</w:t>
      </w:r>
      <w:r w:rsidRPr="0060216C">
        <w:rPr>
          <w:rFonts w:eastAsia="Times New Roman" w:cs="Times New Roman"/>
          <w:i w:val="0"/>
          <w:spacing w:val="6"/>
          <w:szCs w:val="20"/>
          <w:lang w:val="es-CR"/>
        </w:rPr>
        <w:t xml:space="preserve"> </w:t>
      </w:r>
      <w:r w:rsidRPr="0060216C">
        <w:rPr>
          <w:rFonts w:eastAsia="Times New Roman" w:cs="Times New Roman"/>
          <w:i w:val="0"/>
          <w:szCs w:val="20"/>
          <w:lang w:val="es-CR"/>
        </w:rPr>
        <w:t>y</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es</w:t>
      </w:r>
      <w:r w:rsidRPr="0060216C">
        <w:rPr>
          <w:rFonts w:eastAsia="Times New Roman" w:cs="Times New Roman"/>
          <w:i w:val="0"/>
          <w:spacing w:val="-1"/>
          <w:szCs w:val="20"/>
          <w:lang w:val="es-CR"/>
        </w:rPr>
        <w:t>t</w:t>
      </w:r>
      <w:r w:rsidRPr="0060216C">
        <w:rPr>
          <w:rFonts w:eastAsia="Times New Roman" w:cs="Times New Roman"/>
          <w:i w:val="0"/>
          <w:szCs w:val="20"/>
          <w:lang w:val="es-CR"/>
        </w:rPr>
        <w:t>o</w:t>
      </w:r>
      <w:r w:rsidRPr="0060216C">
        <w:rPr>
          <w:rFonts w:eastAsia="Times New Roman" w:cs="Times New Roman"/>
          <w:i w:val="0"/>
          <w:spacing w:val="7"/>
          <w:szCs w:val="20"/>
          <w:lang w:val="es-CR"/>
        </w:rPr>
        <w:t xml:space="preserve"> </w:t>
      </w:r>
      <w:r w:rsidRPr="0060216C">
        <w:rPr>
          <w:rFonts w:eastAsia="Times New Roman" w:cs="Times New Roman"/>
          <w:i w:val="0"/>
          <w:spacing w:val="-2"/>
          <w:szCs w:val="20"/>
          <w:lang w:val="es-CR"/>
        </w:rPr>
        <w:t>s</w:t>
      </w:r>
      <w:r w:rsidRPr="0060216C">
        <w:rPr>
          <w:rFonts w:eastAsia="Times New Roman" w:cs="Times New Roman"/>
          <w:i w:val="0"/>
          <w:szCs w:val="20"/>
          <w:lang w:val="es-CR"/>
        </w:rPr>
        <w:t>e</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re</w:t>
      </w:r>
      <w:r w:rsidRPr="0060216C">
        <w:rPr>
          <w:rFonts w:eastAsia="Times New Roman" w:cs="Times New Roman"/>
          <w:i w:val="0"/>
          <w:spacing w:val="-1"/>
          <w:szCs w:val="20"/>
          <w:lang w:val="es-CR"/>
        </w:rPr>
        <w:t>fi</w:t>
      </w:r>
      <w:r w:rsidRPr="0060216C">
        <w:rPr>
          <w:rFonts w:eastAsia="Times New Roman" w:cs="Times New Roman"/>
          <w:i w:val="0"/>
          <w:spacing w:val="2"/>
          <w:szCs w:val="20"/>
          <w:lang w:val="es-CR"/>
        </w:rPr>
        <w:t>e</w:t>
      </w:r>
      <w:r w:rsidRPr="0060216C">
        <w:rPr>
          <w:rFonts w:eastAsia="Times New Roman" w:cs="Times New Roman"/>
          <w:i w:val="0"/>
          <w:spacing w:val="-2"/>
          <w:szCs w:val="20"/>
          <w:lang w:val="es-CR"/>
        </w:rPr>
        <w:t>r</w:t>
      </w:r>
      <w:r w:rsidRPr="0060216C">
        <w:rPr>
          <w:rFonts w:eastAsia="Times New Roman" w:cs="Times New Roman"/>
          <w:i w:val="0"/>
          <w:szCs w:val="20"/>
          <w:lang w:val="es-CR"/>
        </w:rPr>
        <w:t>e</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a</w:t>
      </w:r>
      <w:r w:rsidRPr="0060216C">
        <w:rPr>
          <w:rFonts w:eastAsia="Times New Roman" w:cs="Times New Roman"/>
          <w:i w:val="0"/>
          <w:szCs w:val="20"/>
          <w:lang w:val="es-CR"/>
        </w:rPr>
        <w:t xml:space="preserve">l </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erec</w:t>
      </w:r>
      <w:r w:rsidRPr="0060216C">
        <w:rPr>
          <w:rFonts w:eastAsia="Times New Roman" w:cs="Times New Roman"/>
          <w:i w:val="0"/>
          <w:spacing w:val="2"/>
          <w:szCs w:val="20"/>
          <w:lang w:val="es-CR"/>
        </w:rPr>
        <w:t>h</w:t>
      </w:r>
      <w:r w:rsidRPr="0060216C">
        <w:rPr>
          <w:rFonts w:eastAsia="Times New Roman" w:cs="Times New Roman"/>
          <w:i w:val="0"/>
          <w:szCs w:val="20"/>
          <w:lang w:val="es-CR"/>
        </w:rPr>
        <w:t>o</w:t>
      </w:r>
      <w:r w:rsidRPr="0060216C">
        <w:rPr>
          <w:rFonts w:eastAsia="Times New Roman" w:cs="Times New Roman"/>
          <w:i w:val="0"/>
          <w:spacing w:val="31"/>
          <w:szCs w:val="20"/>
          <w:lang w:val="es-CR"/>
        </w:rPr>
        <w:t xml:space="preserve"> </w:t>
      </w:r>
      <w:r w:rsidRPr="0060216C">
        <w:rPr>
          <w:rFonts w:eastAsia="Times New Roman" w:cs="Times New Roman"/>
          <w:i w:val="0"/>
          <w:szCs w:val="20"/>
          <w:lang w:val="es-CR"/>
        </w:rPr>
        <w:t>a</w:t>
      </w:r>
      <w:r w:rsidRPr="0060216C">
        <w:rPr>
          <w:rFonts w:eastAsia="Times New Roman" w:cs="Times New Roman"/>
          <w:i w:val="0"/>
          <w:spacing w:val="31"/>
          <w:szCs w:val="20"/>
          <w:lang w:val="es-CR"/>
        </w:rPr>
        <w:t xml:space="preserve"> </w:t>
      </w:r>
      <w:r w:rsidRPr="0060216C">
        <w:rPr>
          <w:rFonts w:eastAsia="Times New Roman" w:cs="Times New Roman"/>
          <w:i w:val="0"/>
          <w:spacing w:val="-1"/>
          <w:szCs w:val="20"/>
          <w:lang w:val="es-CR"/>
        </w:rPr>
        <w:t>l</w:t>
      </w:r>
      <w:r w:rsidRPr="0060216C">
        <w:rPr>
          <w:rFonts w:eastAsia="Times New Roman" w:cs="Times New Roman"/>
          <w:i w:val="0"/>
          <w:szCs w:val="20"/>
          <w:lang w:val="es-CR"/>
        </w:rPr>
        <w:t>a</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s</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l</w:t>
      </w:r>
      <w:r w:rsidRPr="0060216C">
        <w:rPr>
          <w:rFonts w:eastAsia="Times New Roman" w:cs="Times New Roman"/>
          <w:i w:val="0"/>
          <w:spacing w:val="2"/>
          <w:szCs w:val="20"/>
          <w:lang w:val="es-CR"/>
        </w:rPr>
        <w:t>u</w:t>
      </w:r>
      <w:r w:rsidRPr="0060216C">
        <w:rPr>
          <w:rFonts w:eastAsia="Times New Roman" w:cs="Times New Roman"/>
          <w:i w:val="0"/>
          <w:szCs w:val="20"/>
          <w:lang w:val="es-CR"/>
        </w:rPr>
        <w:t>d</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e</w:t>
      </w:r>
      <w:r w:rsidRPr="0060216C">
        <w:rPr>
          <w:rFonts w:eastAsia="Times New Roman" w:cs="Times New Roman"/>
          <w:i w:val="0"/>
          <w:szCs w:val="20"/>
          <w:lang w:val="es-CR"/>
        </w:rPr>
        <w:t>n</w:t>
      </w:r>
      <w:r w:rsidRPr="0060216C">
        <w:rPr>
          <w:rFonts w:eastAsia="Times New Roman" w:cs="Times New Roman"/>
          <w:i w:val="0"/>
          <w:spacing w:val="27"/>
          <w:szCs w:val="20"/>
          <w:lang w:val="es-CR"/>
        </w:rPr>
        <w:t xml:space="preserve"> </w:t>
      </w:r>
      <w:r w:rsidRPr="0060216C">
        <w:rPr>
          <w:rFonts w:eastAsia="Times New Roman" w:cs="Times New Roman"/>
          <w:i w:val="0"/>
          <w:spacing w:val="2"/>
          <w:szCs w:val="20"/>
          <w:lang w:val="es-CR"/>
        </w:rPr>
        <w:t>g</w:t>
      </w:r>
      <w:r w:rsidRPr="0060216C">
        <w:rPr>
          <w:rFonts w:eastAsia="Times New Roman" w:cs="Times New Roman"/>
          <w:i w:val="0"/>
          <w:spacing w:val="-2"/>
          <w:szCs w:val="20"/>
          <w:lang w:val="es-CR"/>
        </w:rPr>
        <w:t>e</w:t>
      </w:r>
      <w:r w:rsidRPr="0060216C">
        <w:rPr>
          <w:rFonts w:eastAsia="Times New Roman" w:cs="Times New Roman"/>
          <w:i w:val="0"/>
          <w:spacing w:val="2"/>
          <w:szCs w:val="20"/>
          <w:lang w:val="es-CR"/>
        </w:rPr>
        <w:t>n</w:t>
      </w:r>
      <w:r w:rsidRPr="0060216C">
        <w:rPr>
          <w:rFonts w:eastAsia="Times New Roman" w:cs="Times New Roman"/>
          <w:i w:val="0"/>
          <w:spacing w:val="-2"/>
          <w:szCs w:val="20"/>
          <w:lang w:val="es-CR"/>
        </w:rPr>
        <w:t>er</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l</w:t>
      </w:r>
      <w:r w:rsidRPr="0060216C">
        <w:rPr>
          <w:rFonts w:eastAsia="Times New Roman" w:cs="Times New Roman"/>
          <w:i w:val="0"/>
          <w:szCs w:val="20"/>
          <w:lang w:val="es-CR"/>
        </w:rPr>
        <w:t>,</w:t>
      </w:r>
      <w:r w:rsidRPr="0060216C">
        <w:rPr>
          <w:rFonts w:eastAsia="Times New Roman" w:cs="Times New Roman"/>
          <w:i w:val="0"/>
          <w:spacing w:val="30"/>
          <w:szCs w:val="20"/>
          <w:lang w:val="es-CR"/>
        </w:rPr>
        <w:t xml:space="preserve"> </w:t>
      </w:r>
      <w:r w:rsidRPr="0060216C">
        <w:rPr>
          <w:rFonts w:eastAsia="Times New Roman" w:cs="Times New Roman"/>
          <w:i w:val="0"/>
          <w:spacing w:val="-1"/>
          <w:szCs w:val="20"/>
          <w:lang w:val="es-CR"/>
        </w:rPr>
        <w:t>t</w:t>
      </w:r>
      <w:r w:rsidRPr="0060216C">
        <w:rPr>
          <w:rFonts w:eastAsia="Times New Roman" w:cs="Times New Roman"/>
          <w:i w:val="0"/>
          <w:spacing w:val="2"/>
          <w:szCs w:val="20"/>
          <w:lang w:val="es-CR"/>
        </w:rPr>
        <w:t>an</w:t>
      </w:r>
      <w:r w:rsidRPr="0060216C">
        <w:rPr>
          <w:rFonts w:eastAsia="Times New Roman" w:cs="Times New Roman"/>
          <w:i w:val="0"/>
          <w:spacing w:val="-1"/>
          <w:szCs w:val="20"/>
          <w:lang w:val="es-CR"/>
        </w:rPr>
        <w:t>t</w:t>
      </w:r>
      <w:r w:rsidRPr="0060216C">
        <w:rPr>
          <w:rFonts w:eastAsia="Times New Roman" w:cs="Times New Roman"/>
          <w:i w:val="0"/>
          <w:szCs w:val="20"/>
          <w:lang w:val="es-CR"/>
        </w:rPr>
        <w:t>o</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u</w:t>
      </w:r>
      <w:r w:rsidRPr="0060216C">
        <w:rPr>
          <w:rFonts w:eastAsia="Times New Roman" w:cs="Times New Roman"/>
          <w:i w:val="0"/>
          <w:spacing w:val="-6"/>
          <w:szCs w:val="20"/>
          <w:lang w:val="es-CR"/>
        </w:rPr>
        <w:t>r</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ti</w:t>
      </w:r>
      <w:r w:rsidRPr="0060216C">
        <w:rPr>
          <w:rFonts w:eastAsia="Times New Roman" w:cs="Times New Roman"/>
          <w:i w:val="0"/>
          <w:spacing w:val="-2"/>
          <w:szCs w:val="20"/>
          <w:lang w:val="es-CR"/>
        </w:rPr>
        <w:t>v</w:t>
      </w:r>
      <w:r w:rsidRPr="0060216C">
        <w:rPr>
          <w:rFonts w:eastAsia="Times New Roman" w:cs="Times New Roman"/>
          <w:i w:val="0"/>
          <w:szCs w:val="20"/>
          <w:lang w:val="es-CR"/>
        </w:rPr>
        <w:t>a</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o</w:t>
      </w:r>
      <w:r w:rsidRPr="0060216C">
        <w:rPr>
          <w:rFonts w:eastAsia="Times New Roman" w:cs="Times New Roman"/>
          <w:i w:val="0"/>
          <w:spacing w:val="1"/>
          <w:szCs w:val="20"/>
          <w:lang w:val="es-CR"/>
        </w:rPr>
        <w:t>m</w:t>
      </w:r>
      <w:r w:rsidRPr="0060216C">
        <w:rPr>
          <w:rFonts w:eastAsia="Times New Roman" w:cs="Times New Roman"/>
          <w:i w:val="0"/>
          <w:szCs w:val="20"/>
          <w:lang w:val="es-CR"/>
        </w:rPr>
        <w:t>o</w:t>
      </w:r>
      <w:r w:rsidRPr="0060216C">
        <w:rPr>
          <w:rFonts w:eastAsia="Times New Roman" w:cs="Times New Roman"/>
          <w:i w:val="0"/>
          <w:spacing w:val="27"/>
          <w:szCs w:val="20"/>
          <w:lang w:val="es-CR"/>
        </w:rPr>
        <w:t xml:space="preserve"> </w:t>
      </w:r>
      <w:r w:rsidRPr="0060216C">
        <w:rPr>
          <w:rFonts w:eastAsia="Times New Roman" w:cs="Times New Roman"/>
          <w:i w:val="0"/>
          <w:spacing w:val="2"/>
          <w:szCs w:val="20"/>
          <w:lang w:val="es-CR"/>
        </w:rPr>
        <w:t>p</w:t>
      </w:r>
      <w:r w:rsidRPr="0060216C">
        <w:rPr>
          <w:rFonts w:eastAsia="Times New Roman" w:cs="Times New Roman"/>
          <w:i w:val="0"/>
          <w:spacing w:val="-2"/>
          <w:szCs w:val="20"/>
          <w:lang w:val="es-CR"/>
        </w:rPr>
        <w:t>reve</w:t>
      </w:r>
      <w:r w:rsidRPr="0060216C">
        <w:rPr>
          <w:rFonts w:eastAsia="Times New Roman" w:cs="Times New Roman"/>
          <w:i w:val="0"/>
          <w:spacing w:val="2"/>
          <w:szCs w:val="20"/>
          <w:lang w:val="es-CR"/>
        </w:rPr>
        <w:t>n</w:t>
      </w:r>
      <w:r w:rsidRPr="0060216C">
        <w:rPr>
          <w:rFonts w:eastAsia="Times New Roman" w:cs="Times New Roman"/>
          <w:i w:val="0"/>
          <w:spacing w:val="-1"/>
          <w:szCs w:val="20"/>
          <w:lang w:val="es-CR"/>
        </w:rPr>
        <w:t>ti</w:t>
      </w:r>
      <w:r w:rsidRPr="0060216C">
        <w:rPr>
          <w:rFonts w:eastAsia="Times New Roman" w:cs="Times New Roman"/>
          <w:i w:val="0"/>
          <w:spacing w:val="-2"/>
          <w:szCs w:val="20"/>
          <w:lang w:val="es-CR"/>
        </w:rPr>
        <w:t>v</w:t>
      </w:r>
      <w:r w:rsidRPr="0060216C">
        <w:rPr>
          <w:rFonts w:eastAsia="Times New Roman" w:cs="Times New Roman"/>
          <w:i w:val="0"/>
          <w:spacing w:val="2"/>
          <w:szCs w:val="20"/>
          <w:lang w:val="es-CR"/>
        </w:rPr>
        <w:t>a</w:t>
      </w:r>
      <w:r w:rsidRPr="0060216C">
        <w:rPr>
          <w:rFonts w:eastAsia="Times New Roman" w:cs="Times New Roman"/>
          <w:i w:val="0"/>
          <w:szCs w:val="20"/>
          <w:lang w:val="es-CR"/>
        </w:rPr>
        <w:t>,</w:t>
      </w:r>
      <w:r w:rsidRPr="0060216C">
        <w:rPr>
          <w:rFonts w:eastAsia="Times New Roman" w:cs="Times New Roman"/>
          <w:i w:val="0"/>
          <w:spacing w:val="30"/>
          <w:szCs w:val="20"/>
          <w:lang w:val="es-CR"/>
        </w:rPr>
        <w:t xml:space="preserve"> </w:t>
      </w:r>
      <w:r w:rsidRPr="0060216C">
        <w:rPr>
          <w:rFonts w:eastAsia="Times New Roman" w:cs="Times New Roman"/>
          <w:i w:val="0"/>
          <w:szCs w:val="20"/>
          <w:lang w:val="es-CR"/>
        </w:rPr>
        <w:t>y</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c</w:t>
      </w:r>
      <w:r w:rsidRPr="0060216C">
        <w:rPr>
          <w:rFonts w:eastAsia="Times New Roman" w:cs="Times New Roman"/>
          <w:i w:val="0"/>
          <w:spacing w:val="2"/>
          <w:szCs w:val="20"/>
          <w:lang w:val="es-CR"/>
        </w:rPr>
        <w:t>u</w:t>
      </w:r>
      <w:r w:rsidRPr="0060216C">
        <w:rPr>
          <w:rFonts w:eastAsia="Times New Roman" w:cs="Times New Roman"/>
          <w:i w:val="0"/>
          <w:spacing w:val="-2"/>
          <w:szCs w:val="20"/>
          <w:lang w:val="es-CR"/>
        </w:rPr>
        <w:t>y</w:t>
      </w:r>
      <w:r w:rsidRPr="0060216C">
        <w:rPr>
          <w:rFonts w:eastAsia="Times New Roman" w:cs="Times New Roman"/>
          <w:i w:val="0"/>
          <w:szCs w:val="20"/>
          <w:lang w:val="es-CR"/>
        </w:rPr>
        <w:t>a</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a</w:t>
      </w:r>
      <w:r w:rsidRPr="0060216C">
        <w:rPr>
          <w:rFonts w:eastAsia="Times New Roman" w:cs="Times New Roman"/>
          <w:i w:val="0"/>
          <w:spacing w:val="-1"/>
          <w:szCs w:val="20"/>
          <w:lang w:val="es-CR"/>
        </w:rPr>
        <w:t>t</w:t>
      </w:r>
      <w:r w:rsidRPr="0060216C">
        <w:rPr>
          <w:rFonts w:eastAsia="Times New Roman" w:cs="Times New Roman"/>
          <w:i w:val="0"/>
          <w:spacing w:val="-2"/>
          <w:szCs w:val="20"/>
          <w:lang w:val="es-CR"/>
        </w:rPr>
        <w:t>e</w:t>
      </w:r>
      <w:r w:rsidRPr="0060216C">
        <w:rPr>
          <w:rFonts w:eastAsia="Times New Roman" w:cs="Times New Roman"/>
          <w:i w:val="0"/>
          <w:spacing w:val="2"/>
          <w:szCs w:val="20"/>
          <w:lang w:val="es-CR"/>
        </w:rPr>
        <w:t>n</w:t>
      </w:r>
      <w:r w:rsidRPr="0060216C">
        <w:rPr>
          <w:rFonts w:eastAsia="Times New Roman" w:cs="Times New Roman"/>
          <w:i w:val="0"/>
          <w:spacing w:val="-2"/>
          <w:szCs w:val="20"/>
          <w:lang w:val="es-CR"/>
        </w:rPr>
        <w:t>c</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ó</w:t>
      </w:r>
      <w:r w:rsidRPr="0060216C">
        <w:rPr>
          <w:rFonts w:eastAsia="Times New Roman" w:cs="Times New Roman"/>
          <w:i w:val="0"/>
          <w:szCs w:val="20"/>
          <w:lang w:val="es-CR"/>
        </w:rPr>
        <w:t>n</w:t>
      </w:r>
      <w:r w:rsidRPr="0060216C">
        <w:rPr>
          <w:rFonts w:eastAsia="Times New Roman" w:cs="Times New Roman"/>
          <w:i w:val="0"/>
          <w:spacing w:val="31"/>
          <w:szCs w:val="20"/>
          <w:lang w:val="es-CR"/>
        </w:rPr>
        <w:t xml:space="preserve"> </w:t>
      </w:r>
      <w:r w:rsidRPr="0060216C">
        <w:rPr>
          <w:rFonts w:eastAsia="Times New Roman" w:cs="Times New Roman"/>
          <w:i w:val="0"/>
          <w:spacing w:val="-2"/>
          <w:szCs w:val="20"/>
          <w:lang w:val="es-CR"/>
        </w:rPr>
        <w:t>e</w:t>
      </w:r>
      <w:r w:rsidRPr="0060216C">
        <w:rPr>
          <w:rFonts w:eastAsia="Times New Roman" w:cs="Times New Roman"/>
          <w:i w:val="0"/>
          <w:szCs w:val="20"/>
          <w:lang w:val="es-CR"/>
        </w:rPr>
        <w:t>s</w:t>
      </w:r>
      <w:r w:rsidRPr="0060216C">
        <w:rPr>
          <w:rFonts w:eastAsia="Times New Roman" w:cs="Times New Roman"/>
          <w:i w:val="0"/>
          <w:spacing w:val="27"/>
          <w:szCs w:val="20"/>
          <w:lang w:val="es-CR"/>
        </w:rPr>
        <w:t xml:space="preserve"> </w:t>
      </w:r>
      <w:r w:rsidRPr="0060216C">
        <w:rPr>
          <w:rFonts w:eastAsia="Times New Roman" w:cs="Times New Roman"/>
          <w:i w:val="0"/>
          <w:spacing w:val="2"/>
          <w:szCs w:val="20"/>
          <w:lang w:val="es-CR"/>
        </w:rPr>
        <w:t>d</w:t>
      </w:r>
      <w:r w:rsidRPr="0060216C">
        <w:rPr>
          <w:rFonts w:eastAsia="Times New Roman" w:cs="Times New Roman"/>
          <w:i w:val="0"/>
          <w:spacing w:val="-2"/>
          <w:szCs w:val="20"/>
          <w:lang w:val="es-CR"/>
        </w:rPr>
        <w:t>e</w:t>
      </w:r>
      <w:r w:rsidRPr="0060216C">
        <w:rPr>
          <w:rFonts w:eastAsia="Times New Roman" w:cs="Times New Roman"/>
          <w:i w:val="0"/>
          <w:spacing w:val="2"/>
          <w:szCs w:val="20"/>
          <w:lang w:val="es-CR"/>
        </w:rPr>
        <w:t>b</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d</w:t>
      </w:r>
      <w:r w:rsidRPr="0060216C">
        <w:rPr>
          <w:rFonts w:eastAsia="Times New Roman" w:cs="Times New Roman"/>
          <w:i w:val="0"/>
          <w:szCs w:val="20"/>
          <w:lang w:val="es-CR"/>
        </w:rPr>
        <w:t>a</w:t>
      </w:r>
      <w:r w:rsidRPr="0060216C">
        <w:rPr>
          <w:rFonts w:eastAsia="Times New Roman" w:cs="Times New Roman"/>
          <w:i w:val="0"/>
          <w:spacing w:val="31"/>
          <w:szCs w:val="20"/>
          <w:lang w:val="es-CR"/>
        </w:rPr>
        <w:t xml:space="preserve"> </w:t>
      </w:r>
      <w:r w:rsidRPr="0060216C">
        <w:rPr>
          <w:rFonts w:eastAsia="Times New Roman" w:cs="Times New Roman"/>
          <w:i w:val="0"/>
          <w:szCs w:val="20"/>
          <w:lang w:val="es-CR"/>
        </w:rPr>
        <w:t xml:space="preserve">a </w:t>
      </w:r>
      <w:r w:rsidRPr="0060216C">
        <w:rPr>
          <w:rFonts w:eastAsia="Times New Roman" w:cs="Times New Roman"/>
          <w:i w:val="0"/>
          <w:spacing w:val="-1"/>
          <w:szCs w:val="20"/>
          <w:lang w:val="es-CR"/>
        </w:rPr>
        <w:t>t</w:t>
      </w:r>
      <w:r w:rsidRPr="0060216C">
        <w:rPr>
          <w:rFonts w:eastAsia="Times New Roman" w:cs="Times New Roman"/>
          <w:i w:val="0"/>
          <w:spacing w:val="2"/>
          <w:szCs w:val="20"/>
          <w:lang w:val="es-CR"/>
        </w:rPr>
        <w:t>od</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5"/>
          <w:szCs w:val="20"/>
          <w:lang w:val="es-CR"/>
        </w:rPr>
        <w:t>l</w:t>
      </w:r>
      <w:r w:rsidRPr="0060216C">
        <w:rPr>
          <w:rFonts w:eastAsia="Times New Roman" w:cs="Times New Roman"/>
          <w:i w:val="0"/>
          <w:szCs w:val="20"/>
          <w:lang w:val="es-CR"/>
        </w:rPr>
        <w:t>a</w:t>
      </w:r>
      <w:r w:rsidRPr="0060216C">
        <w:rPr>
          <w:rFonts w:eastAsia="Times New Roman" w:cs="Times New Roman"/>
          <w:i w:val="0"/>
          <w:spacing w:val="3"/>
          <w:szCs w:val="20"/>
          <w:lang w:val="es-CR"/>
        </w:rPr>
        <w:t xml:space="preserve"> </w:t>
      </w:r>
      <w:r w:rsidRPr="0060216C">
        <w:rPr>
          <w:rFonts w:eastAsia="Times New Roman" w:cs="Times New Roman"/>
          <w:i w:val="0"/>
          <w:spacing w:val="-2"/>
          <w:szCs w:val="20"/>
          <w:lang w:val="es-CR"/>
        </w:rPr>
        <w:t>p</w:t>
      </w:r>
      <w:r w:rsidRPr="0060216C">
        <w:rPr>
          <w:rFonts w:eastAsia="Times New Roman" w:cs="Times New Roman"/>
          <w:i w:val="0"/>
          <w:spacing w:val="2"/>
          <w:szCs w:val="20"/>
          <w:lang w:val="es-CR"/>
        </w:rPr>
        <w:t>ob</w:t>
      </w:r>
      <w:r w:rsidRPr="0060216C">
        <w:rPr>
          <w:rFonts w:eastAsia="Times New Roman" w:cs="Times New Roman"/>
          <w:i w:val="0"/>
          <w:spacing w:val="-5"/>
          <w:szCs w:val="20"/>
          <w:lang w:val="es-CR"/>
        </w:rPr>
        <w:t>l</w:t>
      </w:r>
      <w:r w:rsidRPr="0060216C">
        <w:rPr>
          <w:rFonts w:eastAsia="Times New Roman" w:cs="Times New Roman"/>
          <w:i w:val="0"/>
          <w:spacing w:val="2"/>
          <w:szCs w:val="20"/>
          <w:lang w:val="es-CR"/>
        </w:rPr>
        <w:t>a</w:t>
      </w:r>
      <w:r w:rsidRPr="0060216C">
        <w:rPr>
          <w:rFonts w:eastAsia="Times New Roman" w:cs="Times New Roman"/>
          <w:i w:val="0"/>
          <w:spacing w:val="-2"/>
          <w:szCs w:val="20"/>
          <w:lang w:val="es-CR"/>
        </w:rPr>
        <w:t>c</w:t>
      </w:r>
      <w:r w:rsidRPr="0060216C">
        <w:rPr>
          <w:rFonts w:eastAsia="Times New Roman" w:cs="Times New Roman"/>
          <w:i w:val="0"/>
          <w:spacing w:val="-1"/>
          <w:szCs w:val="20"/>
          <w:lang w:val="es-CR"/>
        </w:rPr>
        <w:t>i</w:t>
      </w:r>
      <w:r w:rsidRPr="0060216C">
        <w:rPr>
          <w:rFonts w:eastAsia="Times New Roman" w:cs="Times New Roman"/>
          <w:i w:val="0"/>
          <w:spacing w:val="2"/>
          <w:szCs w:val="20"/>
          <w:lang w:val="es-CR"/>
        </w:rPr>
        <w:t>ó</w:t>
      </w:r>
      <w:r w:rsidRPr="0060216C">
        <w:rPr>
          <w:rFonts w:eastAsia="Times New Roman" w:cs="Times New Roman"/>
          <w:i w:val="0"/>
          <w:spacing w:val="10"/>
          <w:szCs w:val="20"/>
          <w:lang w:val="es-CR"/>
        </w:rPr>
        <w:t xml:space="preserve">n. No obstante, alegaron que la </w:t>
      </w:r>
      <w:r w:rsidRPr="0060216C">
        <w:rPr>
          <w:rFonts w:eastAsia="Times New Roman" w:cs="Times New Roman"/>
          <w:bCs/>
          <w:i w:val="0"/>
          <w:spacing w:val="-2"/>
          <w:szCs w:val="20"/>
          <w:lang w:val="es-CO"/>
        </w:rPr>
        <w:t>re</w:t>
      </w:r>
      <w:r w:rsidRPr="0060216C">
        <w:rPr>
          <w:rFonts w:eastAsia="Times New Roman" w:cs="Times New Roman"/>
          <w:bCs/>
          <w:i w:val="0"/>
          <w:spacing w:val="2"/>
          <w:szCs w:val="20"/>
          <w:lang w:val="es-CO"/>
        </w:rPr>
        <w:t>a</w:t>
      </w:r>
      <w:r w:rsidRPr="0060216C">
        <w:rPr>
          <w:rFonts w:eastAsia="Times New Roman" w:cs="Times New Roman"/>
          <w:bCs/>
          <w:i w:val="0"/>
          <w:spacing w:val="-1"/>
          <w:szCs w:val="20"/>
          <w:lang w:val="es-CO"/>
        </w:rPr>
        <w:t>li</w:t>
      </w:r>
      <w:r w:rsidRPr="0060216C">
        <w:rPr>
          <w:rFonts w:eastAsia="Times New Roman" w:cs="Times New Roman"/>
          <w:bCs/>
          <w:i w:val="0"/>
          <w:spacing w:val="-2"/>
          <w:szCs w:val="20"/>
          <w:lang w:val="es-CO"/>
        </w:rPr>
        <w:t>z</w:t>
      </w:r>
      <w:r w:rsidRPr="0060216C">
        <w:rPr>
          <w:rFonts w:eastAsia="Times New Roman" w:cs="Times New Roman"/>
          <w:bCs/>
          <w:i w:val="0"/>
          <w:spacing w:val="2"/>
          <w:szCs w:val="20"/>
          <w:lang w:val="es-CO"/>
        </w:rPr>
        <w:t>ac</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ó</w:t>
      </w:r>
      <w:r w:rsidRPr="0060216C">
        <w:rPr>
          <w:rFonts w:eastAsia="Times New Roman" w:cs="Times New Roman"/>
          <w:bCs/>
          <w:i w:val="0"/>
          <w:szCs w:val="20"/>
          <w:lang w:val="es-CO"/>
        </w:rPr>
        <w:t>n</w:t>
      </w:r>
      <w:r w:rsidRPr="0060216C">
        <w:rPr>
          <w:rFonts w:eastAsia="Times New Roman" w:cs="Times New Roman"/>
          <w:bCs/>
          <w:i w:val="0"/>
          <w:spacing w:val="7"/>
          <w:szCs w:val="20"/>
          <w:lang w:val="es-CO"/>
        </w:rPr>
        <w:t xml:space="preserve"> </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e</w:t>
      </w:r>
      <w:r w:rsidRPr="0060216C">
        <w:rPr>
          <w:rFonts w:eastAsia="Times New Roman" w:cs="Times New Roman"/>
          <w:bCs/>
          <w:i w:val="0"/>
          <w:spacing w:val="3"/>
          <w:szCs w:val="20"/>
          <w:lang w:val="es-CO"/>
        </w:rPr>
        <w:t xml:space="preserve"> </w:t>
      </w:r>
      <w:r w:rsidRPr="0060216C">
        <w:rPr>
          <w:rFonts w:eastAsia="Times New Roman" w:cs="Times New Roman"/>
          <w:bCs/>
          <w:i w:val="0"/>
          <w:spacing w:val="-1"/>
          <w:szCs w:val="20"/>
          <w:lang w:val="es-CO"/>
        </w:rPr>
        <w:t>l</w:t>
      </w:r>
      <w:r w:rsidRPr="0060216C">
        <w:rPr>
          <w:rFonts w:eastAsia="Times New Roman" w:cs="Times New Roman"/>
          <w:bCs/>
          <w:i w:val="0"/>
          <w:spacing w:val="2"/>
          <w:szCs w:val="20"/>
          <w:lang w:val="es-CO"/>
        </w:rPr>
        <w:t>o</w:t>
      </w:r>
      <w:r w:rsidRPr="0060216C">
        <w:rPr>
          <w:rFonts w:eastAsia="Times New Roman" w:cs="Times New Roman"/>
          <w:bCs/>
          <w:i w:val="0"/>
          <w:szCs w:val="20"/>
          <w:lang w:val="es-CO"/>
        </w:rPr>
        <w:t>s</w:t>
      </w:r>
      <w:r w:rsidRPr="0060216C">
        <w:rPr>
          <w:rFonts w:eastAsia="Times New Roman" w:cs="Times New Roman"/>
          <w:bCs/>
          <w:i w:val="0"/>
          <w:spacing w:val="3"/>
          <w:szCs w:val="20"/>
          <w:lang w:val="es-CO"/>
        </w:rPr>
        <w:t xml:space="preserve"> </w:t>
      </w:r>
      <w:r w:rsidRPr="0060216C">
        <w:rPr>
          <w:rFonts w:eastAsia="Times New Roman" w:cs="Times New Roman"/>
          <w:bCs/>
          <w:i w:val="0"/>
          <w:spacing w:val="2"/>
          <w:szCs w:val="20"/>
          <w:lang w:val="es-CO"/>
        </w:rPr>
        <w:t>d</w:t>
      </w:r>
      <w:r w:rsidRPr="0060216C">
        <w:rPr>
          <w:rFonts w:eastAsia="Times New Roman" w:cs="Times New Roman"/>
          <w:bCs/>
          <w:i w:val="0"/>
          <w:spacing w:val="-2"/>
          <w:szCs w:val="20"/>
          <w:lang w:val="es-CO"/>
        </w:rPr>
        <w:t>erec</w:t>
      </w:r>
      <w:r w:rsidRPr="0060216C">
        <w:rPr>
          <w:rFonts w:eastAsia="Times New Roman" w:cs="Times New Roman"/>
          <w:bCs/>
          <w:i w:val="0"/>
          <w:spacing w:val="2"/>
          <w:szCs w:val="20"/>
          <w:lang w:val="es-CO"/>
        </w:rPr>
        <w:t>ho</w:t>
      </w:r>
      <w:r w:rsidRPr="0060216C">
        <w:rPr>
          <w:rFonts w:eastAsia="Times New Roman" w:cs="Times New Roman"/>
          <w:bCs/>
          <w:i w:val="0"/>
          <w:szCs w:val="20"/>
          <w:lang w:val="es-CO"/>
        </w:rPr>
        <w:t>s</w:t>
      </w:r>
      <w:r w:rsidRPr="0060216C">
        <w:rPr>
          <w:rFonts w:eastAsia="Times New Roman" w:cs="Times New Roman"/>
          <w:bCs/>
          <w:i w:val="0"/>
          <w:spacing w:val="3"/>
          <w:szCs w:val="20"/>
          <w:lang w:val="es-CO"/>
        </w:rPr>
        <w:t xml:space="preserve"> </w:t>
      </w:r>
      <w:r w:rsidRPr="0060216C">
        <w:rPr>
          <w:rFonts w:eastAsia="Times New Roman" w:cs="Times New Roman"/>
          <w:bCs/>
          <w:i w:val="0"/>
          <w:spacing w:val="-2"/>
          <w:szCs w:val="20"/>
          <w:lang w:val="es-CO"/>
        </w:rPr>
        <w:t>s</w:t>
      </w:r>
      <w:r w:rsidRPr="0060216C">
        <w:rPr>
          <w:rFonts w:eastAsia="Times New Roman" w:cs="Times New Roman"/>
          <w:bCs/>
          <w:i w:val="0"/>
          <w:spacing w:val="2"/>
          <w:szCs w:val="20"/>
          <w:lang w:val="es-CO"/>
        </w:rPr>
        <w:t>oc</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a</w:t>
      </w:r>
      <w:r w:rsidRPr="0060216C">
        <w:rPr>
          <w:rFonts w:eastAsia="Times New Roman" w:cs="Times New Roman"/>
          <w:bCs/>
          <w:i w:val="0"/>
          <w:spacing w:val="-1"/>
          <w:szCs w:val="20"/>
          <w:lang w:val="es-CO"/>
        </w:rPr>
        <w:t>l</w:t>
      </w:r>
      <w:r w:rsidRPr="0060216C">
        <w:rPr>
          <w:rFonts w:eastAsia="Times New Roman" w:cs="Times New Roman"/>
          <w:bCs/>
          <w:i w:val="0"/>
          <w:spacing w:val="-2"/>
          <w:szCs w:val="20"/>
          <w:lang w:val="es-CO"/>
        </w:rPr>
        <w:t>e</w:t>
      </w:r>
      <w:r w:rsidRPr="0060216C">
        <w:rPr>
          <w:rFonts w:eastAsia="Times New Roman" w:cs="Times New Roman"/>
          <w:bCs/>
          <w:i w:val="0"/>
          <w:szCs w:val="20"/>
          <w:lang w:val="es-CO"/>
        </w:rPr>
        <w:t>s</w:t>
      </w:r>
      <w:r w:rsidRPr="0060216C">
        <w:rPr>
          <w:rFonts w:eastAsia="Times New Roman" w:cs="Times New Roman"/>
          <w:bCs/>
          <w:i w:val="0"/>
          <w:spacing w:val="7"/>
          <w:szCs w:val="20"/>
          <w:lang w:val="es-CO"/>
        </w:rPr>
        <w:t xml:space="preserve"> </w:t>
      </w:r>
      <w:r w:rsidRPr="0060216C">
        <w:rPr>
          <w:rFonts w:eastAsia="Times New Roman" w:cs="Times New Roman"/>
          <w:bCs/>
          <w:i w:val="0"/>
          <w:szCs w:val="20"/>
          <w:lang w:val="es-CO"/>
        </w:rPr>
        <w:t xml:space="preserve">y </w:t>
      </w:r>
      <w:r w:rsidRPr="0060216C">
        <w:rPr>
          <w:rFonts w:eastAsia="Times New Roman" w:cs="Times New Roman"/>
          <w:bCs/>
          <w:i w:val="0"/>
          <w:spacing w:val="-2"/>
          <w:szCs w:val="20"/>
          <w:lang w:val="es-CO"/>
        </w:rPr>
        <w:t>ec</w:t>
      </w:r>
      <w:r w:rsidRPr="0060216C">
        <w:rPr>
          <w:rFonts w:eastAsia="Times New Roman" w:cs="Times New Roman"/>
          <w:bCs/>
          <w:i w:val="0"/>
          <w:spacing w:val="2"/>
          <w:szCs w:val="20"/>
          <w:lang w:val="es-CO"/>
        </w:rPr>
        <w:t>onó</w:t>
      </w:r>
      <w:r w:rsidRPr="0060216C">
        <w:rPr>
          <w:rFonts w:eastAsia="Times New Roman" w:cs="Times New Roman"/>
          <w:bCs/>
          <w:i w:val="0"/>
          <w:spacing w:val="1"/>
          <w:szCs w:val="20"/>
          <w:lang w:val="es-CO"/>
        </w:rPr>
        <w:t>m</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c</w:t>
      </w:r>
      <w:r w:rsidRPr="0060216C">
        <w:rPr>
          <w:rFonts w:eastAsia="Times New Roman" w:cs="Times New Roman"/>
          <w:bCs/>
          <w:i w:val="0"/>
          <w:spacing w:val="2"/>
          <w:szCs w:val="20"/>
          <w:lang w:val="es-CO"/>
        </w:rPr>
        <w:t>o</w:t>
      </w:r>
      <w:r w:rsidRPr="0060216C">
        <w:rPr>
          <w:rFonts w:eastAsia="Times New Roman" w:cs="Times New Roman"/>
          <w:bCs/>
          <w:i w:val="0"/>
          <w:szCs w:val="20"/>
          <w:lang w:val="es-CO"/>
        </w:rPr>
        <w:t>s</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d</w:t>
      </w:r>
      <w:r w:rsidRPr="0060216C">
        <w:rPr>
          <w:rFonts w:eastAsia="Times New Roman" w:cs="Times New Roman"/>
          <w:bCs/>
          <w:i w:val="0"/>
          <w:spacing w:val="-2"/>
          <w:szCs w:val="20"/>
          <w:lang w:val="es-CO"/>
        </w:rPr>
        <w:t>e</w:t>
      </w:r>
      <w:r w:rsidRPr="0060216C">
        <w:rPr>
          <w:rFonts w:eastAsia="Times New Roman" w:cs="Times New Roman"/>
          <w:bCs/>
          <w:i w:val="0"/>
          <w:spacing w:val="2"/>
          <w:szCs w:val="20"/>
          <w:lang w:val="es-CO"/>
        </w:rPr>
        <w:t>p</w:t>
      </w:r>
      <w:r w:rsidRPr="0060216C">
        <w:rPr>
          <w:rFonts w:eastAsia="Times New Roman" w:cs="Times New Roman"/>
          <w:bCs/>
          <w:i w:val="0"/>
          <w:spacing w:val="-2"/>
          <w:szCs w:val="20"/>
          <w:lang w:val="es-CO"/>
        </w:rPr>
        <w:t>en</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 xml:space="preserve">e </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e</w:t>
      </w:r>
      <w:r w:rsidRPr="0060216C">
        <w:rPr>
          <w:rFonts w:eastAsia="Times New Roman" w:cs="Times New Roman"/>
          <w:bCs/>
          <w:i w:val="0"/>
          <w:spacing w:val="4"/>
          <w:szCs w:val="20"/>
          <w:lang w:val="es-CO"/>
        </w:rPr>
        <w:t xml:space="preserve"> </w:t>
      </w:r>
      <w:r w:rsidRPr="0060216C">
        <w:rPr>
          <w:rFonts w:eastAsia="Times New Roman" w:cs="Times New Roman"/>
          <w:bCs/>
          <w:i w:val="0"/>
          <w:spacing w:val="-1"/>
          <w:szCs w:val="20"/>
          <w:lang w:val="es-CO"/>
        </w:rPr>
        <w:t>l</w:t>
      </w:r>
      <w:r w:rsidRPr="0060216C">
        <w:rPr>
          <w:rFonts w:eastAsia="Times New Roman" w:cs="Times New Roman"/>
          <w:bCs/>
          <w:i w:val="0"/>
          <w:szCs w:val="20"/>
          <w:lang w:val="es-CO"/>
        </w:rPr>
        <w:t>a</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s</w:t>
      </w:r>
      <w:r w:rsidRPr="0060216C">
        <w:rPr>
          <w:rFonts w:eastAsia="Times New Roman" w:cs="Times New Roman"/>
          <w:bCs/>
          <w:i w:val="0"/>
          <w:spacing w:val="-1"/>
          <w:szCs w:val="20"/>
          <w:lang w:val="es-CO"/>
        </w:rPr>
        <w:t>it</w:t>
      </w:r>
      <w:r w:rsidRPr="0060216C">
        <w:rPr>
          <w:rFonts w:eastAsia="Times New Roman" w:cs="Times New Roman"/>
          <w:bCs/>
          <w:i w:val="0"/>
          <w:spacing w:val="2"/>
          <w:szCs w:val="20"/>
          <w:lang w:val="es-CO"/>
        </w:rPr>
        <w:t>ua</w:t>
      </w:r>
      <w:r w:rsidRPr="0060216C">
        <w:rPr>
          <w:rFonts w:eastAsia="Times New Roman" w:cs="Times New Roman"/>
          <w:bCs/>
          <w:i w:val="0"/>
          <w:spacing w:val="-2"/>
          <w:szCs w:val="20"/>
          <w:lang w:val="es-CO"/>
        </w:rPr>
        <w:t>c</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ó</w:t>
      </w:r>
      <w:r w:rsidRPr="0060216C">
        <w:rPr>
          <w:rFonts w:eastAsia="Times New Roman" w:cs="Times New Roman"/>
          <w:bCs/>
          <w:i w:val="0"/>
          <w:szCs w:val="20"/>
          <w:lang w:val="es-CO"/>
        </w:rPr>
        <w:t>n</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e</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ca</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a</w:t>
      </w:r>
      <w:r w:rsidRPr="0060216C">
        <w:rPr>
          <w:rFonts w:eastAsia="Times New Roman" w:cs="Times New Roman"/>
          <w:bCs/>
          <w:i w:val="0"/>
          <w:spacing w:val="4"/>
          <w:szCs w:val="20"/>
          <w:lang w:val="es-CO"/>
        </w:rPr>
        <w:t xml:space="preserve"> </w:t>
      </w:r>
      <w:r w:rsidRPr="0060216C">
        <w:rPr>
          <w:rFonts w:eastAsia="Times New Roman" w:cs="Times New Roman"/>
          <w:bCs/>
          <w:i w:val="0"/>
          <w:spacing w:val="1"/>
          <w:szCs w:val="20"/>
          <w:lang w:val="es-CO"/>
        </w:rPr>
        <w:t>Estado</w:t>
      </w:r>
      <w:r w:rsidRPr="0060216C">
        <w:rPr>
          <w:rFonts w:eastAsia="Times New Roman" w:cs="Times New Roman"/>
          <w:bCs/>
          <w:i w:val="0"/>
          <w:szCs w:val="20"/>
          <w:lang w:val="es-CO"/>
        </w:rPr>
        <w:t>,</w:t>
      </w:r>
      <w:r w:rsidRPr="0060216C">
        <w:rPr>
          <w:rFonts w:eastAsia="Times New Roman" w:cs="Times New Roman"/>
          <w:bCs/>
          <w:i w:val="0"/>
          <w:spacing w:val="3"/>
          <w:szCs w:val="20"/>
          <w:lang w:val="es-CO"/>
        </w:rPr>
        <w:t xml:space="preserve"> </w:t>
      </w:r>
      <w:r w:rsidRPr="0060216C">
        <w:rPr>
          <w:rFonts w:eastAsia="Times New Roman" w:cs="Times New Roman"/>
          <w:bCs/>
          <w:i w:val="0"/>
          <w:szCs w:val="20"/>
          <w:lang w:val="es-CO"/>
        </w:rPr>
        <w:t>y</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s</w:t>
      </w:r>
      <w:r w:rsidRPr="0060216C">
        <w:rPr>
          <w:rFonts w:eastAsia="Times New Roman" w:cs="Times New Roman"/>
          <w:bCs/>
          <w:i w:val="0"/>
          <w:spacing w:val="2"/>
          <w:szCs w:val="20"/>
          <w:lang w:val="es-CO"/>
        </w:rPr>
        <w:t>ob</w:t>
      </w:r>
      <w:r w:rsidRPr="0060216C">
        <w:rPr>
          <w:rFonts w:eastAsia="Times New Roman" w:cs="Times New Roman"/>
          <w:bCs/>
          <w:i w:val="0"/>
          <w:spacing w:val="-2"/>
          <w:szCs w:val="20"/>
          <w:lang w:val="es-CO"/>
        </w:rPr>
        <w:t>r</w:t>
      </w:r>
      <w:r w:rsidRPr="0060216C">
        <w:rPr>
          <w:rFonts w:eastAsia="Times New Roman" w:cs="Times New Roman"/>
          <w:bCs/>
          <w:i w:val="0"/>
          <w:szCs w:val="20"/>
          <w:lang w:val="es-CO"/>
        </w:rPr>
        <w:t>e</w:t>
      </w:r>
      <w:r w:rsidRPr="0060216C">
        <w:rPr>
          <w:rFonts w:eastAsia="Times New Roman" w:cs="Times New Roman"/>
          <w:bCs/>
          <w:i w:val="0"/>
          <w:spacing w:val="4"/>
          <w:szCs w:val="20"/>
          <w:lang w:val="es-CO"/>
        </w:rPr>
        <w:t xml:space="preserve"> </w:t>
      </w:r>
      <w:r w:rsidRPr="0060216C">
        <w:rPr>
          <w:rFonts w:eastAsia="Times New Roman" w:cs="Times New Roman"/>
          <w:bCs/>
          <w:i w:val="0"/>
          <w:spacing w:val="-1"/>
          <w:szCs w:val="20"/>
          <w:lang w:val="es-CO"/>
        </w:rPr>
        <w:t>t</w:t>
      </w:r>
      <w:r w:rsidRPr="0060216C">
        <w:rPr>
          <w:rFonts w:eastAsia="Times New Roman" w:cs="Times New Roman"/>
          <w:bCs/>
          <w:i w:val="0"/>
          <w:spacing w:val="-2"/>
          <w:szCs w:val="20"/>
          <w:lang w:val="es-CO"/>
        </w:rPr>
        <w:t>o</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o</w:t>
      </w:r>
      <w:r w:rsidRPr="0060216C">
        <w:rPr>
          <w:rFonts w:eastAsia="Times New Roman" w:cs="Times New Roman"/>
          <w:bCs/>
          <w:i w:val="0"/>
          <w:spacing w:val="4"/>
          <w:szCs w:val="20"/>
          <w:lang w:val="es-CO"/>
        </w:rPr>
        <w:t xml:space="preserve"> </w:t>
      </w:r>
      <w:r w:rsidRPr="0060216C">
        <w:rPr>
          <w:rFonts w:eastAsia="Times New Roman" w:cs="Times New Roman"/>
          <w:bCs/>
          <w:i w:val="0"/>
          <w:spacing w:val="2"/>
          <w:szCs w:val="20"/>
          <w:lang w:val="es-CO"/>
        </w:rPr>
        <w:t>d</w:t>
      </w:r>
      <w:r w:rsidRPr="0060216C">
        <w:rPr>
          <w:rFonts w:eastAsia="Times New Roman" w:cs="Times New Roman"/>
          <w:bCs/>
          <w:i w:val="0"/>
          <w:szCs w:val="20"/>
          <w:lang w:val="es-CO"/>
        </w:rPr>
        <w:t xml:space="preserve">e </w:t>
      </w:r>
      <w:r w:rsidRPr="0060216C">
        <w:rPr>
          <w:rFonts w:eastAsia="Times New Roman" w:cs="Times New Roman"/>
          <w:bCs/>
          <w:i w:val="0"/>
          <w:spacing w:val="-2"/>
          <w:szCs w:val="20"/>
          <w:lang w:val="es-CO"/>
        </w:rPr>
        <w:t>s</w:t>
      </w:r>
      <w:r w:rsidRPr="0060216C">
        <w:rPr>
          <w:rFonts w:eastAsia="Times New Roman" w:cs="Times New Roman"/>
          <w:bCs/>
          <w:i w:val="0"/>
          <w:szCs w:val="20"/>
          <w:lang w:val="es-CO"/>
        </w:rPr>
        <w:t>u</w:t>
      </w:r>
      <w:r w:rsidRPr="0060216C">
        <w:rPr>
          <w:rFonts w:eastAsia="Times New Roman" w:cs="Times New Roman"/>
          <w:bCs/>
          <w:i w:val="0"/>
          <w:spacing w:val="8"/>
          <w:szCs w:val="20"/>
          <w:lang w:val="es-CO"/>
        </w:rPr>
        <w:t xml:space="preserve"> </w:t>
      </w:r>
      <w:r w:rsidRPr="0060216C">
        <w:rPr>
          <w:rFonts w:eastAsia="Times New Roman" w:cs="Times New Roman"/>
          <w:bCs/>
          <w:i w:val="0"/>
          <w:spacing w:val="-2"/>
          <w:szCs w:val="20"/>
          <w:lang w:val="es-CO"/>
        </w:rPr>
        <w:t>s</w:t>
      </w:r>
      <w:r w:rsidRPr="0060216C">
        <w:rPr>
          <w:rFonts w:eastAsia="Times New Roman" w:cs="Times New Roman"/>
          <w:bCs/>
          <w:i w:val="0"/>
          <w:spacing w:val="-1"/>
          <w:szCs w:val="20"/>
          <w:lang w:val="es-CO"/>
        </w:rPr>
        <w:t>it</w:t>
      </w:r>
      <w:r w:rsidRPr="0060216C">
        <w:rPr>
          <w:rFonts w:eastAsia="Times New Roman" w:cs="Times New Roman"/>
          <w:bCs/>
          <w:i w:val="0"/>
          <w:spacing w:val="2"/>
          <w:szCs w:val="20"/>
          <w:lang w:val="es-CO"/>
        </w:rPr>
        <w:t>ua</w:t>
      </w:r>
      <w:r w:rsidRPr="0060216C">
        <w:rPr>
          <w:rFonts w:eastAsia="Times New Roman" w:cs="Times New Roman"/>
          <w:bCs/>
          <w:i w:val="0"/>
          <w:spacing w:val="-2"/>
          <w:szCs w:val="20"/>
          <w:lang w:val="es-CO"/>
        </w:rPr>
        <w:t>c</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ó</w:t>
      </w:r>
      <w:r w:rsidRPr="0060216C">
        <w:rPr>
          <w:rFonts w:eastAsia="Times New Roman" w:cs="Times New Roman"/>
          <w:bCs/>
          <w:i w:val="0"/>
          <w:szCs w:val="20"/>
          <w:lang w:val="es-CO"/>
        </w:rPr>
        <w:t xml:space="preserve">n </w:t>
      </w:r>
      <w:r w:rsidRPr="0060216C">
        <w:rPr>
          <w:rFonts w:eastAsia="Times New Roman" w:cs="Times New Roman"/>
          <w:bCs/>
          <w:i w:val="0"/>
          <w:spacing w:val="-2"/>
          <w:szCs w:val="20"/>
          <w:lang w:val="es-CO"/>
        </w:rPr>
        <w:t>ec</w:t>
      </w:r>
      <w:r w:rsidRPr="0060216C">
        <w:rPr>
          <w:rFonts w:eastAsia="Times New Roman" w:cs="Times New Roman"/>
          <w:bCs/>
          <w:i w:val="0"/>
          <w:spacing w:val="2"/>
          <w:szCs w:val="20"/>
          <w:lang w:val="es-CO"/>
        </w:rPr>
        <w:t>onó</w:t>
      </w:r>
      <w:r w:rsidRPr="0060216C">
        <w:rPr>
          <w:rFonts w:eastAsia="Times New Roman" w:cs="Times New Roman"/>
          <w:bCs/>
          <w:i w:val="0"/>
          <w:spacing w:val="1"/>
          <w:szCs w:val="20"/>
          <w:lang w:val="es-CO"/>
        </w:rPr>
        <w:t>m</w:t>
      </w:r>
      <w:r w:rsidRPr="0060216C">
        <w:rPr>
          <w:rFonts w:eastAsia="Times New Roman" w:cs="Times New Roman"/>
          <w:bCs/>
          <w:i w:val="0"/>
          <w:spacing w:val="-1"/>
          <w:szCs w:val="20"/>
          <w:lang w:val="es-CO"/>
        </w:rPr>
        <w:t>i</w:t>
      </w:r>
      <w:r w:rsidRPr="0060216C">
        <w:rPr>
          <w:rFonts w:eastAsia="Times New Roman" w:cs="Times New Roman"/>
          <w:bCs/>
          <w:i w:val="0"/>
          <w:spacing w:val="-2"/>
          <w:szCs w:val="20"/>
          <w:lang w:val="es-CO"/>
        </w:rPr>
        <w:t>c</w:t>
      </w:r>
      <w:r w:rsidRPr="0060216C">
        <w:rPr>
          <w:rFonts w:eastAsia="Times New Roman" w:cs="Times New Roman"/>
          <w:bCs/>
          <w:i w:val="0"/>
          <w:szCs w:val="20"/>
          <w:lang w:val="es-CO"/>
        </w:rPr>
        <w:t xml:space="preserve">a, </w:t>
      </w:r>
      <w:r w:rsidRPr="0060216C">
        <w:rPr>
          <w:rFonts w:eastAsia="Times New Roman" w:cs="Times New Roman"/>
          <w:bCs/>
          <w:i w:val="0"/>
          <w:spacing w:val="-1"/>
          <w:szCs w:val="20"/>
          <w:lang w:val="es-CO"/>
        </w:rPr>
        <w:t>y por tanto</w:t>
      </w:r>
      <w:r w:rsidRPr="0060216C">
        <w:rPr>
          <w:rFonts w:eastAsia="Times New Roman" w:cs="Times New Roman"/>
          <w:b/>
          <w:bCs/>
          <w:i w:val="0"/>
          <w:spacing w:val="-1"/>
          <w:szCs w:val="20"/>
          <w:lang w:val="es-CO"/>
        </w:rPr>
        <w:t xml:space="preserve"> </w:t>
      </w:r>
      <w:r w:rsidRPr="0060216C">
        <w:rPr>
          <w:rFonts w:eastAsia="Times New Roman" w:cs="Times New Roman"/>
          <w:i w:val="0"/>
          <w:spacing w:val="-2"/>
          <w:szCs w:val="20"/>
          <w:lang w:val="es-CO"/>
        </w:rPr>
        <w:t>n</w:t>
      </w:r>
      <w:r w:rsidRPr="0060216C">
        <w:rPr>
          <w:rFonts w:eastAsia="Times New Roman" w:cs="Times New Roman"/>
          <w:i w:val="0"/>
          <w:szCs w:val="20"/>
          <w:lang w:val="es-CO"/>
        </w:rPr>
        <w:t>o</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od</w:t>
      </w:r>
      <w:r w:rsidRPr="0060216C">
        <w:rPr>
          <w:rFonts w:eastAsia="Times New Roman" w:cs="Times New Roman"/>
          <w:i w:val="0"/>
          <w:spacing w:val="-6"/>
          <w:szCs w:val="20"/>
          <w:lang w:val="es-CO"/>
        </w:rPr>
        <w:t>r</w:t>
      </w:r>
      <w:r w:rsidRPr="0060216C">
        <w:rPr>
          <w:rFonts w:eastAsia="Times New Roman" w:cs="Times New Roman"/>
          <w:i w:val="0"/>
          <w:szCs w:val="20"/>
          <w:lang w:val="es-CO"/>
        </w:rPr>
        <w:t>á</w:t>
      </w:r>
      <w:r w:rsidRPr="0060216C">
        <w:rPr>
          <w:rFonts w:eastAsia="Times New Roman" w:cs="Times New Roman"/>
          <w:i w:val="0"/>
          <w:spacing w:val="4"/>
          <w:szCs w:val="20"/>
          <w:lang w:val="es-CO"/>
        </w:rPr>
        <w:t xml:space="preserve"> </w:t>
      </w:r>
      <w:r w:rsidRPr="0060216C">
        <w:rPr>
          <w:rFonts w:eastAsia="Times New Roman" w:cs="Times New Roman"/>
          <w:i w:val="0"/>
          <w:spacing w:val="-1"/>
          <w:szCs w:val="20"/>
          <w:lang w:val="es-CO"/>
        </w:rPr>
        <w:t>l</w:t>
      </w:r>
      <w:r w:rsidRPr="0060216C">
        <w:rPr>
          <w:rFonts w:eastAsia="Times New Roman" w:cs="Times New Roman"/>
          <w:i w:val="0"/>
          <w:spacing w:val="-2"/>
          <w:szCs w:val="20"/>
          <w:lang w:val="es-CO"/>
        </w:rPr>
        <w:t>o</w:t>
      </w:r>
      <w:r w:rsidRPr="0060216C">
        <w:rPr>
          <w:rFonts w:eastAsia="Times New Roman" w:cs="Times New Roman"/>
          <w:i w:val="0"/>
          <w:spacing w:val="2"/>
          <w:szCs w:val="20"/>
          <w:lang w:val="es-CO"/>
        </w:rPr>
        <w:t>g</w:t>
      </w:r>
      <w:r w:rsidRPr="0060216C">
        <w:rPr>
          <w:rFonts w:eastAsia="Times New Roman" w:cs="Times New Roman"/>
          <w:i w:val="0"/>
          <w:spacing w:val="-2"/>
          <w:szCs w:val="20"/>
          <w:lang w:val="es-CO"/>
        </w:rPr>
        <w:t>r</w:t>
      </w:r>
      <w:r w:rsidRPr="0060216C">
        <w:rPr>
          <w:rFonts w:eastAsia="Times New Roman" w:cs="Times New Roman"/>
          <w:i w:val="0"/>
          <w:spacing w:val="2"/>
          <w:szCs w:val="20"/>
          <w:lang w:val="es-CO"/>
        </w:rPr>
        <w:t>a</w:t>
      </w:r>
      <w:r w:rsidRPr="0060216C">
        <w:rPr>
          <w:rFonts w:eastAsia="Times New Roman" w:cs="Times New Roman"/>
          <w:i w:val="0"/>
          <w:spacing w:val="-2"/>
          <w:szCs w:val="20"/>
          <w:lang w:val="es-CO"/>
        </w:rPr>
        <w:t>rs</w:t>
      </w:r>
      <w:r w:rsidRPr="0060216C">
        <w:rPr>
          <w:rFonts w:eastAsia="Times New Roman" w:cs="Times New Roman"/>
          <w:i w:val="0"/>
          <w:szCs w:val="20"/>
          <w:lang w:val="es-CO"/>
        </w:rPr>
        <w:t xml:space="preserve">e </w:t>
      </w:r>
      <w:r w:rsidRPr="0060216C">
        <w:rPr>
          <w:rFonts w:eastAsia="Times New Roman" w:cs="Times New Roman"/>
          <w:i w:val="0"/>
          <w:spacing w:val="-2"/>
          <w:szCs w:val="20"/>
          <w:lang w:val="es-CO"/>
        </w:rPr>
        <w:t>e</w:t>
      </w:r>
      <w:r w:rsidRPr="0060216C">
        <w:rPr>
          <w:rFonts w:eastAsia="Times New Roman" w:cs="Times New Roman"/>
          <w:i w:val="0"/>
          <w:szCs w:val="20"/>
          <w:lang w:val="es-CO"/>
        </w:rPr>
        <w:t>n</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u</w:t>
      </w:r>
      <w:r w:rsidRPr="0060216C">
        <w:rPr>
          <w:rFonts w:eastAsia="Times New Roman" w:cs="Times New Roman"/>
          <w:i w:val="0"/>
          <w:szCs w:val="20"/>
          <w:lang w:val="es-CO"/>
        </w:rPr>
        <w:t xml:space="preserve">n </w:t>
      </w:r>
      <w:r w:rsidRPr="0060216C">
        <w:rPr>
          <w:rFonts w:eastAsia="Times New Roman" w:cs="Times New Roman"/>
          <w:i w:val="0"/>
          <w:spacing w:val="2"/>
          <w:szCs w:val="20"/>
          <w:lang w:val="es-CO"/>
        </w:rPr>
        <w:t>b</w:t>
      </w:r>
      <w:r w:rsidRPr="0060216C">
        <w:rPr>
          <w:rFonts w:eastAsia="Times New Roman" w:cs="Times New Roman"/>
          <w:i w:val="0"/>
          <w:spacing w:val="-2"/>
          <w:szCs w:val="20"/>
          <w:lang w:val="es-CO"/>
        </w:rPr>
        <w:t>rev</w:t>
      </w:r>
      <w:r w:rsidRPr="0060216C">
        <w:rPr>
          <w:rFonts w:eastAsia="Times New Roman" w:cs="Times New Roman"/>
          <w:i w:val="0"/>
          <w:szCs w:val="20"/>
          <w:lang w:val="es-CO"/>
        </w:rPr>
        <w:t>e</w:t>
      </w:r>
      <w:r w:rsidRPr="0060216C">
        <w:rPr>
          <w:rFonts w:eastAsia="Times New Roman" w:cs="Times New Roman"/>
          <w:i w:val="0"/>
          <w:spacing w:val="4"/>
          <w:szCs w:val="20"/>
          <w:lang w:val="es-CO"/>
        </w:rPr>
        <w:t xml:space="preserve"> </w:t>
      </w:r>
      <w:r w:rsidRPr="0060216C">
        <w:rPr>
          <w:rFonts w:eastAsia="Times New Roman" w:cs="Times New Roman"/>
          <w:i w:val="0"/>
          <w:spacing w:val="2"/>
          <w:szCs w:val="20"/>
          <w:lang w:val="es-CO"/>
        </w:rPr>
        <w:t>p</w:t>
      </w:r>
      <w:r w:rsidRPr="0060216C">
        <w:rPr>
          <w:rFonts w:eastAsia="Times New Roman" w:cs="Times New Roman"/>
          <w:i w:val="0"/>
          <w:spacing w:val="-2"/>
          <w:szCs w:val="20"/>
          <w:lang w:val="es-CO"/>
        </w:rPr>
        <w:t>er</w:t>
      </w:r>
      <w:r w:rsidRPr="0060216C">
        <w:rPr>
          <w:rFonts w:eastAsia="Times New Roman" w:cs="Times New Roman"/>
          <w:i w:val="0"/>
          <w:spacing w:val="-1"/>
          <w:szCs w:val="20"/>
          <w:lang w:val="es-CO"/>
        </w:rPr>
        <w:t>í</w:t>
      </w:r>
      <w:r w:rsidRPr="0060216C">
        <w:rPr>
          <w:rFonts w:eastAsia="Times New Roman" w:cs="Times New Roman"/>
          <w:i w:val="0"/>
          <w:spacing w:val="2"/>
          <w:szCs w:val="20"/>
          <w:lang w:val="es-CO"/>
        </w:rPr>
        <w:t>od</w:t>
      </w:r>
      <w:r w:rsidR="00F5388B">
        <w:rPr>
          <w:rFonts w:eastAsia="Times New Roman" w:cs="Times New Roman"/>
          <w:i w:val="0"/>
          <w:szCs w:val="20"/>
          <w:lang w:val="es-CO"/>
        </w:rPr>
        <w:t>o.</w:t>
      </w:r>
    </w:p>
    <w:p w14:paraId="6C4BC97A" w14:textId="77777777" w:rsidR="00E92CA8" w:rsidRPr="0060216C" w:rsidRDefault="00E92CA8" w:rsidP="00E92CA8">
      <w:pPr>
        <w:pStyle w:val="Estilo1"/>
        <w:tabs>
          <w:tab w:val="left" w:pos="709"/>
          <w:tab w:val="left" w:pos="1134"/>
        </w:tabs>
        <w:spacing w:after="0"/>
        <w:ind w:left="0" w:right="-4" w:firstLine="0"/>
        <w:rPr>
          <w:i w:val="0"/>
          <w:spacing w:val="1"/>
          <w:w w:val="106"/>
          <w:szCs w:val="20"/>
          <w:lang w:val="es-CO"/>
        </w:rPr>
      </w:pPr>
    </w:p>
    <w:p w14:paraId="238CB7C7" w14:textId="7E1C6E99" w:rsidR="00E92CA8" w:rsidRDefault="00841265" w:rsidP="00E92CA8">
      <w:pPr>
        <w:pStyle w:val="Ttulo2"/>
        <w:spacing w:before="0" w:after="0"/>
      </w:pPr>
      <w:bookmarkStart w:id="77" w:name="_Toc527466488"/>
      <w:r w:rsidRPr="00F441D1">
        <w:t>Consideraciones de la Corte</w:t>
      </w:r>
      <w:bookmarkEnd w:id="77"/>
    </w:p>
    <w:p w14:paraId="7BB90B79" w14:textId="77777777" w:rsidR="00E92CA8" w:rsidRPr="00E92CA8" w:rsidRDefault="00E92CA8" w:rsidP="00E92CA8">
      <w:pPr>
        <w:rPr>
          <w:lang w:val="es-CR"/>
        </w:rPr>
      </w:pPr>
    </w:p>
    <w:p w14:paraId="6FA69816" w14:textId="6B12B6E4" w:rsidR="00F46845" w:rsidRDefault="00F46845" w:rsidP="00E92CA8">
      <w:pPr>
        <w:pStyle w:val="Estilo1"/>
        <w:numPr>
          <w:ilvl w:val="0"/>
          <w:numId w:val="3"/>
        </w:numPr>
        <w:tabs>
          <w:tab w:val="left" w:pos="709"/>
          <w:tab w:val="left" w:pos="1134"/>
        </w:tabs>
        <w:spacing w:after="0"/>
        <w:ind w:left="0" w:right="-4" w:firstLine="0"/>
        <w:rPr>
          <w:rFonts w:eastAsia="Verdana"/>
          <w:bCs/>
          <w:i w:val="0"/>
          <w:szCs w:val="20"/>
          <w:lang w:val="es-CR" w:eastAsia="x-none"/>
        </w:rPr>
      </w:pPr>
      <w:r w:rsidRPr="0060216C">
        <w:rPr>
          <w:rFonts w:eastAsia="Verdana"/>
          <w:bCs/>
          <w:i w:val="0"/>
          <w:szCs w:val="20"/>
          <w:lang w:val="es-CR" w:eastAsia="x-none"/>
        </w:rPr>
        <w:t xml:space="preserve">En vista de las posiciones de las partes, y de los hechos probados, el Tribunal advierte que en el presente caso la controversia central se refiere a si el Estado es responsable por: i) la violación al artículo 26 de la Convención Americana, por la afectación al derecho a la salud de las presuntas víctimas como personas </w:t>
      </w:r>
      <w:r w:rsidR="00C84C22">
        <w:rPr>
          <w:rFonts w:eastAsia="Verdana"/>
          <w:bCs/>
          <w:i w:val="0"/>
          <w:szCs w:val="20"/>
          <w:lang w:val="es-CR" w:eastAsia="x-none"/>
        </w:rPr>
        <w:t xml:space="preserve">que viven </w:t>
      </w:r>
      <w:r w:rsidRPr="0060216C">
        <w:rPr>
          <w:rFonts w:eastAsia="Verdana"/>
          <w:bCs/>
          <w:i w:val="0"/>
          <w:szCs w:val="20"/>
          <w:lang w:val="es-CR" w:eastAsia="x-none"/>
        </w:rPr>
        <w:t>con</w:t>
      </w:r>
      <w:r w:rsidR="00CE7943">
        <w:rPr>
          <w:rFonts w:eastAsia="Verdana"/>
          <w:bCs/>
          <w:i w:val="0"/>
          <w:szCs w:val="20"/>
          <w:lang w:val="es-CR" w:eastAsia="x-none"/>
        </w:rPr>
        <w:t xml:space="preserve"> el</w:t>
      </w:r>
      <w:r w:rsidRPr="0060216C">
        <w:rPr>
          <w:rFonts w:eastAsia="Verdana"/>
          <w:bCs/>
          <w:i w:val="0"/>
          <w:szCs w:val="20"/>
          <w:lang w:val="es-CR" w:eastAsia="x-none"/>
        </w:rPr>
        <w:t xml:space="preserve"> VIH; ii) la violación a los artículos 4 y 5 de la Convención, por el impacto que la atención médica –o la falta de ella- pudo tener en la integridad personal y la vida de las presuntas víctimas; iii) la violación al principio de no discriminación, en caso de no haberle garantizado a las presuntas víctimas una atención médica integral que tomara en cuenta sus diversos factores de vulnerabilidad como personas </w:t>
      </w:r>
      <w:r w:rsidR="00C84C22">
        <w:rPr>
          <w:rFonts w:eastAsia="Verdana"/>
          <w:bCs/>
          <w:i w:val="0"/>
          <w:szCs w:val="20"/>
          <w:lang w:val="es-CR" w:eastAsia="x-none"/>
        </w:rPr>
        <w:t xml:space="preserve">que viven </w:t>
      </w:r>
      <w:r w:rsidRPr="0060216C">
        <w:rPr>
          <w:rFonts w:eastAsia="Verdana"/>
          <w:bCs/>
          <w:i w:val="0"/>
          <w:szCs w:val="20"/>
          <w:lang w:val="es-CR" w:eastAsia="x-none"/>
        </w:rPr>
        <w:t>con</w:t>
      </w:r>
      <w:r w:rsidR="00C84C22">
        <w:rPr>
          <w:rFonts w:eastAsia="Verdana"/>
          <w:bCs/>
          <w:i w:val="0"/>
          <w:szCs w:val="20"/>
          <w:lang w:val="es-CR" w:eastAsia="x-none"/>
        </w:rPr>
        <w:t xml:space="preserve"> el</w:t>
      </w:r>
      <w:r w:rsidRPr="0060216C">
        <w:rPr>
          <w:rFonts w:eastAsia="Verdana"/>
          <w:bCs/>
          <w:i w:val="0"/>
          <w:szCs w:val="20"/>
          <w:lang w:val="es-CR" w:eastAsia="x-none"/>
        </w:rPr>
        <w:t xml:space="preserve"> VIH, especialmente en el caso de mujeres embarazadas; y iv) la violación al principio de progresividad contenido en el artículo 26 de la Convención Americana, por las alegadas medidas regresivas adoptadas en detrimento de la plena efectividad del derecho a la salud para personas </w:t>
      </w:r>
      <w:r w:rsidR="00C84C22">
        <w:rPr>
          <w:rFonts w:eastAsia="Verdana"/>
          <w:bCs/>
          <w:i w:val="0"/>
          <w:szCs w:val="20"/>
          <w:lang w:val="es-CR" w:eastAsia="x-none"/>
        </w:rPr>
        <w:t xml:space="preserve">que viven </w:t>
      </w:r>
      <w:r w:rsidRPr="0060216C">
        <w:rPr>
          <w:rFonts w:eastAsia="Verdana"/>
          <w:bCs/>
          <w:i w:val="0"/>
          <w:szCs w:val="20"/>
          <w:lang w:val="es-CR" w:eastAsia="x-none"/>
        </w:rPr>
        <w:t>con</w:t>
      </w:r>
      <w:r w:rsidR="00C84C22">
        <w:rPr>
          <w:rFonts w:eastAsia="Verdana"/>
          <w:bCs/>
          <w:i w:val="0"/>
          <w:szCs w:val="20"/>
          <w:lang w:val="es-CR" w:eastAsia="x-none"/>
        </w:rPr>
        <w:t xml:space="preserve"> el</w:t>
      </w:r>
      <w:r w:rsidRPr="0060216C">
        <w:rPr>
          <w:rFonts w:eastAsia="Verdana"/>
          <w:bCs/>
          <w:i w:val="0"/>
          <w:szCs w:val="20"/>
          <w:lang w:val="es-CR" w:eastAsia="x-none"/>
        </w:rPr>
        <w:t xml:space="preserve"> VIH en Guatemala.</w:t>
      </w:r>
    </w:p>
    <w:p w14:paraId="49DDB866" w14:textId="77777777" w:rsidR="00C84C22" w:rsidRPr="0060216C" w:rsidRDefault="00C84C22" w:rsidP="00C84C22">
      <w:pPr>
        <w:pStyle w:val="Estilo1"/>
        <w:tabs>
          <w:tab w:val="left" w:pos="709"/>
          <w:tab w:val="left" w:pos="1134"/>
        </w:tabs>
        <w:spacing w:after="0"/>
        <w:ind w:left="0" w:right="-4" w:firstLine="0"/>
        <w:rPr>
          <w:rFonts w:eastAsia="Verdana"/>
          <w:bCs/>
          <w:i w:val="0"/>
          <w:szCs w:val="20"/>
          <w:lang w:val="es-CR" w:eastAsia="x-none"/>
        </w:rPr>
      </w:pPr>
    </w:p>
    <w:p w14:paraId="652588B0" w14:textId="5F1A75CA" w:rsidR="00F46845" w:rsidRDefault="00F46845" w:rsidP="00E92CA8">
      <w:pPr>
        <w:pStyle w:val="Estilo1"/>
        <w:numPr>
          <w:ilvl w:val="0"/>
          <w:numId w:val="3"/>
        </w:numPr>
        <w:tabs>
          <w:tab w:val="left" w:pos="709"/>
          <w:tab w:val="left" w:pos="1134"/>
        </w:tabs>
        <w:spacing w:after="0"/>
        <w:ind w:left="0" w:right="-4" w:firstLine="0"/>
        <w:rPr>
          <w:rFonts w:eastAsia="Verdana"/>
          <w:bCs/>
          <w:i w:val="0"/>
          <w:szCs w:val="20"/>
          <w:lang w:val="es-CR" w:eastAsia="x-none"/>
        </w:rPr>
      </w:pPr>
      <w:r w:rsidRPr="0060216C">
        <w:rPr>
          <w:rFonts w:eastAsia="Verdana"/>
          <w:bCs/>
          <w:i w:val="0"/>
          <w:szCs w:val="20"/>
          <w:lang w:val="es-CR" w:eastAsia="x-none"/>
        </w:rPr>
        <w:t xml:space="preserve">Al respecto, la Corte advierte que el principal problema jurídico planteado por las partes en el presente caso se relaciona con los alcances del derecho a la salud entendido como un derecho autónomo que deriva del artículo 26 de la Convención Americana, y con la competencia de este Tribunal para pronunciarse por violaciones a este derecho sobre la base </w:t>
      </w:r>
      <w:r w:rsidRPr="0060216C">
        <w:rPr>
          <w:rFonts w:eastAsia="Verdana"/>
          <w:bCs/>
          <w:i w:val="0"/>
          <w:szCs w:val="20"/>
          <w:lang w:val="es-CR" w:eastAsia="x-none"/>
        </w:rPr>
        <w:lastRenderedPageBreak/>
        <w:t>de los artículos 62</w:t>
      </w:r>
      <w:r w:rsidR="0042544F">
        <w:rPr>
          <w:rStyle w:val="Refdenotaalpie"/>
          <w:rFonts w:eastAsia="Verdana"/>
          <w:bCs/>
          <w:i w:val="0"/>
          <w:lang w:val="es-CR" w:eastAsia="x-none"/>
        </w:rPr>
        <w:footnoteReference w:id="60"/>
      </w:r>
      <w:r w:rsidRPr="0060216C">
        <w:rPr>
          <w:rFonts w:eastAsia="Verdana"/>
          <w:bCs/>
          <w:i w:val="0"/>
          <w:szCs w:val="20"/>
          <w:lang w:val="es-CR" w:eastAsia="x-none"/>
        </w:rPr>
        <w:t xml:space="preserve"> y 63</w:t>
      </w:r>
      <w:r w:rsidR="0042544F">
        <w:rPr>
          <w:rStyle w:val="Refdenotaalpie"/>
          <w:rFonts w:eastAsia="Verdana"/>
          <w:bCs/>
          <w:i w:val="0"/>
          <w:lang w:val="es-CR" w:eastAsia="x-none"/>
        </w:rPr>
        <w:footnoteReference w:id="61"/>
      </w:r>
      <w:r w:rsidRPr="0060216C">
        <w:rPr>
          <w:rFonts w:eastAsia="Verdana"/>
          <w:bCs/>
          <w:i w:val="0"/>
          <w:szCs w:val="20"/>
          <w:lang w:val="es-CR" w:eastAsia="x-none"/>
        </w:rPr>
        <w:t xml:space="preserve"> de la Convención. En este sentido, los alegatos de la Comisión y de los representantes siguen la aproximación adoptada por este Tribunal desde el caso </w:t>
      </w:r>
      <w:r w:rsidRPr="005E034F">
        <w:rPr>
          <w:rFonts w:eastAsia="Verdana"/>
          <w:bCs/>
          <w:szCs w:val="20"/>
          <w:lang w:val="es-CR" w:eastAsia="x-none"/>
        </w:rPr>
        <w:t>Lagos del Campo Vs. Perú</w:t>
      </w:r>
      <w:r w:rsidRPr="0060216C">
        <w:rPr>
          <w:rStyle w:val="Refdenotaalpie"/>
          <w:rFonts w:eastAsia="Verdana"/>
          <w:i w:val="0"/>
          <w:lang w:val="es-CR" w:eastAsia="x-none"/>
        </w:rPr>
        <w:footnoteReference w:id="62"/>
      </w:r>
      <w:r w:rsidRPr="0060216C">
        <w:rPr>
          <w:rFonts w:eastAsia="Verdana"/>
          <w:bCs/>
          <w:i w:val="0"/>
          <w:szCs w:val="20"/>
          <w:lang w:val="es-CR" w:eastAsia="x-none"/>
        </w:rPr>
        <w:t>, y que ha sido continuada en decisiones posteriores</w:t>
      </w:r>
      <w:r w:rsidRPr="0060216C">
        <w:rPr>
          <w:rStyle w:val="Refdenotaalpie"/>
          <w:rFonts w:eastAsia="Verdana"/>
          <w:i w:val="0"/>
          <w:lang w:val="es-CR" w:eastAsia="x-none"/>
        </w:rPr>
        <w:footnoteReference w:id="63"/>
      </w:r>
      <w:r w:rsidRPr="0060216C">
        <w:rPr>
          <w:rFonts w:eastAsia="Verdana"/>
          <w:bCs/>
          <w:i w:val="0"/>
          <w:szCs w:val="20"/>
          <w:lang w:val="es-CR" w:eastAsia="x-none"/>
        </w:rPr>
        <w:t>. En efecto, esta aproximación representó un cambio en la jurisprudencia de la Corte respecto a casos previos donde la Comisión o los representantes alegaban violaciones a los DESCA, los cuales eran analizados por conexidad con algún derecho civil o político</w:t>
      </w:r>
      <w:r w:rsidRPr="0060216C">
        <w:rPr>
          <w:rStyle w:val="Refdenotaalpie"/>
          <w:rFonts w:eastAsia="Verdana"/>
          <w:i w:val="0"/>
          <w:lang w:val="es-CR" w:eastAsia="x-none"/>
        </w:rPr>
        <w:footnoteReference w:id="64"/>
      </w:r>
      <w:r w:rsidRPr="0060216C">
        <w:rPr>
          <w:rFonts w:eastAsia="Verdana"/>
          <w:bCs/>
          <w:i w:val="0"/>
          <w:szCs w:val="20"/>
          <w:lang w:val="es-CR" w:eastAsia="x-none"/>
        </w:rPr>
        <w:t xml:space="preserve">. </w:t>
      </w:r>
      <w:r w:rsidR="00634877">
        <w:rPr>
          <w:rFonts w:eastAsia="Verdana"/>
          <w:bCs/>
          <w:i w:val="0"/>
          <w:szCs w:val="20"/>
          <w:lang w:val="es-CR" w:eastAsia="x-none"/>
        </w:rPr>
        <w:t xml:space="preserve">Al respecto, la Corte recuerda que ya en el caso </w:t>
      </w:r>
      <w:r w:rsidR="00634877">
        <w:rPr>
          <w:rFonts w:eastAsia="Verdana"/>
          <w:bCs/>
          <w:szCs w:val="20"/>
          <w:lang w:val="es-CR" w:eastAsia="x-none"/>
        </w:rPr>
        <w:t>Poblete Vilches y otros Vs. Chile</w:t>
      </w:r>
      <w:r w:rsidR="00634877">
        <w:rPr>
          <w:rFonts w:eastAsia="Verdana"/>
          <w:bCs/>
          <w:i w:val="0"/>
          <w:szCs w:val="20"/>
          <w:lang w:val="es-CR" w:eastAsia="x-none"/>
        </w:rPr>
        <w:t xml:space="preserve"> señaló lo siguiente:</w:t>
      </w:r>
    </w:p>
    <w:p w14:paraId="5739FC7D" w14:textId="77777777" w:rsidR="00E92CA8" w:rsidRDefault="00E92CA8" w:rsidP="00E92CA8">
      <w:pPr>
        <w:pStyle w:val="Estilo1"/>
        <w:tabs>
          <w:tab w:val="left" w:pos="709"/>
          <w:tab w:val="left" w:pos="1134"/>
        </w:tabs>
        <w:spacing w:after="0"/>
        <w:ind w:left="0" w:right="-4" w:firstLine="0"/>
        <w:rPr>
          <w:rFonts w:eastAsia="Verdana"/>
          <w:bCs/>
          <w:i w:val="0"/>
          <w:szCs w:val="20"/>
          <w:lang w:val="es-CR" w:eastAsia="x-none"/>
        </w:rPr>
      </w:pPr>
    </w:p>
    <w:p w14:paraId="7CDA0906" w14:textId="25871C5D" w:rsidR="00634877" w:rsidRDefault="00634877" w:rsidP="00E92CA8">
      <w:pPr>
        <w:pStyle w:val="Estilo1"/>
        <w:tabs>
          <w:tab w:val="left" w:pos="709"/>
          <w:tab w:val="left" w:pos="1134"/>
          <w:tab w:val="left" w:pos="8505"/>
        </w:tabs>
        <w:spacing w:after="0"/>
        <w:ind w:left="709" w:right="855" w:firstLine="0"/>
        <w:rPr>
          <w:i w:val="0"/>
          <w:sz w:val="18"/>
          <w:szCs w:val="18"/>
        </w:rPr>
      </w:pPr>
      <w:r>
        <w:rPr>
          <w:i w:val="0"/>
          <w:sz w:val="18"/>
          <w:szCs w:val="18"/>
          <w:lang w:val="es-CR"/>
        </w:rPr>
        <w:t xml:space="preserve">Así, </w:t>
      </w:r>
      <w:r w:rsidRPr="00634877">
        <w:rPr>
          <w:i w:val="0"/>
          <w:sz w:val="18"/>
          <w:szCs w:val="18"/>
        </w:rPr>
        <w:t>resulta claro interpretar que la Convención Americana incorporó en su catálogo de derechos protegidos los denominados derechos económicos, sociales, culturales y ambientales (DESCA), a través de una derivación de las normas reconocidas en la Carta de la Organización de los Estados Americanos (OEA), así como de las normas de interpretación dispuestas en el propio artículo 29 de la Convención; particularmente, que impide limitar o excluir el goce de los derechos establecidos en la Declaración Americana e inclusive los reconocidos en materia interna. Asimismo, de conformidad con una interpretación sistemática, teleológica y evolutiva, la Corte ha recurrido al corpus iuris internacional y nacional en la materia para dar contenido específico al alcance de los derechos tutelados por la Convención, a fin de derivar el alcance de las obligaciones específicas de cada derecho</w:t>
      </w:r>
      <w:r w:rsidR="005B56F4">
        <w:rPr>
          <w:rStyle w:val="Refdenotaalpie"/>
          <w:i w:val="0"/>
          <w:sz w:val="18"/>
        </w:rPr>
        <w:footnoteReference w:id="65"/>
      </w:r>
      <w:r w:rsidRPr="00634877">
        <w:rPr>
          <w:i w:val="0"/>
          <w:sz w:val="18"/>
          <w:szCs w:val="18"/>
        </w:rPr>
        <w:t>.</w:t>
      </w:r>
    </w:p>
    <w:p w14:paraId="0653A4B8" w14:textId="77777777" w:rsidR="00E92CA8" w:rsidRPr="00E92CA8" w:rsidRDefault="00E92CA8" w:rsidP="00E92CA8">
      <w:pPr>
        <w:pStyle w:val="Estilo1"/>
        <w:tabs>
          <w:tab w:val="left" w:pos="709"/>
          <w:tab w:val="left" w:pos="1134"/>
          <w:tab w:val="left" w:pos="8505"/>
        </w:tabs>
        <w:spacing w:after="0"/>
        <w:ind w:left="0" w:right="855" w:firstLine="0"/>
        <w:rPr>
          <w:rFonts w:eastAsia="Verdana"/>
          <w:bCs/>
          <w:i w:val="0"/>
          <w:szCs w:val="20"/>
          <w:lang w:val="es-CR" w:eastAsia="x-none"/>
        </w:rPr>
      </w:pPr>
    </w:p>
    <w:p w14:paraId="18AD812E" w14:textId="16562852" w:rsidR="002F4F3A" w:rsidRDefault="008631C9" w:rsidP="00E92CA8">
      <w:pPr>
        <w:pStyle w:val="Estilo1"/>
        <w:numPr>
          <w:ilvl w:val="0"/>
          <w:numId w:val="3"/>
        </w:numPr>
        <w:tabs>
          <w:tab w:val="left" w:pos="709"/>
          <w:tab w:val="left" w:pos="1134"/>
        </w:tabs>
        <w:spacing w:after="0"/>
        <w:ind w:left="0" w:right="-4" w:firstLine="0"/>
        <w:rPr>
          <w:rFonts w:eastAsia="Times" w:cs="Arial"/>
          <w:i w:val="0"/>
          <w:szCs w:val="20"/>
          <w:lang w:val="es-MX"/>
        </w:rPr>
      </w:pPr>
      <w:r>
        <w:rPr>
          <w:rFonts w:eastAsia="Times" w:cs="Arial"/>
          <w:i w:val="0"/>
          <w:szCs w:val="20"/>
          <w:lang w:val="es-MX"/>
        </w:rPr>
        <w:lastRenderedPageBreak/>
        <w:t>En atención a</w:t>
      </w:r>
      <w:r w:rsidR="00F46845" w:rsidRPr="0060216C">
        <w:rPr>
          <w:rFonts w:eastAsia="Times" w:cs="Arial"/>
          <w:i w:val="0"/>
          <w:szCs w:val="20"/>
          <w:lang w:val="es-MX"/>
        </w:rPr>
        <w:t xml:space="preserve"> lo anteriormente</w:t>
      </w:r>
      <w:r>
        <w:rPr>
          <w:rFonts w:eastAsia="Times" w:cs="Arial"/>
          <w:i w:val="0"/>
          <w:szCs w:val="20"/>
          <w:lang w:val="es-MX"/>
        </w:rPr>
        <w:t xml:space="preserve"> señalado, </w:t>
      </w:r>
      <w:r w:rsidRPr="0060216C">
        <w:rPr>
          <w:rFonts w:eastAsia="Verdana"/>
          <w:bCs/>
          <w:i w:val="0"/>
          <w:szCs w:val="20"/>
          <w:lang w:val="es-CR" w:eastAsia="x-none"/>
        </w:rPr>
        <w:t>y debido a la importancia que esta cuestión tiene para la seguridad jurídica</w:t>
      </w:r>
      <w:r>
        <w:rPr>
          <w:rFonts w:eastAsia="Verdana"/>
          <w:bCs/>
          <w:i w:val="0"/>
          <w:szCs w:val="20"/>
          <w:lang w:val="es-CR" w:eastAsia="x-none"/>
        </w:rPr>
        <w:t xml:space="preserve"> en el Sistema Interamericano</w:t>
      </w:r>
      <w:r w:rsidRPr="0060216C">
        <w:rPr>
          <w:rFonts w:eastAsia="Verdana"/>
          <w:bCs/>
          <w:i w:val="0"/>
          <w:szCs w:val="20"/>
          <w:lang w:val="es-CR" w:eastAsia="x-none"/>
        </w:rPr>
        <w:t xml:space="preserve">, la Corte considera pertinente </w:t>
      </w:r>
      <w:r>
        <w:rPr>
          <w:rFonts w:eastAsia="Verdana"/>
          <w:bCs/>
          <w:i w:val="0"/>
          <w:szCs w:val="20"/>
          <w:lang w:val="es-CR" w:eastAsia="x-none"/>
        </w:rPr>
        <w:t>precisar</w:t>
      </w:r>
      <w:r w:rsidRPr="0060216C">
        <w:rPr>
          <w:rFonts w:eastAsia="Verdana"/>
          <w:bCs/>
          <w:i w:val="0"/>
          <w:szCs w:val="20"/>
          <w:lang w:val="es-CR" w:eastAsia="x-none"/>
        </w:rPr>
        <w:t xml:space="preserve"> </w:t>
      </w:r>
      <w:r>
        <w:rPr>
          <w:rFonts w:eastAsia="Verdana"/>
          <w:bCs/>
          <w:i w:val="0"/>
          <w:szCs w:val="20"/>
          <w:lang w:val="es-CR" w:eastAsia="x-none"/>
        </w:rPr>
        <w:t>el</w:t>
      </w:r>
      <w:r w:rsidRPr="0060216C">
        <w:rPr>
          <w:rFonts w:eastAsia="Verdana"/>
          <w:bCs/>
          <w:i w:val="0"/>
          <w:szCs w:val="20"/>
          <w:lang w:val="es-CR" w:eastAsia="x-none"/>
        </w:rPr>
        <w:t xml:space="preserve"> cambio jurisprudencial en la materia a través de una interpretación del artículo 26 de la Convención y de su relación con los artículos 1.1, 2, 62 y 63 del mismo instrumento.</w:t>
      </w:r>
      <w:r>
        <w:rPr>
          <w:rFonts w:eastAsia="Verdana"/>
          <w:bCs/>
          <w:i w:val="0"/>
          <w:szCs w:val="20"/>
          <w:lang w:val="es-CR" w:eastAsia="x-none"/>
        </w:rPr>
        <w:t xml:space="preserve"> En consecuencia,</w:t>
      </w:r>
      <w:r w:rsidR="00F46845" w:rsidRPr="0060216C">
        <w:rPr>
          <w:rFonts w:eastAsia="Times" w:cs="Arial"/>
          <w:i w:val="0"/>
          <w:szCs w:val="20"/>
          <w:lang w:val="es-MX"/>
        </w:rPr>
        <w:t xml:space="preserve"> en el presente apartado la Corte se pronunciará en el siguiente orden: a) </w:t>
      </w:r>
      <w:r w:rsidR="00B7716C">
        <w:rPr>
          <w:rFonts w:eastAsia="Times" w:cs="Arial"/>
          <w:i w:val="0"/>
          <w:szCs w:val="20"/>
          <w:lang w:val="es-MX"/>
        </w:rPr>
        <w:t xml:space="preserve">la </w:t>
      </w:r>
      <w:proofErr w:type="spellStart"/>
      <w:r w:rsidR="00B7716C">
        <w:rPr>
          <w:rFonts w:eastAsia="Times" w:cs="Arial"/>
          <w:i w:val="0"/>
          <w:szCs w:val="20"/>
          <w:lang w:val="es-MX"/>
        </w:rPr>
        <w:t>justiciabilidad</w:t>
      </w:r>
      <w:proofErr w:type="spellEnd"/>
      <w:r w:rsidR="00B7716C">
        <w:rPr>
          <w:rFonts w:eastAsia="Times" w:cs="Arial"/>
          <w:i w:val="0"/>
          <w:szCs w:val="20"/>
          <w:lang w:val="es-MX"/>
        </w:rPr>
        <w:t xml:space="preserve"> de los DESCA,</w:t>
      </w:r>
      <w:r w:rsidR="00F46845" w:rsidRPr="0060216C">
        <w:rPr>
          <w:rFonts w:eastAsia="Times" w:cs="Arial"/>
          <w:i w:val="0"/>
          <w:szCs w:val="20"/>
          <w:lang w:val="es-MX"/>
        </w:rPr>
        <w:t xml:space="preserve"> b) el derecho a la salud como</w:t>
      </w:r>
      <w:r w:rsidR="00B7716C">
        <w:rPr>
          <w:rFonts w:eastAsia="Times" w:cs="Arial"/>
          <w:i w:val="0"/>
          <w:szCs w:val="20"/>
          <w:lang w:val="es-MX"/>
        </w:rPr>
        <w:t xml:space="preserve"> derecho autónomo y justiciable,</w:t>
      </w:r>
      <w:r w:rsidR="00F46845" w:rsidRPr="0060216C">
        <w:rPr>
          <w:rFonts w:eastAsia="Times" w:cs="Arial"/>
          <w:i w:val="0"/>
          <w:szCs w:val="20"/>
          <w:lang w:val="es-MX"/>
        </w:rPr>
        <w:t xml:space="preserve"> c) la afectación del derecho</w:t>
      </w:r>
      <w:r w:rsidR="00B7716C">
        <w:rPr>
          <w:rFonts w:eastAsia="Times" w:cs="Arial"/>
          <w:i w:val="0"/>
          <w:szCs w:val="20"/>
          <w:lang w:val="es-MX"/>
        </w:rPr>
        <w:t xml:space="preserve"> a la salud en el presente caso,</w:t>
      </w:r>
      <w:r w:rsidR="00C84C22">
        <w:rPr>
          <w:rFonts w:eastAsia="Times" w:cs="Arial"/>
          <w:i w:val="0"/>
          <w:szCs w:val="20"/>
          <w:lang w:val="es-MX"/>
        </w:rPr>
        <w:t xml:space="preserve"> y</w:t>
      </w:r>
      <w:r w:rsidR="00F46845" w:rsidRPr="0060216C">
        <w:rPr>
          <w:rFonts w:eastAsia="Times" w:cs="Arial"/>
          <w:i w:val="0"/>
          <w:szCs w:val="20"/>
          <w:lang w:val="es-MX"/>
        </w:rPr>
        <w:t xml:space="preserve"> d) la afectación de los derechos a la integridad personal y a la vida en el presente caso.</w:t>
      </w:r>
    </w:p>
    <w:p w14:paraId="21F44518" w14:textId="77777777" w:rsidR="00EE1E0E" w:rsidRDefault="00EE1E0E" w:rsidP="00E92CA8"/>
    <w:p w14:paraId="208F16C9" w14:textId="366F3001" w:rsidR="00F46845" w:rsidRDefault="00EE1E0E" w:rsidP="00E92CA8">
      <w:pPr>
        <w:pStyle w:val="Ttulo3"/>
        <w:spacing w:before="0"/>
      </w:pPr>
      <w:r>
        <w:tab/>
      </w:r>
      <w:bookmarkStart w:id="78" w:name="_Toc527466489"/>
      <w:r w:rsidR="00F46845" w:rsidRPr="00EE1E0E">
        <w:t xml:space="preserve">B.1. La </w:t>
      </w:r>
      <w:proofErr w:type="spellStart"/>
      <w:r w:rsidR="00F46845" w:rsidRPr="00EE1E0E">
        <w:t>justiciabilidad</w:t>
      </w:r>
      <w:proofErr w:type="spellEnd"/>
      <w:r w:rsidR="00F46845" w:rsidRPr="00EE1E0E">
        <w:t xml:space="preserve"> de los derechos económicos, sociales, culturales y ambientales</w:t>
      </w:r>
      <w:bookmarkEnd w:id="78"/>
    </w:p>
    <w:p w14:paraId="26B84317" w14:textId="77777777" w:rsidR="00E92CA8" w:rsidRPr="00E92CA8" w:rsidRDefault="00E92CA8" w:rsidP="00E92CA8">
      <w:pPr>
        <w:rPr>
          <w:lang w:val="es-CR"/>
        </w:rPr>
      </w:pPr>
    </w:p>
    <w:p w14:paraId="09EE68E3" w14:textId="06707F93" w:rsidR="002F4F3A" w:rsidRDefault="00F46845" w:rsidP="00E92CA8">
      <w:pPr>
        <w:pStyle w:val="Estilo1"/>
        <w:numPr>
          <w:ilvl w:val="0"/>
          <w:numId w:val="3"/>
        </w:numPr>
        <w:tabs>
          <w:tab w:val="left" w:pos="709"/>
          <w:tab w:val="left" w:pos="1134"/>
        </w:tabs>
        <w:spacing w:after="0"/>
        <w:ind w:left="0" w:right="-4" w:firstLine="0"/>
        <w:rPr>
          <w:rFonts w:eastAsia="Verdana"/>
          <w:bCs/>
          <w:i w:val="0"/>
          <w:szCs w:val="20"/>
          <w:lang w:val="es-CR" w:eastAsia="x-none"/>
        </w:rPr>
      </w:pPr>
      <w:r w:rsidRPr="0060216C">
        <w:rPr>
          <w:rFonts w:eastAsia="Verdana"/>
          <w:bCs/>
          <w:i w:val="0"/>
          <w:szCs w:val="20"/>
          <w:lang w:val="es-MX" w:eastAsia="x-none"/>
        </w:rPr>
        <w:t>La Corte procederá a interpretar el artículo 26 de la Convención y su relación con los artículos 1.1, 2, 62 y 63 de la Convención Americana</w:t>
      </w:r>
      <w:r w:rsidR="00C84C22">
        <w:rPr>
          <w:rFonts w:eastAsia="Verdana"/>
          <w:bCs/>
          <w:i w:val="0"/>
          <w:szCs w:val="20"/>
          <w:lang w:val="es-MX" w:eastAsia="x-none"/>
        </w:rPr>
        <w:t>,</w:t>
      </w:r>
      <w:r w:rsidRPr="0060216C">
        <w:rPr>
          <w:rFonts w:eastAsia="Verdana"/>
          <w:bCs/>
          <w:i w:val="0"/>
          <w:szCs w:val="20"/>
          <w:lang w:val="es-MX" w:eastAsia="x-none"/>
        </w:rPr>
        <w:t xml:space="preserve"> par</w:t>
      </w:r>
      <w:r w:rsidR="009214C0">
        <w:rPr>
          <w:rFonts w:eastAsia="Verdana"/>
          <w:bCs/>
          <w:i w:val="0"/>
          <w:szCs w:val="20"/>
          <w:lang w:val="es-MX" w:eastAsia="x-none"/>
        </w:rPr>
        <w:t>a así determinar lo siguiente: i</w:t>
      </w:r>
      <w:r w:rsidRPr="0060216C">
        <w:rPr>
          <w:rFonts w:eastAsia="Verdana"/>
          <w:bCs/>
          <w:i w:val="0"/>
          <w:szCs w:val="20"/>
          <w:lang w:val="es-MX" w:eastAsia="x-none"/>
        </w:rPr>
        <w:t xml:space="preserve">) si el </w:t>
      </w:r>
      <w:r w:rsidR="00B7716C">
        <w:rPr>
          <w:rFonts w:eastAsia="Verdana"/>
          <w:bCs/>
          <w:i w:val="0"/>
          <w:szCs w:val="20"/>
          <w:lang w:val="es-MX" w:eastAsia="x-none"/>
        </w:rPr>
        <w:t>artículo 26 reconoce derechos,</w:t>
      </w:r>
      <w:r w:rsidR="009214C0">
        <w:rPr>
          <w:rFonts w:eastAsia="Verdana"/>
          <w:bCs/>
          <w:i w:val="0"/>
          <w:szCs w:val="20"/>
          <w:lang w:val="es-MX" w:eastAsia="x-none"/>
        </w:rPr>
        <w:t xml:space="preserve"> ii</w:t>
      </w:r>
      <w:r w:rsidRPr="0060216C">
        <w:rPr>
          <w:rFonts w:eastAsia="Verdana"/>
          <w:bCs/>
          <w:i w:val="0"/>
          <w:szCs w:val="20"/>
          <w:lang w:val="es-MX" w:eastAsia="x-none"/>
        </w:rPr>
        <w:t>) cuál es el alcance de las obligaciones para los Estados en</w:t>
      </w:r>
      <w:r w:rsidR="00B7716C">
        <w:rPr>
          <w:rFonts w:eastAsia="Verdana"/>
          <w:bCs/>
          <w:i w:val="0"/>
          <w:szCs w:val="20"/>
          <w:lang w:val="es-MX" w:eastAsia="x-none"/>
        </w:rPr>
        <w:t xml:space="preserve"> relación con esos derechos,</w:t>
      </w:r>
      <w:r w:rsidR="009214C0">
        <w:rPr>
          <w:rFonts w:eastAsia="Verdana"/>
          <w:bCs/>
          <w:i w:val="0"/>
          <w:szCs w:val="20"/>
          <w:lang w:val="es-MX" w:eastAsia="x-none"/>
        </w:rPr>
        <w:t xml:space="preserve"> y iii</w:t>
      </w:r>
      <w:r w:rsidRPr="0060216C">
        <w:rPr>
          <w:rFonts w:eastAsia="Verdana"/>
          <w:bCs/>
          <w:i w:val="0"/>
          <w:szCs w:val="20"/>
          <w:lang w:val="es-MX" w:eastAsia="x-none"/>
        </w:rPr>
        <w:t>) si la Corte tiene competencia para analizar violaciones a dichos derechos</w:t>
      </w:r>
      <w:r w:rsidRPr="0060216C">
        <w:rPr>
          <w:rFonts w:eastAsia="Verdana"/>
          <w:bCs/>
          <w:i w:val="0"/>
          <w:szCs w:val="20"/>
          <w:lang w:val="es-CR" w:eastAsia="x-none"/>
        </w:rPr>
        <w:t>. Para ello, el Tribunal recurrirá a la Convención de Viena sobre el Derecho de los Tratados (en adelante también “Convención de Viena”), la cual recoge la regla general y consuetudinaria de interpretación de los tratados internacionales, que implica la aplicación simultánea y conjunta de la buena fe, el sentido corriente de los términos empleados en el tratado de que se trate, el objeto de estos y el objeto y fin de aquel. Por ello, como es su jurisprudencia constante, la Corte hará uso de los métodos de interpretación estipulados en los artículos 31 y 32 de la Convención de Viena para llevar a cabo dicha interpretación</w:t>
      </w:r>
      <w:r w:rsidRPr="0060216C">
        <w:rPr>
          <w:rStyle w:val="Refdenotaalpie"/>
          <w:rFonts w:eastAsia="Verdana"/>
          <w:i w:val="0"/>
          <w:lang w:val="es-CR" w:eastAsia="x-none"/>
        </w:rPr>
        <w:footnoteReference w:id="66"/>
      </w:r>
      <w:r w:rsidRPr="0060216C">
        <w:rPr>
          <w:rFonts w:eastAsia="Verdana"/>
          <w:bCs/>
          <w:i w:val="0"/>
          <w:szCs w:val="20"/>
          <w:lang w:val="es-CR" w:eastAsia="x-none"/>
        </w:rPr>
        <w:t>. Asimismo, la Corte utilizará</w:t>
      </w:r>
      <w:r w:rsidR="009214C0">
        <w:rPr>
          <w:rFonts w:eastAsia="Verdana"/>
          <w:bCs/>
          <w:i w:val="0"/>
          <w:szCs w:val="20"/>
          <w:lang w:val="es-CR" w:eastAsia="x-none"/>
        </w:rPr>
        <w:t>, en lo pertinente,</w:t>
      </w:r>
      <w:r w:rsidRPr="0060216C">
        <w:rPr>
          <w:rFonts w:eastAsia="Verdana"/>
          <w:bCs/>
          <w:i w:val="0"/>
          <w:szCs w:val="20"/>
          <w:lang w:val="es-CR" w:eastAsia="x-none"/>
        </w:rPr>
        <w:t xml:space="preserve"> las normas de interpretación que se desprenden del artículo 29 de la Convención Americana</w:t>
      </w:r>
      <w:r w:rsidR="00E24818">
        <w:rPr>
          <w:rStyle w:val="Refdenotaalpie"/>
          <w:rFonts w:eastAsia="Verdana"/>
          <w:bCs/>
          <w:i w:val="0"/>
          <w:lang w:val="es-CR" w:eastAsia="x-none"/>
        </w:rPr>
        <w:footnoteReference w:id="67"/>
      </w:r>
      <w:r w:rsidRPr="0060216C">
        <w:rPr>
          <w:rFonts w:eastAsia="Verdana"/>
          <w:bCs/>
          <w:i w:val="0"/>
          <w:szCs w:val="20"/>
          <w:lang w:val="es-CR" w:eastAsia="x-none"/>
        </w:rPr>
        <w:t>.</w:t>
      </w:r>
    </w:p>
    <w:p w14:paraId="7CDF2D7D" w14:textId="77777777" w:rsidR="00E92CA8" w:rsidRDefault="00E92CA8" w:rsidP="00E92CA8">
      <w:pPr>
        <w:pStyle w:val="Estilo1"/>
        <w:tabs>
          <w:tab w:val="left" w:pos="709"/>
          <w:tab w:val="left" w:pos="1134"/>
        </w:tabs>
        <w:spacing w:after="0"/>
        <w:ind w:left="0" w:right="-4" w:firstLine="0"/>
        <w:rPr>
          <w:rFonts w:eastAsia="Verdana"/>
          <w:bCs/>
          <w:i w:val="0"/>
          <w:szCs w:val="20"/>
          <w:lang w:val="es-CR" w:eastAsia="x-none"/>
        </w:rPr>
      </w:pPr>
    </w:p>
    <w:p w14:paraId="74D269C8" w14:textId="603402FE" w:rsidR="00F46845" w:rsidRDefault="00AC0BEF" w:rsidP="00E92CA8">
      <w:pPr>
        <w:pStyle w:val="Estilo1"/>
        <w:tabs>
          <w:tab w:val="left" w:pos="709"/>
          <w:tab w:val="left" w:pos="1134"/>
        </w:tabs>
        <w:spacing w:after="0"/>
        <w:ind w:left="0" w:right="-4" w:firstLine="0"/>
        <w:rPr>
          <w:rFonts w:eastAsia="Verdana"/>
          <w:b/>
          <w:bCs/>
          <w:szCs w:val="20"/>
          <w:lang w:val="es-CR" w:eastAsia="x-none"/>
        </w:rPr>
      </w:pPr>
      <w:r>
        <w:rPr>
          <w:rFonts w:eastAsia="Verdana"/>
          <w:bCs/>
          <w:i w:val="0"/>
          <w:szCs w:val="20"/>
          <w:lang w:val="es-CR" w:eastAsia="x-none"/>
        </w:rPr>
        <w:tab/>
      </w:r>
      <w:r>
        <w:rPr>
          <w:rFonts w:eastAsia="Verdana"/>
          <w:bCs/>
          <w:i w:val="0"/>
          <w:szCs w:val="20"/>
          <w:lang w:val="es-CR" w:eastAsia="x-none"/>
        </w:rPr>
        <w:tab/>
      </w:r>
      <w:r>
        <w:rPr>
          <w:rFonts w:eastAsia="Verdana"/>
          <w:bCs/>
          <w:i w:val="0"/>
          <w:szCs w:val="20"/>
          <w:lang w:val="es-CR" w:eastAsia="x-none"/>
        </w:rPr>
        <w:tab/>
      </w:r>
      <w:r w:rsidR="00F46845" w:rsidRPr="002F4F3A">
        <w:rPr>
          <w:rFonts w:eastAsia="Verdana"/>
          <w:b/>
          <w:bCs/>
          <w:szCs w:val="20"/>
          <w:lang w:val="es-CR" w:eastAsia="x-none"/>
        </w:rPr>
        <w:t>B.1.1. Interpretación literal</w:t>
      </w:r>
    </w:p>
    <w:p w14:paraId="1F2BCAC6" w14:textId="77777777" w:rsidR="00E92CA8" w:rsidRPr="002F4F3A" w:rsidRDefault="00E92CA8" w:rsidP="00E92CA8">
      <w:pPr>
        <w:pStyle w:val="Estilo1"/>
        <w:tabs>
          <w:tab w:val="left" w:pos="709"/>
          <w:tab w:val="left" w:pos="1134"/>
        </w:tabs>
        <w:spacing w:after="0"/>
        <w:ind w:left="0" w:right="-4" w:firstLine="0"/>
        <w:rPr>
          <w:rFonts w:eastAsia="Verdana"/>
          <w:bCs/>
          <w:i w:val="0"/>
          <w:szCs w:val="20"/>
          <w:lang w:val="es-CR" w:eastAsia="x-none"/>
        </w:rPr>
      </w:pPr>
    </w:p>
    <w:p w14:paraId="1B3BBBC7" w14:textId="5D979480" w:rsidR="00F46845" w:rsidRDefault="00F46845" w:rsidP="00E92CA8">
      <w:pPr>
        <w:pStyle w:val="Estilo1"/>
        <w:numPr>
          <w:ilvl w:val="0"/>
          <w:numId w:val="3"/>
        </w:numPr>
        <w:tabs>
          <w:tab w:val="left" w:pos="709"/>
          <w:tab w:val="left" w:pos="1134"/>
        </w:tabs>
        <w:spacing w:after="0"/>
        <w:ind w:left="0" w:right="-4" w:firstLine="0"/>
        <w:rPr>
          <w:rFonts w:eastAsia="Verdana"/>
          <w:bCs/>
          <w:i w:val="0"/>
          <w:szCs w:val="20"/>
          <w:lang w:val="es-CR" w:eastAsia="x-none"/>
        </w:rPr>
      </w:pPr>
      <w:r w:rsidRPr="009214C0">
        <w:rPr>
          <w:rFonts w:eastAsia="Verdana"/>
          <w:bCs/>
          <w:i w:val="0"/>
          <w:szCs w:val="20"/>
          <w:lang w:val="es-CR" w:eastAsia="x-none"/>
        </w:rPr>
        <w:t>En primer lugar, corresponde realizar una interpretación basada en el sentido corriente de los términos previstos por artículo 26 de la Convención, el cual señala lo siguiente:</w:t>
      </w:r>
    </w:p>
    <w:p w14:paraId="06B4D610" w14:textId="77777777" w:rsidR="00E92CA8" w:rsidRPr="009214C0" w:rsidRDefault="00E92CA8" w:rsidP="00E92CA8">
      <w:pPr>
        <w:pStyle w:val="Estilo1"/>
        <w:tabs>
          <w:tab w:val="left" w:pos="709"/>
          <w:tab w:val="left" w:pos="1134"/>
        </w:tabs>
        <w:spacing w:after="0"/>
        <w:ind w:left="0" w:right="-4" w:firstLine="0"/>
        <w:rPr>
          <w:rFonts w:eastAsia="Verdana"/>
          <w:bCs/>
          <w:i w:val="0"/>
          <w:szCs w:val="20"/>
          <w:lang w:val="es-CR" w:eastAsia="x-none"/>
        </w:rPr>
      </w:pPr>
    </w:p>
    <w:p w14:paraId="5D9F8BFF" w14:textId="648EA6C3" w:rsidR="00F46845" w:rsidRDefault="00F46845" w:rsidP="00E92CA8">
      <w:pPr>
        <w:widowControl w:val="0"/>
        <w:autoSpaceDE w:val="0"/>
        <w:autoSpaceDN w:val="0"/>
        <w:adjustRightInd w:val="0"/>
        <w:ind w:left="708" w:right="900"/>
        <w:contextualSpacing/>
        <w:textAlignment w:val="baseline"/>
        <w:rPr>
          <w:rFonts w:cs="Tahoma"/>
          <w:color w:val="000000"/>
          <w:sz w:val="18"/>
          <w:szCs w:val="18"/>
        </w:rPr>
      </w:pPr>
      <w:r w:rsidRPr="0060216C">
        <w:rPr>
          <w:rFonts w:cs="Tahoma"/>
          <w:color w:val="000000"/>
          <w:sz w:val="18"/>
          <w:szCs w:val="18"/>
        </w:rPr>
        <w:t xml:space="preserve">Los Estados Partes se comprometen a adoptar providencias, tanto a nivel interno como mediante la cooperación internacional, especialmente económica y técnica, para lograr progresivamente la plena efectividad de los derechos que se derivan de las normas </w:t>
      </w:r>
      <w:r w:rsidRPr="0060216C">
        <w:rPr>
          <w:rFonts w:cs="Tahoma"/>
          <w:color w:val="000000"/>
          <w:sz w:val="18"/>
          <w:szCs w:val="18"/>
        </w:rPr>
        <w:lastRenderedPageBreak/>
        <w:t>económicas, sociales y sobre educación, ciencia y cultura, contenidas en la Carta de la Organización de los Estados Americanos, reformada por el Protocolo de Buenos Aires, en la medida de los recursos disponibles, por vía legislativa u otros medios apropiados.</w:t>
      </w:r>
    </w:p>
    <w:p w14:paraId="4C718EBD" w14:textId="77777777" w:rsidR="00E92CA8" w:rsidRPr="0060216C" w:rsidRDefault="00E92CA8" w:rsidP="00E92CA8">
      <w:pPr>
        <w:widowControl w:val="0"/>
        <w:autoSpaceDE w:val="0"/>
        <w:autoSpaceDN w:val="0"/>
        <w:adjustRightInd w:val="0"/>
        <w:ind w:right="900"/>
        <w:contextualSpacing/>
        <w:textAlignment w:val="baseline"/>
        <w:rPr>
          <w:rFonts w:eastAsia="Times" w:cs="Arial"/>
          <w:lang w:val="es-MX"/>
        </w:rPr>
      </w:pPr>
    </w:p>
    <w:p w14:paraId="127BE6A9"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La Corte recuerda que, de conformidad con la Convención de Viena, los tratados deben interpretarse “de buena fe conforme al sentido corriente que haya que atribuirse a los términos del tratado en el contexto de estos y teniendo en cuenta su objeto y fin”</w:t>
      </w:r>
      <w:r w:rsidRPr="0060216C">
        <w:rPr>
          <w:rStyle w:val="Refdenotaalpie"/>
          <w:rFonts w:eastAsia="Times"/>
          <w:i w:val="0"/>
          <w:lang w:val="es-MX"/>
        </w:rPr>
        <w:footnoteReference w:id="68"/>
      </w:r>
      <w:r w:rsidRPr="0060216C">
        <w:rPr>
          <w:rFonts w:eastAsia="Times" w:cs="Arial"/>
          <w:i w:val="0"/>
          <w:szCs w:val="20"/>
          <w:lang w:val="es-MX"/>
        </w:rPr>
        <w:t>. De igual forma, el Tribunal ha establecido que éste método de interpretación se acoge al principio de la primacía del texto, es decir, a aplicar criterios objetivos de interpretación</w:t>
      </w:r>
      <w:r w:rsidRPr="0060216C">
        <w:rPr>
          <w:rStyle w:val="Refdenotaalpie"/>
          <w:rFonts w:eastAsia="Times"/>
          <w:i w:val="0"/>
          <w:lang w:val="es-MX"/>
        </w:rPr>
        <w:footnoteReference w:id="69"/>
      </w:r>
      <w:r w:rsidRPr="0060216C">
        <w:rPr>
          <w:rFonts w:eastAsia="Times" w:cs="Arial"/>
          <w:i w:val="0"/>
          <w:szCs w:val="20"/>
          <w:lang w:val="es-MX"/>
        </w:rPr>
        <w:t>. En ese sentido, al tratarse de un texto de derechos humanos, resulta idónea la interpretación basada en criterios objetivos, vinculados a los textos mismos, frente a los subjetivos, relativos a la sola intención de las partes, ya que tales tratados no son tratados multilaterales del tipo tradicional, concluidos en función de un intercambio recíproco de derechos, para el beneficio de las partes contratantes, sino que su objeto y fin son la protección de los derechos humanos tanto frente al Estado como frente a otros Estados</w:t>
      </w:r>
      <w:r w:rsidRPr="0060216C">
        <w:rPr>
          <w:rStyle w:val="Refdenotaalpie"/>
          <w:rFonts w:eastAsia="Times"/>
          <w:i w:val="0"/>
          <w:lang w:val="es-MX"/>
        </w:rPr>
        <w:footnoteReference w:id="70"/>
      </w:r>
      <w:r w:rsidRPr="0060216C">
        <w:rPr>
          <w:rFonts w:eastAsia="Times" w:cs="Arial"/>
          <w:i w:val="0"/>
          <w:szCs w:val="20"/>
          <w:lang w:val="es-MX"/>
        </w:rPr>
        <w:t>.</w:t>
      </w:r>
    </w:p>
    <w:p w14:paraId="194A764E"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3162B2EB"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Sobre el particular, la Corte considera que el sentido corriente que ha de atribuirse a la norma prevista en el artículo 26 de la Convención es que los Estados se comprometieron a hacer efectivos “derechos” que derivan de las normas económicas, sociales y sobre educación, ciencia y cultura contenidas en la Carta de la Organización de Estados Americanos (en adelante “la Carta de la OEA”). En ese sentido, este Tribunal advierte que si bien la Carta de la OEA consagra “principios” y “metas” tendientes al desarrollo integral, también se refiere a ciertos “derechos”, tanto de manera explícita como implícita. De esta forma, de una interpretación literal del texto del artículo 26 es posible afirmar que se refiere precisamente al deber de los Estados de lograr la efectividad de los “derechos” que sea posible derivar de la Carta de la OEA. El texto de la norma debe ser interpretado de forma tal que sus términos adquieran sentido y un significado específico, lo que en el caso del artículo 26 implica entender que los Estados acordaron adoptar medidas con el objetivo de dar plena efectividad a los “derechos” reconocidos en la Carta de la OEA.</w:t>
      </w:r>
    </w:p>
    <w:p w14:paraId="0742AA62"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10BF2F5E" w14:textId="54D5221A"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 xml:space="preserve">Asimismo, la Corte considera que la mención del artículo 26 que se refiere a los Estados se comprometen a “adoptar providencias”, “para lograr progresivamente la </w:t>
      </w:r>
      <w:r w:rsidR="00C84C22">
        <w:rPr>
          <w:rFonts w:eastAsia="Times" w:cs="Arial"/>
          <w:i w:val="0"/>
          <w:szCs w:val="20"/>
          <w:lang w:val="es-MX"/>
        </w:rPr>
        <w:t xml:space="preserve">plena </w:t>
      </w:r>
      <w:r w:rsidRPr="0060216C">
        <w:rPr>
          <w:rFonts w:eastAsia="Times" w:cs="Arial"/>
          <w:i w:val="0"/>
          <w:szCs w:val="20"/>
          <w:lang w:val="es-MX"/>
        </w:rPr>
        <w:t>efectividad” de los derechos que se derivan de la Carta</w:t>
      </w:r>
      <w:r w:rsidR="00C84C22">
        <w:rPr>
          <w:rFonts w:eastAsia="Times" w:cs="Arial"/>
          <w:i w:val="0"/>
          <w:szCs w:val="20"/>
          <w:lang w:val="es-MX"/>
        </w:rPr>
        <w:t xml:space="preserve"> de la OEA</w:t>
      </w:r>
      <w:r w:rsidRPr="0060216C">
        <w:rPr>
          <w:rFonts w:eastAsia="Times" w:cs="Arial"/>
          <w:i w:val="0"/>
          <w:szCs w:val="20"/>
          <w:lang w:val="es-MX"/>
        </w:rPr>
        <w:t xml:space="preserve"> debe ser entendido como una formulación acerca de la naturaleza de la obligación que emana de dicha norma, y no acerca de la falta de existencia de obligaciones en sentido estricto para los Estados. La Corte recuerda que existen obligaciones formuladas en términos similares al artículo 26 reconocidos en otros artículos de la Convención, sin que exista controversia respecto a que éstos imponen obligaciones exigibles en el plano internacional. En particular, el Tribunal recuerda que el artículo 2 de la Convención reconoce la existencia del compromiso</w:t>
      </w:r>
      <w:r w:rsidR="00F76F4A">
        <w:rPr>
          <w:rFonts w:eastAsia="Times" w:cs="Arial"/>
          <w:i w:val="0"/>
          <w:szCs w:val="20"/>
          <w:lang w:val="es-MX"/>
        </w:rPr>
        <w:t xml:space="preserve"> programáticos</w:t>
      </w:r>
      <w:r w:rsidRPr="0060216C">
        <w:rPr>
          <w:rFonts w:eastAsia="Times" w:cs="Arial"/>
          <w:i w:val="0"/>
          <w:szCs w:val="20"/>
          <w:lang w:val="es-MX"/>
        </w:rPr>
        <w:t xml:space="preserve"> de los Estados de adoptar “medidas legislativas o de otro carácter que fueren necesarias para hacer efectivos” los derechos y libertades reconocidos por la Convención, lo cual ha dado lugar a </w:t>
      </w:r>
      <w:r w:rsidRPr="0060216C">
        <w:rPr>
          <w:rFonts w:eastAsia="Times" w:cs="Arial"/>
          <w:i w:val="0"/>
          <w:szCs w:val="20"/>
          <w:lang w:val="es-MX"/>
        </w:rPr>
        <w:lastRenderedPageBreak/>
        <w:t>que la Corte evalúe en su jurisprudencia si el Estado ha cumplido con la adopción de dichas “medidas”</w:t>
      </w:r>
      <w:r w:rsidRPr="0060216C">
        <w:rPr>
          <w:rStyle w:val="Refdenotaalpie"/>
          <w:rFonts w:eastAsia="Times"/>
          <w:i w:val="0"/>
          <w:lang w:val="es-MX"/>
        </w:rPr>
        <w:footnoteReference w:id="71"/>
      </w:r>
      <w:r w:rsidRPr="0060216C">
        <w:rPr>
          <w:rFonts w:eastAsia="Times" w:cs="Arial"/>
          <w:i w:val="0"/>
          <w:szCs w:val="20"/>
          <w:lang w:val="es-MX"/>
        </w:rPr>
        <w:t>.</w:t>
      </w:r>
    </w:p>
    <w:p w14:paraId="45524436"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4DD4B1A5" w14:textId="7397EBD1"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Al respecto, la Corte coincide con la interpretación realizada por el Comité de Derechos Económicos, Sociales y Culturales (en adelante “</w:t>
      </w:r>
      <w:r w:rsidR="00C84C22">
        <w:rPr>
          <w:rFonts w:eastAsia="Times" w:cs="Arial"/>
          <w:i w:val="0"/>
          <w:szCs w:val="20"/>
          <w:lang w:val="es-MX"/>
        </w:rPr>
        <w:t>CDESC</w:t>
      </w:r>
      <w:r w:rsidRPr="0060216C">
        <w:rPr>
          <w:rFonts w:eastAsia="Times" w:cs="Arial"/>
          <w:i w:val="0"/>
          <w:szCs w:val="20"/>
          <w:lang w:val="es-MX"/>
        </w:rPr>
        <w:t>”) sobre el alcance y naturaleza del artículo 2.1 del Pacto</w:t>
      </w:r>
      <w:r w:rsidR="00C84C22">
        <w:rPr>
          <w:rFonts w:eastAsia="Times" w:cs="Arial"/>
          <w:i w:val="0"/>
          <w:szCs w:val="20"/>
          <w:lang w:val="es-MX"/>
        </w:rPr>
        <w:t xml:space="preserve"> Internacional</w:t>
      </w:r>
      <w:r w:rsidRPr="0060216C">
        <w:rPr>
          <w:rFonts w:eastAsia="Times" w:cs="Arial"/>
          <w:i w:val="0"/>
          <w:szCs w:val="20"/>
          <w:lang w:val="es-MX"/>
        </w:rPr>
        <w:t xml:space="preserve"> de Derechos Económicos, Sociales y Culturales (en adelante “P</w:t>
      </w:r>
      <w:r w:rsidR="00C84C22">
        <w:rPr>
          <w:rFonts w:eastAsia="Times" w:cs="Arial"/>
          <w:i w:val="0"/>
          <w:szCs w:val="20"/>
          <w:lang w:val="es-MX"/>
        </w:rPr>
        <w:t>I</w:t>
      </w:r>
      <w:r w:rsidRPr="0060216C">
        <w:rPr>
          <w:rFonts w:eastAsia="Times" w:cs="Arial"/>
          <w:i w:val="0"/>
          <w:szCs w:val="20"/>
          <w:lang w:val="es-MX"/>
        </w:rPr>
        <w:t xml:space="preserve">DESC”). Dicho artículo establece </w:t>
      </w:r>
      <w:r w:rsidRPr="0060216C">
        <w:rPr>
          <w:i w:val="0"/>
          <w:szCs w:val="20"/>
          <w:shd w:val="clear" w:color="auto" w:fill="FFFFFF"/>
          <w:lang w:val="es-CR"/>
        </w:rPr>
        <w:t>el compromiso de los Estados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60216C">
        <w:rPr>
          <w:rStyle w:val="Refdenotaalpie"/>
          <w:i w:val="0"/>
          <w:shd w:val="clear" w:color="auto" w:fill="FFFFFF"/>
          <w:lang w:val="es-CR"/>
        </w:rPr>
        <w:footnoteReference w:id="72"/>
      </w:r>
      <w:r w:rsidRPr="0060216C">
        <w:rPr>
          <w:i w:val="0"/>
          <w:szCs w:val="20"/>
          <w:shd w:val="clear" w:color="auto" w:fill="FFFFFF"/>
          <w:lang w:val="es-CR"/>
        </w:rPr>
        <w:t xml:space="preserve">. El </w:t>
      </w:r>
      <w:r w:rsidR="00C84C22">
        <w:rPr>
          <w:i w:val="0"/>
          <w:szCs w:val="20"/>
          <w:shd w:val="clear" w:color="auto" w:fill="FFFFFF"/>
          <w:lang w:val="es-CR"/>
        </w:rPr>
        <w:t>CDESC</w:t>
      </w:r>
      <w:r w:rsidRPr="0060216C">
        <w:rPr>
          <w:i w:val="0"/>
          <w:szCs w:val="20"/>
          <w:shd w:val="clear" w:color="auto" w:fill="FFFFFF"/>
          <w:lang w:val="es-CR"/>
        </w:rPr>
        <w:t xml:space="preserve"> ha interpretado que si bien el </w:t>
      </w:r>
      <w:r w:rsidRPr="0060216C">
        <w:rPr>
          <w:rFonts w:eastAsia="Times" w:cs="Arial"/>
          <w:i w:val="0"/>
          <w:szCs w:val="20"/>
          <w:lang w:val="es-MX"/>
        </w:rPr>
        <w:t>P</w:t>
      </w:r>
      <w:r w:rsidR="00C84C22">
        <w:rPr>
          <w:rFonts w:eastAsia="Times" w:cs="Arial"/>
          <w:i w:val="0"/>
          <w:szCs w:val="20"/>
          <w:lang w:val="es-MX"/>
        </w:rPr>
        <w:t>I</w:t>
      </w:r>
      <w:r w:rsidRPr="0060216C">
        <w:rPr>
          <w:rFonts w:eastAsia="Times" w:cs="Arial"/>
          <w:i w:val="0"/>
          <w:szCs w:val="20"/>
          <w:lang w:val="es-MX"/>
        </w:rPr>
        <w:t>DESC</w:t>
      </w:r>
      <w:r w:rsidRPr="0060216C">
        <w:rPr>
          <w:i w:val="0"/>
          <w:szCs w:val="20"/>
          <w:shd w:val="clear" w:color="auto" w:fill="FFFFFF"/>
          <w:lang w:val="es-CR"/>
        </w:rPr>
        <w:t xml:space="preserve"> contempla una realización paulatina de los derechos reconocidos por dicho tratado, y que tiene en cuenta las restricciones de la limitación de los recursos con que</w:t>
      </w:r>
      <w:r w:rsidR="00C84C22">
        <w:rPr>
          <w:i w:val="0"/>
          <w:szCs w:val="20"/>
          <w:shd w:val="clear" w:color="auto" w:fill="FFFFFF"/>
          <w:lang w:val="es-CR"/>
        </w:rPr>
        <w:t xml:space="preserve"> se</w:t>
      </w:r>
      <w:r w:rsidRPr="0060216C">
        <w:rPr>
          <w:i w:val="0"/>
          <w:szCs w:val="20"/>
          <w:shd w:val="clear" w:color="auto" w:fill="FFFFFF"/>
          <w:lang w:val="es-CR"/>
        </w:rPr>
        <w:t xml:space="preserve"> cuenta, también impone varias obligaciones con efecto inmediato</w:t>
      </w:r>
      <w:r w:rsidRPr="0060216C">
        <w:rPr>
          <w:rStyle w:val="Refdenotaalpie"/>
          <w:i w:val="0"/>
          <w:shd w:val="clear" w:color="auto" w:fill="FFFFFF"/>
          <w:lang w:val="es-CR"/>
        </w:rPr>
        <w:footnoteReference w:id="73"/>
      </w:r>
      <w:r w:rsidRPr="0060216C">
        <w:rPr>
          <w:i w:val="0"/>
          <w:szCs w:val="20"/>
          <w:shd w:val="clear" w:color="auto" w:fill="FFFFFF"/>
          <w:lang w:val="es-CR"/>
        </w:rPr>
        <w:t xml:space="preserve">. De igual forma, el mismo Comité estableció que el concepto de “progresiva efectividad” constituye un reconocimiento de que la efectividad de dichos derechos se logrará </w:t>
      </w:r>
      <w:r w:rsidR="00C84C22">
        <w:rPr>
          <w:i w:val="0"/>
          <w:szCs w:val="20"/>
          <w:shd w:val="clear" w:color="auto" w:fill="FFFFFF"/>
          <w:lang w:val="es-CR"/>
        </w:rPr>
        <w:t>con</w:t>
      </w:r>
      <w:r w:rsidRPr="0060216C">
        <w:rPr>
          <w:i w:val="0"/>
          <w:szCs w:val="20"/>
          <w:shd w:val="clear" w:color="auto" w:fill="FFFFFF"/>
          <w:lang w:val="es-CR"/>
        </w:rPr>
        <w:t xml:space="preserve"> el paso del tiempo, sin embargo también señaló que:</w:t>
      </w:r>
    </w:p>
    <w:p w14:paraId="79205B5C"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3F06F68B" w14:textId="77777777" w:rsidR="00F46845" w:rsidRDefault="00F46845" w:rsidP="00E92CA8">
      <w:pPr>
        <w:pStyle w:val="Prrafodelista"/>
        <w:widowControl w:val="0"/>
        <w:autoSpaceDE w:val="0"/>
        <w:autoSpaceDN w:val="0"/>
        <w:adjustRightInd w:val="0"/>
        <w:ind w:left="708" w:right="900"/>
        <w:textAlignment w:val="baseline"/>
        <w:rPr>
          <w:rFonts w:eastAsia="Times" w:cs="Arial"/>
          <w:sz w:val="18"/>
          <w:szCs w:val="18"/>
          <w:lang w:val="es-MX"/>
        </w:rPr>
      </w:pPr>
      <w:r w:rsidRPr="0060216C">
        <w:rPr>
          <w:sz w:val="18"/>
          <w:szCs w:val="18"/>
          <w:lang w:val="es-CR"/>
        </w:rPr>
        <w:t>el hecho de que la efectividad a lo largo del tiempo, o en otras palabras progresivamente, se prevea en relación con el Pacto no se ha de interpretar equivocadamente como que priva a la obligación de todo contenido significativo. Por una parte, se requiere un dispositivo de flexibilidad necesaria que refleje las realidades del mundo real y las dificultades que implica para cada país el asegurar la plena efectividad de los derechos económicos, sociales y culturales</w:t>
      </w:r>
      <w:r w:rsidRPr="0060216C">
        <w:rPr>
          <w:rStyle w:val="Refdenotaalpie"/>
          <w:rFonts w:eastAsia="Times"/>
          <w:sz w:val="18"/>
          <w:szCs w:val="18"/>
          <w:lang w:val="es-MX"/>
        </w:rPr>
        <w:footnoteReference w:id="74"/>
      </w:r>
      <w:r w:rsidRPr="0060216C">
        <w:rPr>
          <w:rFonts w:eastAsia="Times" w:cs="Arial"/>
          <w:sz w:val="18"/>
          <w:szCs w:val="18"/>
          <w:lang w:val="es-MX"/>
        </w:rPr>
        <w:t>.</w:t>
      </w:r>
    </w:p>
    <w:p w14:paraId="53827800" w14:textId="77777777" w:rsidR="00E92CA8" w:rsidRPr="00E92CA8" w:rsidRDefault="00E92CA8" w:rsidP="00E92CA8">
      <w:pPr>
        <w:widowControl w:val="0"/>
        <w:autoSpaceDE w:val="0"/>
        <w:autoSpaceDN w:val="0"/>
        <w:adjustRightInd w:val="0"/>
        <w:ind w:right="900"/>
        <w:textAlignment w:val="baseline"/>
        <w:rPr>
          <w:rFonts w:eastAsia="Times" w:cs="Arial"/>
          <w:szCs w:val="20"/>
          <w:lang w:val="es-CR"/>
        </w:rPr>
      </w:pPr>
    </w:p>
    <w:p w14:paraId="75AD6B62" w14:textId="77777777" w:rsidR="002F4F3A"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La Corte reitera lo ya establecido en su jurisprudencia</w:t>
      </w:r>
      <w:r w:rsidRPr="0060216C">
        <w:rPr>
          <w:rStyle w:val="Refdenotaalpie"/>
          <w:rFonts w:eastAsia="Times"/>
          <w:i w:val="0"/>
          <w:lang w:val="es-MX"/>
        </w:rPr>
        <w:footnoteReference w:id="75"/>
      </w:r>
      <w:r w:rsidRPr="0060216C">
        <w:rPr>
          <w:rFonts w:eastAsia="Times" w:cs="Arial"/>
          <w:i w:val="0"/>
          <w:szCs w:val="20"/>
          <w:lang w:val="es-MX"/>
        </w:rPr>
        <w:t xml:space="preserve">, en el sentido que </w:t>
      </w:r>
      <w:r w:rsidRPr="0060216C">
        <w:rPr>
          <w:i w:val="0"/>
          <w:szCs w:val="20"/>
          <w:lang w:val="es-CR"/>
        </w:rPr>
        <w:t>la flexibilidad en cuanto a plazo y modalidades de cumplimiento de sus obligaciones de progresividad conforme al artículo 26 implica, esencialmente, aunque no exclusivamente, una obligación de hacer, es decir, de adoptar providencias y brindar los medios y elementos necesarios para responder a las exigencias de efectividad de los derechos involucrados, siempre en la medida de los recursos económicos y financieros de que disponga para el cumplimiento del respectivo compromiso internacional adquirido. Así, la implementación progresiva de dichas medidas podrá ser objeto de rendición de cuentas y, de ser el caso, el cumplimiento del respectivo compromiso adquirido por el Estado podrá ser exigido ante las instancias llamadas a resolver eventuales violaciones a los derechos humanos</w:t>
      </w:r>
      <w:r w:rsidRPr="0060216C">
        <w:rPr>
          <w:rStyle w:val="Refdenotaalpie"/>
          <w:i w:val="0"/>
          <w:lang w:val="es-CR"/>
        </w:rPr>
        <w:footnoteReference w:id="76"/>
      </w:r>
      <w:r w:rsidRPr="0060216C">
        <w:rPr>
          <w:i w:val="0"/>
          <w:szCs w:val="20"/>
          <w:lang w:val="es-CR"/>
        </w:rPr>
        <w:t>.</w:t>
      </w:r>
    </w:p>
    <w:p w14:paraId="3F0DFE02" w14:textId="77777777" w:rsidR="00E92CA8" w:rsidRPr="002F4F3A" w:rsidRDefault="00E92CA8" w:rsidP="00E92CA8">
      <w:pPr>
        <w:pStyle w:val="Estilo1"/>
        <w:tabs>
          <w:tab w:val="left" w:pos="709"/>
          <w:tab w:val="left" w:pos="1134"/>
        </w:tabs>
        <w:spacing w:after="0"/>
        <w:ind w:left="0" w:right="-4" w:firstLine="0"/>
        <w:rPr>
          <w:rFonts w:eastAsia="Times" w:cs="Arial"/>
          <w:i w:val="0"/>
          <w:szCs w:val="20"/>
          <w:lang w:val="es-MX"/>
        </w:rPr>
      </w:pPr>
    </w:p>
    <w:p w14:paraId="331D963B" w14:textId="0715AA00" w:rsidR="00E92CA8" w:rsidRDefault="00AC0BEF" w:rsidP="00E92CA8">
      <w:pPr>
        <w:pStyle w:val="Estilo1"/>
        <w:tabs>
          <w:tab w:val="left" w:pos="709"/>
          <w:tab w:val="left" w:pos="1134"/>
        </w:tabs>
        <w:spacing w:after="0"/>
        <w:ind w:left="0" w:right="-4" w:firstLine="0"/>
        <w:rPr>
          <w:rFonts w:eastAsia="Times" w:cs="Arial"/>
          <w:b/>
          <w:szCs w:val="20"/>
          <w:lang w:val="es-MX"/>
        </w:rPr>
      </w:pPr>
      <w:r>
        <w:rPr>
          <w:i w:val="0"/>
          <w:szCs w:val="20"/>
          <w:lang w:val="es-MX"/>
        </w:rPr>
        <w:tab/>
      </w:r>
      <w:r>
        <w:rPr>
          <w:i w:val="0"/>
          <w:szCs w:val="20"/>
          <w:lang w:val="es-MX"/>
        </w:rPr>
        <w:tab/>
      </w:r>
      <w:r>
        <w:rPr>
          <w:i w:val="0"/>
          <w:szCs w:val="20"/>
          <w:lang w:val="es-MX"/>
        </w:rPr>
        <w:tab/>
      </w:r>
      <w:r w:rsidR="00F46845" w:rsidRPr="002F4F3A">
        <w:rPr>
          <w:rFonts w:eastAsia="Times" w:cs="Arial"/>
          <w:b/>
          <w:szCs w:val="20"/>
          <w:lang w:val="es-MX"/>
        </w:rPr>
        <w:t>B.1.2. Contexto interno – interpretación sistemática</w:t>
      </w:r>
    </w:p>
    <w:p w14:paraId="67E3EDC1" w14:textId="77777777" w:rsidR="00E92CA8" w:rsidRPr="00E92CA8" w:rsidRDefault="00E92CA8" w:rsidP="00E92CA8">
      <w:pPr>
        <w:pStyle w:val="Estilo1"/>
        <w:tabs>
          <w:tab w:val="left" w:pos="709"/>
          <w:tab w:val="left" w:pos="1134"/>
        </w:tabs>
        <w:spacing w:after="0"/>
        <w:ind w:left="0" w:right="-4" w:firstLine="0"/>
        <w:rPr>
          <w:rFonts w:eastAsia="Times" w:cs="Arial"/>
          <w:b/>
          <w:szCs w:val="20"/>
          <w:lang w:val="es-MX"/>
        </w:rPr>
      </w:pPr>
    </w:p>
    <w:p w14:paraId="2E7FF208" w14:textId="77777777"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En segundo lugar, la Corte considera pertinente referirse al contexto en que se ubica el artículo 26 de la Convención. Al respecto, el Tribunal resalta que, según el criterio sistemático, las normas deben ser interpretadas como parte de un todo cuyo significado y alcance deben fijarse en función del sistema jurídico al cual pertenecen</w:t>
      </w:r>
      <w:r w:rsidRPr="0060216C">
        <w:rPr>
          <w:rStyle w:val="Refdenotaalpie"/>
          <w:i w:val="0"/>
          <w:lang w:val="es-CR"/>
        </w:rPr>
        <w:footnoteReference w:id="77"/>
      </w:r>
      <w:r w:rsidRPr="0060216C">
        <w:rPr>
          <w:i w:val="0"/>
          <w:szCs w:val="20"/>
          <w:lang w:val="es-CR"/>
        </w:rPr>
        <w:t>. En este sentido, la Corte ha considerado que al dar interpretación a un tratado no sólo se toman en cuenta los acuerdos e instrumentos formalmente relacionados con éste (inciso segundo del artículo 31 de la Convención de Viena), sino también el sistema dentro del cual se inscribe (inciso tercero del artículo 31), esto es, el sistema interamericano de protección de los derechos humanos</w:t>
      </w:r>
      <w:r w:rsidRPr="0060216C">
        <w:rPr>
          <w:rStyle w:val="Refdenotaalpie"/>
          <w:i w:val="0"/>
          <w:lang w:val="es-CR"/>
        </w:rPr>
        <w:footnoteReference w:id="78"/>
      </w:r>
      <w:r w:rsidRPr="0060216C">
        <w:rPr>
          <w:i w:val="0"/>
          <w:szCs w:val="20"/>
          <w:lang w:val="es-CR"/>
        </w:rPr>
        <w:t>. En el marco de una interpretación sistemática de la Convención se deben tener en cuenta todas las disposiciones que la integran y los acuerdos e instrumentos formalmente relacionados con ella, como por ejemplo, la Declaración Americana de los Derechos y Deberes del Hombre (en adelanta también “Declaración Americana”), por cuanto permiten verificar si la interpretación dada a una norma o término en concreto es coherente con el sentido de las demás disposiciones</w:t>
      </w:r>
      <w:r w:rsidRPr="0060216C">
        <w:rPr>
          <w:rStyle w:val="Refdenotaalpie"/>
          <w:i w:val="0"/>
          <w:lang w:val="es-CR"/>
        </w:rPr>
        <w:footnoteReference w:id="79"/>
      </w:r>
      <w:r w:rsidRPr="0060216C">
        <w:rPr>
          <w:i w:val="0"/>
          <w:szCs w:val="20"/>
          <w:lang w:val="es-CR"/>
        </w:rPr>
        <w:t>.</w:t>
      </w:r>
    </w:p>
    <w:p w14:paraId="2579C499"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06C121E3" w14:textId="3135D344"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En este sentido, la Corte destaca que los alcances de los derechos que se derivan del artículo 26 de l</w:t>
      </w:r>
      <w:r w:rsidR="00B7716C">
        <w:rPr>
          <w:i w:val="0"/>
          <w:szCs w:val="20"/>
          <w:lang w:val="es-CR"/>
        </w:rPr>
        <w:t>a Convención deben ser entendido</w:t>
      </w:r>
      <w:r w:rsidRPr="0060216C">
        <w:rPr>
          <w:i w:val="0"/>
          <w:szCs w:val="20"/>
          <w:lang w:val="es-CR"/>
        </w:rPr>
        <w:t>s en relación con el resto de las cláusulas de la Convención Americana y de otros instrumentos relevantes para su interpretación. Al respecto, la Corte ha observado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 De esta forma, la Corte considera que las obligaciones generales de “respeto” y “garantía”, conjuntamente con la obligación de “adecuación” del artículo 2 de la propia Convención, aplican a todos los derechos, sean civiles, políticos, económicos, sociales, culturales y ambientales</w:t>
      </w:r>
      <w:r w:rsidRPr="0060216C">
        <w:rPr>
          <w:rStyle w:val="Refdenotaalpie"/>
          <w:i w:val="0"/>
          <w:lang w:val="es-CR"/>
        </w:rPr>
        <w:footnoteReference w:id="80"/>
      </w:r>
      <w:r w:rsidRPr="0060216C">
        <w:rPr>
          <w:i w:val="0"/>
          <w:szCs w:val="20"/>
          <w:lang w:val="es-CR"/>
        </w:rPr>
        <w:t>.</w:t>
      </w:r>
    </w:p>
    <w:p w14:paraId="786DAA17"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AFA41DF" w14:textId="0FEC75FE"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C02743">
        <w:rPr>
          <w:rFonts w:eastAsia="Times" w:cs="Arial"/>
          <w:i w:val="0"/>
          <w:szCs w:val="20"/>
          <w:lang w:val="es-MX"/>
        </w:rPr>
        <w:t xml:space="preserve">En consecuencia, al existir una obligación de los Estados de respetar y garantizar los derechos contemplados por el artículo 26, en los términos del artículo 1.1 de la Convención, la Corte tiene competencia para calificar si existió una violación a un derecho derivado del artículo 26 en los términos previstos por los artículos 62 y 63 de la Convención. Este último artículo prevé que cuando exista una violación de un derecho o libertad protegido por la Convención, la Corte dispondrá que se garantice al lesionado en el goce de su derecho o </w:t>
      </w:r>
      <w:r w:rsidRPr="00C02743">
        <w:rPr>
          <w:rFonts w:eastAsia="Times" w:cs="Arial"/>
          <w:i w:val="0"/>
          <w:szCs w:val="20"/>
          <w:lang w:val="es-MX"/>
        </w:rPr>
        <w:lastRenderedPageBreak/>
        <w:t>libertad conculcado, y dispondrá que se reparen las consecuencias de la medida o situación que ha configurado la vulneración de un derecho. Asimismo, la Corte ha señalado en reiteradas ocasiones que</w:t>
      </w:r>
      <w:r w:rsidR="00852F98">
        <w:rPr>
          <w:rFonts w:eastAsia="Times" w:cs="Arial"/>
          <w:i w:val="0"/>
          <w:szCs w:val="20"/>
          <w:lang w:val="es-MX"/>
        </w:rPr>
        <w:t>,</w:t>
      </w:r>
      <w:r w:rsidRPr="00C02743">
        <w:rPr>
          <w:rFonts w:eastAsia="Times" w:cs="Arial"/>
          <w:i w:val="0"/>
          <w:szCs w:val="20"/>
          <w:lang w:val="es-MX"/>
        </w:rPr>
        <w:t xml:space="preserve"> en virtud del artículo 1.1</w:t>
      </w:r>
      <w:r w:rsidR="00852F98">
        <w:rPr>
          <w:rFonts w:eastAsia="Times" w:cs="Arial"/>
          <w:i w:val="0"/>
          <w:szCs w:val="20"/>
          <w:lang w:val="es-MX"/>
        </w:rPr>
        <w:t>,</w:t>
      </w:r>
      <w:r w:rsidRPr="00C02743">
        <w:rPr>
          <w:rFonts w:eastAsia="Times" w:cs="Arial"/>
          <w:i w:val="0"/>
          <w:szCs w:val="20"/>
          <w:lang w:val="es-MX"/>
        </w:rPr>
        <w:t xml:space="preserve">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establecidos en la Convención</w:t>
      </w:r>
      <w:r w:rsidRPr="0060216C">
        <w:rPr>
          <w:rStyle w:val="Refdenotaalpie"/>
          <w:rFonts w:eastAsia="Times"/>
          <w:i w:val="0"/>
          <w:lang w:val="es-MX"/>
        </w:rPr>
        <w:footnoteReference w:id="81"/>
      </w:r>
      <w:r w:rsidRPr="00C02743">
        <w:rPr>
          <w:rFonts w:eastAsia="Times" w:cs="Arial"/>
          <w:i w:val="0"/>
          <w:szCs w:val="20"/>
          <w:lang w:val="es-MX"/>
        </w:rPr>
        <w:t xml:space="preserve">. Así, la Corte considera que ahí donde sea posible identificar una acción u omisión atribuible al Estado, que vulnere un derecho protegido por el artículo 26, la Corte podrá </w:t>
      </w:r>
      <w:r w:rsidR="00C02743">
        <w:rPr>
          <w:rFonts w:eastAsia="Times" w:cs="Arial"/>
          <w:i w:val="0"/>
          <w:szCs w:val="20"/>
          <w:lang w:val="es-MX"/>
        </w:rPr>
        <w:t>determinar</w:t>
      </w:r>
      <w:r w:rsidRPr="00C02743">
        <w:rPr>
          <w:rFonts w:eastAsia="Times" w:cs="Arial"/>
          <w:i w:val="0"/>
          <w:szCs w:val="20"/>
          <w:lang w:val="es-MX"/>
        </w:rPr>
        <w:t xml:space="preserve"> la responsabilidad del Estado por dicho acto y establecer una reparación adecuada.</w:t>
      </w:r>
    </w:p>
    <w:p w14:paraId="68C339AE" w14:textId="77777777" w:rsidR="00E92CA8" w:rsidRPr="00C02743" w:rsidRDefault="00E92CA8" w:rsidP="00E92CA8">
      <w:pPr>
        <w:pStyle w:val="Estilo1"/>
        <w:tabs>
          <w:tab w:val="left" w:pos="709"/>
          <w:tab w:val="left" w:pos="1134"/>
        </w:tabs>
        <w:spacing w:after="0"/>
        <w:ind w:left="0" w:right="-4" w:firstLine="0"/>
        <w:rPr>
          <w:rFonts w:eastAsia="Times" w:cs="Arial"/>
          <w:i w:val="0"/>
          <w:szCs w:val="20"/>
          <w:lang w:val="es-MX"/>
        </w:rPr>
      </w:pPr>
    </w:p>
    <w:p w14:paraId="2ECC720A" w14:textId="60D12BD4"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El Tribunal advierte que el hecho de que los derechos derivados del artículo 26 estén sujetos a las obligaciones generales de la Convención Americana no sólo es resultado de cuestiones formales, sino que resulta de la interdependencia e indivisibilidad recíproca existente entre los derechos civiles y políticos y los económicos, sociales, culturales y ambientales</w:t>
      </w:r>
      <w:r w:rsidRPr="0060216C">
        <w:rPr>
          <w:rStyle w:val="Refdenotaalpie"/>
          <w:rFonts w:eastAsia="Times"/>
          <w:i w:val="0"/>
          <w:lang w:val="es-MX"/>
        </w:rPr>
        <w:footnoteReference w:id="82"/>
      </w:r>
      <w:r w:rsidRPr="0060216C">
        <w:rPr>
          <w:rFonts w:eastAsia="Times" w:cs="Arial"/>
          <w:i w:val="0"/>
          <w:szCs w:val="20"/>
          <w:lang w:val="es-MX"/>
        </w:rPr>
        <w:t>. Al respecto, la Corte ha reconocido que ambas categorías de derechos deben ser entendidas integralmente</w:t>
      </w:r>
      <w:r w:rsidR="00F3155A">
        <w:rPr>
          <w:rFonts w:eastAsia="Times" w:cs="Arial"/>
          <w:i w:val="0"/>
          <w:szCs w:val="20"/>
          <w:lang w:val="es-MX"/>
        </w:rPr>
        <w:t xml:space="preserve"> y de forma conglobada</w:t>
      </w:r>
      <w:r w:rsidRPr="0060216C">
        <w:rPr>
          <w:rFonts w:eastAsia="Times" w:cs="Arial"/>
          <w:i w:val="0"/>
          <w:szCs w:val="20"/>
          <w:lang w:val="es-MX"/>
        </w:rPr>
        <w:t xml:space="preserve"> como derechos humanos, sin jerarquía entre sí y exigibles en todos los casos ante aquellas autoridades que resulten competentes para ello</w:t>
      </w:r>
      <w:r w:rsidRPr="0060216C">
        <w:rPr>
          <w:rStyle w:val="Refdenotaalpie"/>
          <w:rFonts w:eastAsia="Times"/>
          <w:i w:val="0"/>
          <w:lang w:val="es-MX"/>
        </w:rPr>
        <w:footnoteReference w:id="83"/>
      </w:r>
      <w:r w:rsidRPr="0060216C">
        <w:rPr>
          <w:rFonts w:eastAsia="Times" w:cs="Arial"/>
          <w:i w:val="0"/>
          <w:szCs w:val="20"/>
          <w:lang w:val="es-MX"/>
        </w:rPr>
        <w:t>. De igual forma, el Tribunal advierte que el Preámbulo de la Convención</w:t>
      </w:r>
      <w:r w:rsidRPr="0060216C">
        <w:rPr>
          <w:rStyle w:val="Refdenotaalpie"/>
          <w:rFonts w:eastAsia="Times"/>
          <w:i w:val="0"/>
          <w:lang w:val="es-MX"/>
        </w:rPr>
        <w:footnoteReference w:id="84"/>
      </w:r>
      <w:r w:rsidRPr="0060216C">
        <w:rPr>
          <w:rFonts w:eastAsia="Times" w:cs="Arial"/>
          <w:i w:val="0"/>
          <w:szCs w:val="20"/>
          <w:lang w:val="es-MX"/>
        </w:rPr>
        <w:t xml:space="preserve">, así como </w:t>
      </w:r>
      <w:r w:rsidR="00852F98">
        <w:rPr>
          <w:rFonts w:eastAsia="Times" w:cs="Arial"/>
          <w:i w:val="0"/>
          <w:szCs w:val="20"/>
          <w:lang w:val="es-MX"/>
        </w:rPr>
        <w:t>diversas</w:t>
      </w:r>
      <w:r w:rsidRPr="0060216C">
        <w:rPr>
          <w:rFonts w:eastAsia="Times" w:cs="Arial"/>
          <w:i w:val="0"/>
          <w:szCs w:val="20"/>
          <w:lang w:val="es-MX"/>
        </w:rPr>
        <w:t xml:space="preserve"> cláusulas de la Declaración Americana, muestran que tanto los derechos civiles y políticos</w:t>
      </w:r>
      <w:r w:rsidR="00852F98">
        <w:rPr>
          <w:rFonts w:eastAsia="Times" w:cs="Arial"/>
          <w:i w:val="0"/>
          <w:szCs w:val="20"/>
          <w:lang w:val="es-MX"/>
        </w:rPr>
        <w:t>,</w:t>
      </w:r>
      <w:r w:rsidRPr="0060216C">
        <w:rPr>
          <w:rFonts w:eastAsia="Times" w:cs="Arial"/>
          <w:i w:val="0"/>
          <w:szCs w:val="20"/>
          <w:lang w:val="es-MX"/>
        </w:rPr>
        <w:t xml:space="preserve"> como los DESCA</w:t>
      </w:r>
      <w:r w:rsidR="00852F98">
        <w:rPr>
          <w:rFonts w:eastAsia="Times" w:cs="Arial"/>
          <w:i w:val="0"/>
          <w:szCs w:val="20"/>
          <w:lang w:val="es-MX"/>
        </w:rPr>
        <w:t>,</w:t>
      </w:r>
      <w:r w:rsidRPr="0060216C">
        <w:rPr>
          <w:rFonts w:eastAsia="Times" w:cs="Arial"/>
          <w:i w:val="0"/>
          <w:szCs w:val="20"/>
          <w:lang w:val="es-MX"/>
        </w:rPr>
        <w:t xml:space="preserve"> fueron reconocidos por los Estados de la región como derechos esenciales de la persona humana. En ese mismo sentido, el Preámbulo del Protocolo Adicional a la Convención Americana sobre </w:t>
      </w:r>
      <w:r w:rsidR="00852F98">
        <w:rPr>
          <w:rFonts w:eastAsia="Times" w:cs="Arial"/>
          <w:i w:val="0"/>
          <w:szCs w:val="20"/>
          <w:lang w:val="es-MX"/>
        </w:rPr>
        <w:t>Derechos Humanos en materia de Derechos Económicos, Sociales y Culturales “Protocolo de San Salvador”</w:t>
      </w:r>
      <w:r w:rsidRPr="0060216C">
        <w:rPr>
          <w:rFonts w:eastAsia="Times" w:cs="Arial"/>
          <w:i w:val="0"/>
          <w:szCs w:val="20"/>
          <w:lang w:val="es-MX"/>
        </w:rPr>
        <w:t xml:space="preserve"> (en adelante también “Protoc</w:t>
      </w:r>
      <w:r w:rsidR="00E92CA8">
        <w:rPr>
          <w:rFonts w:eastAsia="Times" w:cs="Arial"/>
          <w:i w:val="0"/>
          <w:szCs w:val="20"/>
          <w:lang w:val="es-MX"/>
        </w:rPr>
        <w:t>olo de San Salvador”) reconoce:</w:t>
      </w:r>
    </w:p>
    <w:p w14:paraId="32C14107"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4A0A6F5B" w14:textId="77777777" w:rsidR="00F46845" w:rsidRDefault="00F46845" w:rsidP="00E92CA8">
      <w:pPr>
        <w:pStyle w:val="Prrafodelista"/>
        <w:widowControl w:val="0"/>
        <w:autoSpaceDE w:val="0"/>
        <w:autoSpaceDN w:val="0"/>
        <w:adjustRightInd w:val="0"/>
        <w:ind w:left="708" w:right="900"/>
        <w:textAlignment w:val="baseline"/>
        <w:rPr>
          <w:rFonts w:cs="Tahoma"/>
          <w:sz w:val="18"/>
          <w:szCs w:val="18"/>
          <w:lang w:val="es-CR"/>
        </w:rPr>
      </w:pPr>
      <w:r w:rsidRPr="0060216C">
        <w:rPr>
          <w:rFonts w:cs="Tahoma"/>
          <w:sz w:val="18"/>
          <w:szCs w:val="18"/>
          <w:lang w:val="es-CR"/>
        </w:rPr>
        <w:t>la estrecha relación que existe entre la 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 otros.</w:t>
      </w:r>
    </w:p>
    <w:p w14:paraId="700C3794" w14:textId="77777777" w:rsidR="00E92CA8" w:rsidRPr="00E92CA8" w:rsidRDefault="00E92CA8" w:rsidP="00E92CA8">
      <w:pPr>
        <w:widowControl w:val="0"/>
        <w:autoSpaceDE w:val="0"/>
        <w:autoSpaceDN w:val="0"/>
        <w:adjustRightInd w:val="0"/>
        <w:ind w:right="900"/>
        <w:textAlignment w:val="baseline"/>
        <w:rPr>
          <w:rFonts w:eastAsia="Times" w:cs="Arial"/>
          <w:szCs w:val="20"/>
          <w:lang w:val="es-CR"/>
        </w:rPr>
      </w:pPr>
    </w:p>
    <w:p w14:paraId="0C3A5B1F" w14:textId="3EED1DE9"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lastRenderedPageBreak/>
        <w:t>Para este Tribunal, la interdependencia e indivisibilidad de los derechos reconocidos por la Convención Americana niega cualquier separación, categorización o jerarquía entre derechos para efectos de su respeto, protección y garantía. Esta condición atañe no sólo al reconocimiento de los DESCA como derechos humanos protegidos por el artículo 26, sino también a los aspectos de competencia de este Tribunal para conocer sobre violaciones a los mismos sobre la base de dicho artículo. Al respecto, la Corte recuerda que ejerce jurisdicción plena sobre todos sus artículos y disposiciones sobre la base de los artículos 62 y 63 de la Convención, entre los que se encuentra el artículo 26. Asimismo, de manera complementaria, la Corte recuerda que, como cualquier otro órgano con funciones jurisdiccionales, este Tribunal tiene el poder inherente de determinar el alcance de su propia competencia (</w:t>
      </w:r>
      <w:proofErr w:type="spellStart"/>
      <w:r w:rsidR="00852F98">
        <w:rPr>
          <w:rFonts w:eastAsia="Times" w:cs="Arial"/>
          <w:szCs w:val="20"/>
          <w:lang w:val="es-MX"/>
        </w:rPr>
        <w:t>compétence</w:t>
      </w:r>
      <w:proofErr w:type="spellEnd"/>
      <w:r w:rsidR="00852F98">
        <w:rPr>
          <w:rFonts w:eastAsia="Times" w:cs="Arial"/>
          <w:szCs w:val="20"/>
          <w:lang w:val="es-MX"/>
        </w:rPr>
        <w:t xml:space="preserve"> de la </w:t>
      </w:r>
      <w:proofErr w:type="spellStart"/>
      <w:r w:rsidR="00852F98">
        <w:rPr>
          <w:rFonts w:eastAsia="Times" w:cs="Arial"/>
          <w:szCs w:val="20"/>
          <w:lang w:val="es-MX"/>
        </w:rPr>
        <w:t>compé</w:t>
      </w:r>
      <w:r w:rsidRPr="00852F98">
        <w:rPr>
          <w:rFonts w:eastAsia="Times" w:cs="Arial"/>
          <w:szCs w:val="20"/>
          <w:lang w:val="es-MX"/>
        </w:rPr>
        <w:t>tence</w:t>
      </w:r>
      <w:proofErr w:type="spellEnd"/>
      <w:r w:rsidRPr="0060216C">
        <w:rPr>
          <w:rFonts w:eastAsia="Times" w:cs="Arial"/>
          <w:i w:val="0"/>
          <w:szCs w:val="20"/>
          <w:lang w:val="es-MX"/>
        </w:rPr>
        <w:t>) y, por otra parte, “que la Corte debe tener en cuenta que los instrumentos de reconocimiento de la cláusula facultativa de la jurisdicción obligatoria (artículo 62.1 de la Convención) presuponen la admisión, por los Estados que la presentan, de resolver cualquier controve</w:t>
      </w:r>
      <w:r w:rsidR="00852F98">
        <w:rPr>
          <w:rFonts w:eastAsia="Times" w:cs="Arial"/>
          <w:i w:val="0"/>
          <w:szCs w:val="20"/>
          <w:lang w:val="es-MX"/>
        </w:rPr>
        <w:t>rsia relativa a su jurisdicción</w:t>
      </w:r>
      <w:r w:rsidRPr="0060216C">
        <w:rPr>
          <w:rFonts w:eastAsia="Times" w:cs="Arial"/>
          <w:i w:val="0"/>
          <w:szCs w:val="20"/>
          <w:lang w:val="es-MX"/>
        </w:rPr>
        <w:t>”</w:t>
      </w:r>
      <w:r w:rsidRPr="0060216C">
        <w:rPr>
          <w:rStyle w:val="Refdenotaalpie"/>
          <w:rFonts w:eastAsia="Times"/>
          <w:i w:val="0"/>
          <w:lang w:val="es-MX"/>
        </w:rPr>
        <w:footnoteReference w:id="85"/>
      </w:r>
      <w:r w:rsidR="00852F98">
        <w:rPr>
          <w:rFonts w:eastAsia="Times" w:cs="Arial"/>
          <w:i w:val="0"/>
          <w:szCs w:val="20"/>
          <w:lang w:val="es-MX"/>
        </w:rPr>
        <w:t>.</w:t>
      </w:r>
    </w:p>
    <w:p w14:paraId="5FDFEF96"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1A552F01"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Sin perjuicio de lo anterior, la Corte reconoce que una interpretación sistemática del artículo 26 de la Convención implica tomar seriamente en consideración los límites de la competencia de la Corte en relación con otros instrumentos del Sistema Interamericano que se refieran a los DESCA. En ese sentido, el Tribunal advierte la tensión que puede existir en relación con la competencia de la Corte para conocer sobre violaciones a los derechos derivados de la Carta de la OEA, a través de una aplicación de los artículos 26, 1.1, 2, 62 y 63 de la Convención, y la competencia que reconoce el artículo 19.6 del Protocolo de San Salvador</w:t>
      </w:r>
      <w:r w:rsidRPr="0060216C">
        <w:rPr>
          <w:rStyle w:val="Refdenotaalpie"/>
          <w:rFonts w:eastAsia="Times"/>
          <w:i w:val="0"/>
          <w:lang w:val="es-MX"/>
        </w:rPr>
        <w:footnoteReference w:id="86"/>
      </w:r>
      <w:r w:rsidRPr="0060216C">
        <w:rPr>
          <w:rFonts w:eastAsia="Times" w:cs="Arial"/>
          <w:i w:val="0"/>
          <w:szCs w:val="20"/>
          <w:lang w:val="es-MX"/>
        </w:rPr>
        <w:t>. En efecto, éste último instrumento prevé que en caso de que los derechos establecidos en el párrafo a) del artículo 8 y en el artículo 13 del Protocolo fuesen violados por una acción imputable a un Estado Parte, tal situación podría dar lugar a la aplicación del sistema de peticiones individuales regulado por los artículos 44 a 51 y 61 a 69 de la Convención Americana. No queda duda que la voluntad de los Estados sobre la competencia de la Corte para pronunciarse sobre violaciones al Protocolo de San Salvador encuentra sus límites en los derechos sindicales y el derecho a la educación.</w:t>
      </w:r>
    </w:p>
    <w:p w14:paraId="46AC57FA"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9663CFB" w14:textId="3AC81C5E"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Sin embargo, la Corte considera que el hecho de que el artículo 19.6 del Protocolo de San Salvador establezca límites sobre la competencia de este Tribunal para conocer exclusivamente sobre violaciones a determinados derechos a través del sistema de peticiones individuales, no debe ser interpretado como un precepto que limite el alcance de los derechos protegidos por la Convención, ni sobre la posibilidad de la Corte para conocer sobre violaciones a estos derechos. Por el contrario, el Tribunal advierte que una interpretación sistemática y de buena fe de ambos tratados lleva a la conclusión de que, al no existir una restricción expresa en el Protocolo de</w:t>
      </w:r>
      <w:r w:rsidR="00B7716C">
        <w:rPr>
          <w:rFonts w:eastAsia="Times" w:cs="Arial"/>
          <w:i w:val="0"/>
          <w:szCs w:val="20"/>
          <w:lang w:val="es-MX"/>
        </w:rPr>
        <w:t xml:space="preserve"> San</w:t>
      </w:r>
      <w:r w:rsidRPr="0060216C">
        <w:rPr>
          <w:rFonts w:eastAsia="Times" w:cs="Arial"/>
          <w:i w:val="0"/>
          <w:szCs w:val="20"/>
          <w:lang w:val="es-MX"/>
        </w:rPr>
        <w:t xml:space="preserve"> Salvador, que limite la competencia de la Corte para conocer sobre violaciones a la Convención, ésta limitación no debe ser asumida por este Tribunal. Asimismo, la Corte recuerda que el hecho de que los Estados adopten</w:t>
      </w:r>
      <w:r w:rsidR="00D75E69">
        <w:rPr>
          <w:rFonts w:eastAsia="Times" w:cs="Arial"/>
          <w:i w:val="0"/>
          <w:szCs w:val="20"/>
          <w:lang w:val="es-MX"/>
        </w:rPr>
        <w:t xml:space="preserve"> protocolos o</w:t>
      </w:r>
      <w:r w:rsidRPr="0060216C">
        <w:rPr>
          <w:rFonts w:eastAsia="Times" w:cs="Arial"/>
          <w:i w:val="0"/>
          <w:szCs w:val="20"/>
          <w:lang w:val="es-MX"/>
        </w:rPr>
        <w:t xml:space="preserve"> tratados relacionados con materias específicas, y definan la competencia de este Tribunal para conocer sobre aspectos definidos de dichos tratados, no implica una limitación a la competencia de este Tribunal para conocer sobre violaciones a la Convención Americana sobre aspectos </w:t>
      </w:r>
      <w:r w:rsidRPr="0060216C">
        <w:rPr>
          <w:rFonts w:eastAsia="Times" w:cs="Arial"/>
          <w:i w:val="0"/>
          <w:szCs w:val="20"/>
          <w:lang w:val="es-MX"/>
        </w:rPr>
        <w:lastRenderedPageBreak/>
        <w:t>sustantivos que se regulan en ambos tratados</w:t>
      </w:r>
      <w:r w:rsidRPr="0060216C">
        <w:rPr>
          <w:rStyle w:val="Refdenotaalpie"/>
          <w:rFonts w:eastAsia="Times"/>
          <w:i w:val="0"/>
          <w:lang w:val="es-MX"/>
        </w:rPr>
        <w:footnoteReference w:id="87"/>
      </w:r>
      <w:r w:rsidRPr="0060216C">
        <w:rPr>
          <w:rFonts w:eastAsia="Times" w:cs="Arial"/>
          <w:i w:val="0"/>
          <w:szCs w:val="20"/>
          <w:lang w:val="es-MX"/>
        </w:rPr>
        <w:t xml:space="preserve">. </w:t>
      </w:r>
      <w:r w:rsidR="00D75E69">
        <w:rPr>
          <w:rFonts w:eastAsia="Times" w:cs="Arial"/>
          <w:i w:val="0"/>
          <w:szCs w:val="20"/>
          <w:lang w:val="es-MX"/>
        </w:rPr>
        <w:t>En ese sentido, la Corte recuerda que el artículo 77 de la Convención prevé la posibilidad de que cualquier Estado parte o la Comisión sometan a consideración proyectos de protocolo adicionales con la finalidad de “incluir progresivamente en el régimen de protección de la misma otros derechos y libertades”.</w:t>
      </w:r>
    </w:p>
    <w:p w14:paraId="5687B827"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AFDD93A" w14:textId="2D74CB85" w:rsidR="002F4F3A"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 xml:space="preserve">De esta forma, la Corte considera que no existen elementos para considerar que, con la adopción del Protocolo de San Salvador, los Estados buscaron limitar la competencia del Tribunal para conocer sobre violaciones al artículo 26 de la Convención Americana. Al respecto, la Corte advierte que si la Convención Americana no está siendo modificada expresamente con un acto posterior de los Estados, la interpretación que corresponde debe ser la menos restrictiva respecto a sus alcances en materia de protección de los derechos humanos. </w:t>
      </w:r>
      <w:r w:rsidR="00A9065E">
        <w:rPr>
          <w:rFonts w:eastAsia="Times" w:cs="Arial"/>
          <w:i w:val="0"/>
          <w:szCs w:val="20"/>
          <w:lang w:val="es-MX"/>
        </w:rPr>
        <w:t xml:space="preserve">Asimismo, el Tribunal recuerda que </w:t>
      </w:r>
      <w:r w:rsidR="00D75E69">
        <w:rPr>
          <w:rFonts w:eastAsia="Times" w:cs="Arial"/>
          <w:i w:val="0"/>
          <w:szCs w:val="20"/>
          <w:lang w:val="es-MX"/>
        </w:rPr>
        <w:t>la propia Convención Americana prevé en su artículo 76 un procedimiento específico para realizar enmiendas a la misma, el cual requiere una aprobación de dos terceras partes de los Estados parte de la Convención</w:t>
      </w:r>
      <w:r w:rsidRPr="0060216C">
        <w:rPr>
          <w:rFonts w:eastAsia="Times" w:cs="Arial"/>
          <w:i w:val="0"/>
          <w:szCs w:val="20"/>
          <w:lang w:val="es-MX"/>
        </w:rPr>
        <w:t>.</w:t>
      </w:r>
      <w:r w:rsidR="00D75E69">
        <w:rPr>
          <w:rFonts w:eastAsia="Times" w:cs="Arial"/>
          <w:i w:val="0"/>
          <w:szCs w:val="20"/>
          <w:lang w:val="es-MX"/>
        </w:rPr>
        <w:t xml:space="preserve"> De esta forma, sería contradictorio considerar que la adopción de un Protocolo adicional, que no requiere un margen de aceptación tan elevado</w:t>
      </w:r>
      <w:r w:rsidR="00E5543B">
        <w:rPr>
          <w:rFonts w:eastAsia="Times" w:cs="Arial"/>
          <w:i w:val="0"/>
          <w:szCs w:val="20"/>
          <w:lang w:val="es-MX"/>
        </w:rPr>
        <w:t xml:space="preserve"> como una enmienda a la Convención Americana</w:t>
      </w:r>
      <w:r w:rsidR="00D75E69">
        <w:rPr>
          <w:rFonts w:eastAsia="Times" w:cs="Arial"/>
          <w:i w:val="0"/>
          <w:szCs w:val="20"/>
          <w:lang w:val="es-MX"/>
        </w:rPr>
        <w:t xml:space="preserve">, puede modificar el contenido y alcance de los efectos de la </w:t>
      </w:r>
      <w:r w:rsidR="00E5543B">
        <w:rPr>
          <w:rFonts w:eastAsia="Times" w:cs="Arial"/>
          <w:i w:val="0"/>
          <w:szCs w:val="20"/>
          <w:lang w:val="es-MX"/>
        </w:rPr>
        <w:t>misma</w:t>
      </w:r>
      <w:r w:rsidR="00D75E69">
        <w:rPr>
          <w:rFonts w:eastAsia="Times" w:cs="Arial"/>
          <w:i w:val="0"/>
          <w:szCs w:val="20"/>
          <w:lang w:val="es-MX"/>
        </w:rPr>
        <w:t>.</w:t>
      </w:r>
      <w:r w:rsidRPr="0060216C">
        <w:rPr>
          <w:rFonts w:eastAsia="Times" w:cs="Arial"/>
          <w:i w:val="0"/>
          <w:szCs w:val="20"/>
          <w:lang w:val="es-MX"/>
        </w:rPr>
        <w:t xml:space="preserve"> En consecuencia, la Corte considera que la mera existencia del artículo 19.6 del Protocolo de San Salvador no permite inferir conclusiones con consecuencias limitativas respecto a la relación entre los artículos 26, 1.1, 2, 62 y 63 de la Convención.</w:t>
      </w:r>
    </w:p>
    <w:p w14:paraId="5B5EC69F" w14:textId="77777777" w:rsidR="00E92CA8" w:rsidRDefault="00E92CA8" w:rsidP="00E92CA8">
      <w:pPr>
        <w:pStyle w:val="Estilo1"/>
        <w:tabs>
          <w:tab w:val="left" w:pos="709"/>
          <w:tab w:val="left" w:pos="1134"/>
        </w:tabs>
        <w:spacing w:after="0"/>
        <w:ind w:left="0" w:right="-4" w:firstLine="0"/>
        <w:rPr>
          <w:rFonts w:eastAsia="Times" w:cs="Arial"/>
          <w:i w:val="0"/>
          <w:szCs w:val="20"/>
          <w:lang w:val="es-MX"/>
        </w:rPr>
      </w:pPr>
    </w:p>
    <w:p w14:paraId="5C4F4B93" w14:textId="71DCB163" w:rsidR="00F46845" w:rsidRDefault="00AC0BEF" w:rsidP="00E92CA8">
      <w:pPr>
        <w:pStyle w:val="Estilo1"/>
        <w:tabs>
          <w:tab w:val="left" w:pos="709"/>
          <w:tab w:val="left" w:pos="1134"/>
        </w:tabs>
        <w:spacing w:after="0"/>
        <w:ind w:left="0" w:right="-4" w:firstLine="0"/>
        <w:rPr>
          <w:rFonts w:eastAsia="Verdana"/>
          <w:b/>
          <w:bCs/>
          <w:szCs w:val="20"/>
          <w:lang w:val="es-CR" w:eastAsia="x-none"/>
        </w:rPr>
      </w:pPr>
      <w:r>
        <w:rPr>
          <w:rFonts w:eastAsia="Times" w:cs="Arial"/>
          <w:i w:val="0"/>
          <w:szCs w:val="20"/>
          <w:lang w:val="es-MX"/>
        </w:rPr>
        <w:tab/>
      </w:r>
      <w:r>
        <w:rPr>
          <w:rFonts w:eastAsia="Times" w:cs="Arial"/>
          <w:i w:val="0"/>
          <w:szCs w:val="20"/>
          <w:lang w:val="es-MX"/>
        </w:rPr>
        <w:tab/>
      </w:r>
      <w:r>
        <w:rPr>
          <w:rFonts w:eastAsia="Times" w:cs="Arial"/>
          <w:i w:val="0"/>
          <w:szCs w:val="20"/>
          <w:lang w:val="es-MX"/>
        </w:rPr>
        <w:tab/>
      </w:r>
      <w:r w:rsidR="00F46845" w:rsidRPr="002F4F3A">
        <w:rPr>
          <w:rFonts w:eastAsia="Verdana"/>
          <w:b/>
          <w:bCs/>
          <w:szCs w:val="20"/>
          <w:lang w:val="es-CR" w:eastAsia="x-none"/>
        </w:rPr>
        <w:t>B.1.3. Interpretación teleológica</w:t>
      </w:r>
    </w:p>
    <w:p w14:paraId="3D374E54" w14:textId="77777777" w:rsidR="00E92CA8" w:rsidRPr="002F4F3A" w:rsidRDefault="00E92CA8" w:rsidP="00E92CA8">
      <w:pPr>
        <w:pStyle w:val="Estilo1"/>
        <w:tabs>
          <w:tab w:val="left" w:pos="709"/>
          <w:tab w:val="left" w:pos="1134"/>
        </w:tabs>
        <w:spacing w:after="0"/>
        <w:ind w:left="0" w:right="-4" w:firstLine="0"/>
        <w:rPr>
          <w:rFonts w:eastAsia="Times" w:cs="Arial"/>
          <w:i w:val="0"/>
          <w:szCs w:val="20"/>
          <w:lang w:val="es-MX"/>
        </w:rPr>
      </w:pPr>
    </w:p>
    <w:p w14:paraId="20BCBA2F"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En tercer lugar, corresponde realizar una interpretación teleológica del artículo 26 de la Convención. La Corte recuerda que en una interpretación teleológica se analiza el propósito de las normas involucradas, para lo cual es pertinente analizar el objeto y fin del tratado mismo y, de ser pertinente, los propósitos del sistema regional de protección</w:t>
      </w:r>
      <w:r w:rsidRPr="0060216C">
        <w:rPr>
          <w:rStyle w:val="Refdenotaalpie"/>
          <w:rFonts w:eastAsia="Times"/>
          <w:i w:val="0"/>
          <w:lang w:val="es-MX"/>
        </w:rPr>
        <w:footnoteReference w:id="88"/>
      </w:r>
      <w:r w:rsidRPr="0060216C">
        <w:rPr>
          <w:rFonts w:eastAsia="Times" w:cs="Arial"/>
          <w:i w:val="0"/>
          <w:szCs w:val="20"/>
          <w:lang w:val="es-MX"/>
        </w:rPr>
        <w:t>.</w:t>
      </w:r>
    </w:p>
    <w:p w14:paraId="32360D57"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333DB224"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El Preámbulo de la Convención Americana hace varias referencias que permiten establecer el objeto y fin del tratado:</w:t>
      </w:r>
    </w:p>
    <w:p w14:paraId="34FDF5AE"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38F129CD" w14:textId="77777777" w:rsidR="00F46845" w:rsidRPr="00BC4444" w:rsidRDefault="00F46845" w:rsidP="00E92CA8">
      <w:pPr>
        <w:pStyle w:val="NormalWeb"/>
        <w:spacing w:before="0" w:beforeAutospacing="0" w:after="0" w:afterAutospacing="0"/>
        <w:ind w:left="708" w:right="900"/>
        <w:jc w:val="both"/>
        <w:rPr>
          <w:rFonts w:ascii="Verdana" w:hAnsi="Verdana" w:cs="Tahoma"/>
          <w:color w:val="000000"/>
          <w:sz w:val="18"/>
          <w:szCs w:val="18"/>
          <w:lang w:val="es-CR"/>
        </w:rPr>
      </w:pPr>
      <w:r w:rsidRPr="00BC4444">
        <w:rPr>
          <w:rFonts w:ascii="Verdana" w:hAnsi="Verdana" w:cs="Tahoma"/>
          <w:color w:val="000000"/>
          <w:sz w:val="18"/>
          <w:szCs w:val="18"/>
          <w:lang w:val="es-CR"/>
        </w:rPr>
        <w:t xml:space="preserve">Reafirmando su propósito de consolidar en este Continente, dentro del cuadro de las instituciones democráticas, un régimen de libertad personal y de justicia social, </w:t>
      </w:r>
      <w:r w:rsidRPr="00BC4444">
        <w:rPr>
          <w:rFonts w:ascii="Verdana" w:hAnsi="Verdana" w:cs="Tahoma"/>
          <w:color w:val="000000"/>
          <w:sz w:val="18"/>
          <w:szCs w:val="18"/>
          <w:u w:val="single"/>
          <w:lang w:val="es-CR"/>
        </w:rPr>
        <w:t>fundado en el respeto de los derechos esenciales del hombre</w:t>
      </w:r>
      <w:r w:rsidRPr="00BC4444">
        <w:rPr>
          <w:rFonts w:ascii="Verdana" w:hAnsi="Verdana" w:cs="Tahoma"/>
          <w:color w:val="000000"/>
          <w:sz w:val="18"/>
          <w:szCs w:val="18"/>
          <w:lang w:val="es-CR"/>
        </w:rPr>
        <w:t>;</w:t>
      </w:r>
    </w:p>
    <w:p w14:paraId="67EC363F" w14:textId="77777777" w:rsidR="00E92CA8" w:rsidRPr="00BC4444" w:rsidRDefault="00E92CA8" w:rsidP="00E92CA8">
      <w:pPr>
        <w:pStyle w:val="NormalWeb"/>
        <w:spacing w:before="0" w:beforeAutospacing="0" w:after="0" w:afterAutospacing="0"/>
        <w:ind w:left="708" w:right="900"/>
        <w:jc w:val="both"/>
        <w:rPr>
          <w:rFonts w:ascii="Verdana" w:hAnsi="Verdana" w:cs="Tahoma"/>
          <w:color w:val="000000"/>
          <w:sz w:val="18"/>
          <w:szCs w:val="18"/>
          <w:lang w:val="es-CR"/>
        </w:rPr>
      </w:pPr>
    </w:p>
    <w:p w14:paraId="16DD6F39" w14:textId="77777777" w:rsidR="00F46845" w:rsidRPr="00BC4444" w:rsidRDefault="00F46845" w:rsidP="00E92CA8">
      <w:pPr>
        <w:pStyle w:val="NormalWeb"/>
        <w:spacing w:before="0" w:beforeAutospacing="0" w:after="0" w:afterAutospacing="0"/>
        <w:ind w:left="708" w:right="900"/>
        <w:jc w:val="both"/>
        <w:rPr>
          <w:rFonts w:ascii="Verdana" w:hAnsi="Verdana" w:cs="Tahoma"/>
          <w:color w:val="000000"/>
          <w:sz w:val="18"/>
          <w:szCs w:val="18"/>
          <w:lang w:val="es-CR"/>
        </w:rPr>
      </w:pPr>
      <w:r w:rsidRPr="00BC4444">
        <w:rPr>
          <w:rFonts w:ascii="Verdana" w:hAnsi="Verdana" w:cs="Tahoma"/>
          <w:color w:val="000000"/>
          <w:sz w:val="18"/>
          <w:szCs w:val="18"/>
          <w:u w:val="single"/>
          <w:lang w:val="es-CR"/>
        </w:rPr>
        <w:t>Reconociendo que los derechos esenciales del hombre</w:t>
      </w:r>
      <w:r w:rsidRPr="00BC4444">
        <w:rPr>
          <w:rFonts w:ascii="Verdana" w:hAnsi="Verdana" w:cs="Tahoma"/>
          <w:color w:val="000000"/>
          <w:sz w:val="18"/>
          <w:szCs w:val="18"/>
          <w:lang w:val="es-CR"/>
        </w:rPr>
        <w:t xml:space="preserve"> no nacen del hecho de ser nacional de determinado Estado, </w:t>
      </w:r>
      <w:r w:rsidRPr="00BC4444">
        <w:rPr>
          <w:rFonts w:ascii="Verdana" w:hAnsi="Verdana" w:cs="Tahoma"/>
          <w:color w:val="000000"/>
          <w:sz w:val="18"/>
          <w:szCs w:val="18"/>
          <w:u w:val="single"/>
          <w:lang w:val="es-CR"/>
        </w:rPr>
        <w:t>sino que tienen como fundamento los atributos de la persona humana</w:t>
      </w:r>
      <w:r w:rsidRPr="00BC4444">
        <w:rPr>
          <w:rFonts w:ascii="Verdana" w:hAnsi="Verdana" w:cs="Tahoma"/>
          <w:color w:val="000000"/>
          <w:sz w:val="18"/>
          <w:szCs w:val="18"/>
          <w:lang w:val="es-CR"/>
        </w:rPr>
        <w:t>, razón por la cual justifican una protección internacional, de naturaleza convencional coadyuvante o complementaria de la que ofrece el derecho interno de los Estados americanos; […]</w:t>
      </w:r>
    </w:p>
    <w:p w14:paraId="733A3030" w14:textId="77777777" w:rsidR="00E92CA8" w:rsidRPr="00BC4444" w:rsidRDefault="00E92CA8" w:rsidP="00E92CA8">
      <w:pPr>
        <w:pStyle w:val="NormalWeb"/>
        <w:spacing w:before="0" w:beforeAutospacing="0" w:after="0" w:afterAutospacing="0"/>
        <w:ind w:left="708" w:right="900"/>
        <w:jc w:val="both"/>
        <w:rPr>
          <w:rFonts w:ascii="Verdana" w:hAnsi="Verdana" w:cs="Tahoma"/>
          <w:color w:val="000000"/>
          <w:sz w:val="18"/>
          <w:szCs w:val="18"/>
          <w:lang w:val="es-CR"/>
        </w:rPr>
      </w:pPr>
    </w:p>
    <w:p w14:paraId="5716261D" w14:textId="317463A6" w:rsidR="00E92CA8" w:rsidRPr="00BC4444" w:rsidRDefault="00F46845" w:rsidP="00E92CA8">
      <w:pPr>
        <w:pStyle w:val="Prrafodelista"/>
        <w:widowControl w:val="0"/>
        <w:autoSpaceDE w:val="0"/>
        <w:autoSpaceDN w:val="0"/>
        <w:adjustRightInd w:val="0"/>
        <w:ind w:left="708" w:right="900"/>
        <w:textAlignment w:val="baseline"/>
        <w:rPr>
          <w:rFonts w:cs="Tahoma"/>
          <w:sz w:val="18"/>
          <w:szCs w:val="18"/>
          <w:lang w:val="es-CR"/>
        </w:rPr>
      </w:pPr>
      <w:r w:rsidRPr="00BC4444">
        <w:rPr>
          <w:rFonts w:cs="Tahoma"/>
          <w:sz w:val="18"/>
          <w:szCs w:val="18"/>
          <w:lang w:val="es-CR"/>
        </w:rPr>
        <w:t xml:space="preserve">Reiterando que, con arreglo a la Declaración Universal de los Derechos Humanos, </w:t>
      </w:r>
      <w:r w:rsidRPr="00BC4444">
        <w:rPr>
          <w:rFonts w:cs="Tahoma"/>
          <w:sz w:val="18"/>
          <w:szCs w:val="18"/>
          <w:u w:val="single"/>
          <w:lang w:val="es-CR"/>
        </w:rPr>
        <w:t>sólo puede realizarse el ideal del ser humano libre, exento del temor y de la miseria</w:t>
      </w:r>
      <w:r w:rsidRPr="00BC4444">
        <w:rPr>
          <w:rFonts w:cs="Tahoma"/>
          <w:sz w:val="18"/>
          <w:szCs w:val="18"/>
          <w:lang w:val="es-CR"/>
        </w:rPr>
        <w:t xml:space="preserve">, si se crean condiciones que permitan a cada persona gozar de sus derechos económicos, </w:t>
      </w:r>
      <w:r w:rsidRPr="00BC4444">
        <w:rPr>
          <w:rFonts w:cs="Tahoma"/>
          <w:sz w:val="18"/>
          <w:szCs w:val="18"/>
          <w:lang w:val="es-CR"/>
        </w:rPr>
        <w:lastRenderedPageBreak/>
        <w:t>sociales y culturales, tanto como de sus derechos civiles y políti</w:t>
      </w:r>
      <w:r w:rsidR="001932EB" w:rsidRPr="00BC4444">
        <w:rPr>
          <w:rFonts w:cs="Tahoma"/>
          <w:sz w:val="18"/>
          <w:szCs w:val="18"/>
          <w:lang w:val="es-CR"/>
        </w:rPr>
        <w:t>cos.</w:t>
      </w:r>
    </w:p>
    <w:p w14:paraId="4259EC0D" w14:textId="77777777" w:rsidR="001932EB" w:rsidRPr="00BC4444" w:rsidRDefault="001932EB" w:rsidP="00E92CA8">
      <w:pPr>
        <w:pStyle w:val="Prrafodelista"/>
        <w:widowControl w:val="0"/>
        <w:autoSpaceDE w:val="0"/>
        <w:autoSpaceDN w:val="0"/>
        <w:adjustRightInd w:val="0"/>
        <w:ind w:left="708" w:right="900"/>
        <w:textAlignment w:val="baseline"/>
        <w:rPr>
          <w:rFonts w:cs="Tahoma"/>
          <w:sz w:val="18"/>
          <w:szCs w:val="18"/>
          <w:lang w:val="es-CR"/>
        </w:rPr>
      </w:pPr>
    </w:p>
    <w:p w14:paraId="38568324" w14:textId="52CB5091" w:rsidR="001932EB" w:rsidRDefault="001932EB" w:rsidP="00E92CA8">
      <w:pPr>
        <w:pStyle w:val="Prrafodelista"/>
        <w:widowControl w:val="0"/>
        <w:autoSpaceDE w:val="0"/>
        <w:autoSpaceDN w:val="0"/>
        <w:adjustRightInd w:val="0"/>
        <w:ind w:left="708" w:right="900"/>
        <w:textAlignment w:val="baseline"/>
        <w:rPr>
          <w:rFonts w:cs="Tahoma"/>
          <w:color w:val="000000"/>
          <w:sz w:val="16"/>
          <w:szCs w:val="16"/>
        </w:rPr>
      </w:pPr>
      <w:r w:rsidRPr="00BC4444">
        <w:rPr>
          <w:rFonts w:cs="Tahoma"/>
          <w:color w:val="000000"/>
          <w:sz w:val="18"/>
          <w:szCs w:val="18"/>
        </w:rPr>
        <w:t>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determinara la estructura, competencia y procedimiento de los ór</w:t>
      </w:r>
      <w:r w:rsidR="00852F98" w:rsidRPr="00BC4444">
        <w:rPr>
          <w:rFonts w:cs="Tahoma"/>
          <w:color w:val="000000"/>
          <w:sz w:val="18"/>
          <w:szCs w:val="18"/>
        </w:rPr>
        <w:t>ganos encargados de esa materia</w:t>
      </w:r>
      <w:r w:rsidRPr="00BC4444">
        <w:rPr>
          <w:rFonts w:cs="Tahoma"/>
          <w:color w:val="000000"/>
          <w:sz w:val="18"/>
          <w:szCs w:val="18"/>
        </w:rPr>
        <w:t xml:space="preserve"> (subrayado fuera del texto)</w:t>
      </w:r>
      <w:r w:rsidR="00852F98" w:rsidRPr="00BC4444">
        <w:rPr>
          <w:rFonts w:cs="Tahoma"/>
          <w:color w:val="000000"/>
          <w:sz w:val="18"/>
          <w:szCs w:val="18"/>
        </w:rPr>
        <w:t>.</w:t>
      </w:r>
    </w:p>
    <w:p w14:paraId="64C503B0" w14:textId="77777777" w:rsidR="00E92CA8" w:rsidRPr="00E92CA8" w:rsidRDefault="00E92CA8" w:rsidP="00E92CA8">
      <w:pPr>
        <w:widowControl w:val="0"/>
        <w:autoSpaceDE w:val="0"/>
        <w:autoSpaceDN w:val="0"/>
        <w:adjustRightInd w:val="0"/>
        <w:ind w:right="900"/>
        <w:textAlignment w:val="baseline"/>
        <w:rPr>
          <w:rFonts w:eastAsia="Times" w:cs="Arial"/>
          <w:szCs w:val="20"/>
          <w:lang w:val="es-MX"/>
        </w:rPr>
      </w:pPr>
    </w:p>
    <w:p w14:paraId="00753A45" w14:textId="6BA3B619"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Teniendo en cuenta lo anterior, la Corte ha afirmado que el objeto y fin de la Convención es “la protección de los derechos fundamentales de los seres humanos”</w:t>
      </w:r>
      <w:r w:rsidRPr="0060216C">
        <w:rPr>
          <w:rStyle w:val="Refdenotaalpie"/>
          <w:rFonts w:eastAsia="Times"/>
          <w:i w:val="0"/>
          <w:lang w:val="es-MX"/>
        </w:rPr>
        <w:footnoteReference w:id="89"/>
      </w:r>
      <w:r w:rsidRPr="0060216C">
        <w:rPr>
          <w:rFonts w:eastAsia="Times" w:cs="Arial"/>
          <w:i w:val="0"/>
          <w:szCs w:val="20"/>
          <w:lang w:val="es-MX"/>
        </w:rPr>
        <w:t xml:space="preserve">. </w:t>
      </w:r>
      <w:r w:rsidRPr="0060216C">
        <w:rPr>
          <w:i w:val="0"/>
          <w:szCs w:val="20"/>
          <w:lang w:val="es-CR"/>
        </w:rPr>
        <w:t xml:space="preserve">En este sentido, la Convención Americana prevé expresamente determinadas pautas de interpretación en su artículo 29, entre las que alberga el principio </w:t>
      </w:r>
      <w:proofErr w:type="spellStart"/>
      <w:r w:rsidRPr="0060216C">
        <w:rPr>
          <w:i w:val="0"/>
          <w:szCs w:val="20"/>
          <w:lang w:val="es-CR"/>
        </w:rPr>
        <w:t>pro</w:t>
      </w:r>
      <w:proofErr w:type="spellEnd"/>
      <w:r w:rsidRPr="0060216C">
        <w:rPr>
          <w:i w:val="0"/>
          <w:szCs w:val="20"/>
          <w:lang w:val="es-CR"/>
        </w:rPr>
        <w:t xml:space="preserve"> persona, que implican que ninguna disposición de dicho tratado puede ser interpretada en el sentido de limitar el goce y ejercicio de cualquier derecho o libertad que pueda estar reconocido de acuerdo con las leyes de cualquiera de los Estados Parte o de acuerdo con otra convención en que sea parte uno de dichos Estados, o bien de excluir o limitar el efecto que puedan producir la Declaración Americana y otros instrumentos internacionales de la misma naturaleza</w:t>
      </w:r>
      <w:r w:rsidRPr="0060216C">
        <w:rPr>
          <w:rStyle w:val="Refdenotaalpie"/>
          <w:i w:val="0"/>
          <w:lang w:val="es-CR"/>
        </w:rPr>
        <w:footnoteReference w:id="90"/>
      </w:r>
      <w:r w:rsidRPr="0060216C">
        <w:rPr>
          <w:i w:val="0"/>
          <w:szCs w:val="20"/>
          <w:lang w:val="es-CR"/>
        </w:rPr>
        <w:t>.</w:t>
      </w:r>
    </w:p>
    <w:p w14:paraId="46116184"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2E2C247E" w14:textId="77777777" w:rsidR="00887204"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Como se indicó, el objeto y fin de tratado es “la protección de los derechos fundamentales de los seres humanos”. Una interpretación teleológica de la norma sería conforme con la conclusión a la cual se arribó por medio de la interpretación literal y sistemática, en el sentido que el artículo 26 reconoce la existencia de “derechos” que deben ser garantizados por el Estado a todas las personas sujetas a su jurisdicción en los términos previstos por la Convención Americana. El reconocimiento de estos derechos y de la competencia de la Corte para resolver controversias en relación con ellos tienen el objetivo de consolidar un régimen de libertad personal y justicia social fundado en el respeto de los derechos esenciales del hombre reconocidos en la Carta de la OEA, lo cual es claramente compatible con el objeto y fin de la Convención Americana.</w:t>
      </w:r>
    </w:p>
    <w:p w14:paraId="090D5722" w14:textId="77777777" w:rsidR="00E92CA8" w:rsidRPr="00887204" w:rsidRDefault="00E92CA8" w:rsidP="00E92CA8">
      <w:pPr>
        <w:pStyle w:val="Estilo1"/>
        <w:tabs>
          <w:tab w:val="left" w:pos="709"/>
          <w:tab w:val="left" w:pos="1134"/>
        </w:tabs>
        <w:spacing w:after="0"/>
        <w:ind w:left="0" w:right="-4" w:firstLine="0"/>
        <w:rPr>
          <w:rFonts w:eastAsia="Times" w:cs="Arial"/>
          <w:i w:val="0"/>
          <w:szCs w:val="20"/>
          <w:lang w:val="es-MX"/>
        </w:rPr>
      </w:pPr>
    </w:p>
    <w:p w14:paraId="6108EF6C" w14:textId="051ED17D" w:rsidR="00F46845" w:rsidRDefault="00AC0BEF" w:rsidP="00E92CA8">
      <w:pPr>
        <w:pStyle w:val="Estilo1"/>
        <w:tabs>
          <w:tab w:val="left" w:pos="709"/>
          <w:tab w:val="left" w:pos="1134"/>
        </w:tabs>
        <w:spacing w:after="0"/>
        <w:ind w:left="0" w:right="-4" w:firstLine="0"/>
        <w:rPr>
          <w:rFonts w:eastAsia="Times" w:cs="Arial"/>
          <w:b/>
          <w:szCs w:val="20"/>
          <w:lang w:val="es-MX"/>
        </w:rPr>
      </w:pPr>
      <w:r>
        <w:rPr>
          <w:i w:val="0"/>
          <w:szCs w:val="20"/>
          <w:lang w:val="es-MX"/>
        </w:rPr>
        <w:tab/>
      </w:r>
      <w:r>
        <w:rPr>
          <w:i w:val="0"/>
          <w:szCs w:val="20"/>
          <w:lang w:val="es-MX"/>
        </w:rPr>
        <w:tab/>
      </w:r>
      <w:r>
        <w:rPr>
          <w:i w:val="0"/>
          <w:szCs w:val="20"/>
          <w:lang w:val="es-MX"/>
        </w:rPr>
        <w:tab/>
      </w:r>
      <w:r w:rsidR="00F46845" w:rsidRPr="00887204">
        <w:rPr>
          <w:rFonts w:eastAsia="Times" w:cs="Arial"/>
          <w:b/>
          <w:szCs w:val="20"/>
          <w:lang w:val="es-MX"/>
        </w:rPr>
        <w:t>B.1.4. Métodos complementarios de interpretación</w:t>
      </w:r>
    </w:p>
    <w:p w14:paraId="3F9594D0" w14:textId="77777777" w:rsidR="00E92CA8" w:rsidRPr="00887204" w:rsidRDefault="00E92CA8" w:rsidP="00E92CA8">
      <w:pPr>
        <w:pStyle w:val="Estilo1"/>
        <w:tabs>
          <w:tab w:val="left" w:pos="709"/>
          <w:tab w:val="left" w:pos="1134"/>
        </w:tabs>
        <w:spacing w:after="0"/>
        <w:ind w:left="0" w:right="-4" w:firstLine="0"/>
        <w:rPr>
          <w:rFonts w:eastAsia="Times" w:cs="Arial"/>
          <w:i w:val="0"/>
          <w:szCs w:val="20"/>
          <w:lang w:val="es-MX"/>
        </w:rPr>
      </w:pPr>
    </w:p>
    <w:p w14:paraId="5D10EA8E"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En cuarto lugar, la Corte recuerda que, según el artículo 32 de la Convención de Viena, los medios complementarios de interpretación, en especial los trabajos preparatorios del tratado, son utilizables para confirmar el sentido resultante de la interpretación realizada de conformidad con los métodos señalados en el artículo 31. Lo anterior implica que son utilizados de forma subsidiaria.</w:t>
      </w:r>
    </w:p>
    <w:p w14:paraId="284C9F2C"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2E7E06BC" w14:textId="77777777"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Al respecto,</w:t>
      </w:r>
      <w:r w:rsidRPr="0060216C">
        <w:rPr>
          <w:i w:val="0"/>
          <w:szCs w:val="20"/>
          <w:lang w:val="es-CR"/>
        </w:rPr>
        <w:t xml:space="preserve"> el Tribunal recuerda que el contenido del artículo 26 de la Convención fue objeto de un intenso debate en los trabajos preparatorios de ésta, nacido del interés de los Estados por consignar una “mención directa” a los “derechos” económicos, sociales y culturales; “una disposición que establezca cierta obligatoriedad jurídica […] en su cumplimiento y aplicación”; así como “los [respectivos] mecanismos [para su] promoción y protección”, ya que el Anteproyecto de tratado elaborado por la Comisión Interamericana </w:t>
      </w:r>
      <w:r w:rsidRPr="0060216C">
        <w:rPr>
          <w:i w:val="0"/>
          <w:szCs w:val="20"/>
          <w:lang w:val="es-CR"/>
        </w:rPr>
        <w:lastRenderedPageBreak/>
        <w:t>hacía referencia a aquellos en dos artículos que, de acuerdo con algunos Estados, sólo “</w:t>
      </w:r>
      <w:proofErr w:type="spellStart"/>
      <w:r w:rsidRPr="0060216C">
        <w:rPr>
          <w:i w:val="0"/>
          <w:szCs w:val="20"/>
          <w:lang w:val="es-CR"/>
        </w:rPr>
        <w:t>recog</w:t>
      </w:r>
      <w:proofErr w:type="spellEnd"/>
      <w:r w:rsidRPr="0060216C">
        <w:rPr>
          <w:i w:val="0"/>
          <w:szCs w:val="20"/>
          <w:lang w:val="es-CR"/>
        </w:rPr>
        <w:t>[</w:t>
      </w:r>
      <w:proofErr w:type="spellStart"/>
      <w:r w:rsidRPr="0060216C">
        <w:rPr>
          <w:i w:val="0"/>
          <w:szCs w:val="20"/>
          <w:lang w:val="es-CR"/>
        </w:rPr>
        <w:t>ían</w:t>
      </w:r>
      <w:proofErr w:type="spellEnd"/>
      <w:r w:rsidRPr="0060216C">
        <w:rPr>
          <w:i w:val="0"/>
          <w:szCs w:val="20"/>
          <w:lang w:val="es-CR"/>
        </w:rPr>
        <w:t>] en un texto meramente declarativo, conclusiones establecidas en la Conferencia de Buenos Aires”</w:t>
      </w:r>
      <w:r w:rsidRPr="0060216C">
        <w:rPr>
          <w:rStyle w:val="Refdenotaalpie"/>
          <w:i w:val="0"/>
          <w:lang w:val="es-CR"/>
        </w:rPr>
        <w:footnoteReference w:id="91"/>
      </w:r>
      <w:r w:rsidRPr="0060216C">
        <w:rPr>
          <w:i w:val="0"/>
          <w:szCs w:val="20"/>
          <w:lang w:val="es-CR"/>
        </w:rPr>
        <w:t>.</w:t>
      </w:r>
    </w:p>
    <w:p w14:paraId="64BDC8FC"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02C2027" w14:textId="7F337E51" w:rsidR="00887204"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La revisión de dichos trabajos preparatorios de la Convención demuestra también que las principales observaciones sobre la base de las cuales ésta fue aprobada pusieron especial énfasis en “dar a los derechos económicos, sociales y culturales la máxima protección compatible con las condiciones peculiares a la gran mayoría de los Estados Americanos”. Así, como parte del debate en los trabajos preparatorios, también se propuso “</w:t>
      </w:r>
      <w:proofErr w:type="spellStart"/>
      <w:r w:rsidRPr="0060216C">
        <w:rPr>
          <w:i w:val="0"/>
          <w:szCs w:val="20"/>
          <w:lang w:val="es-CR"/>
        </w:rPr>
        <w:t>hac</w:t>
      </w:r>
      <w:proofErr w:type="spellEnd"/>
      <w:r w:rsidRPr="0060216C">
        <w:rPr>
          <w:i w:val="0"/>
          <w:szCs w:val="20"/>
          <w:lang w:val="es-CR"/>
        </w:rPr>
        <w:t>[</w:t>
      </w:r>
      <w:proofErr w:type="spellStart"/>
      <w:r w:rsidRPr="0060216C">
        <w:rPr>
          <w:i w:val="0"/>
          <w:szCs w:val="20"/>
          <w:lang w:val="es-CR"/>
        </w:rPr>
        <w:t>er</w:t>
      </w:r>
      <w:proofErr w:type="spellEnd"/>
      <w:r w:rsidRPr="0060216C">
        <w:rPr>
          <w:i w:val="0"/>
          <w:szCs w:val="20"/>
          <w:lang w:val="es-CR"/>
        </w:rPr>
        <w:t>] posible [la] ejecución [de dichos derechos] mediante la acción de los tribunales”. La Corte considera que dichas manifestaciones de los Estados no contradicen la tesis acerca de que el artículo 26 en efecto reconoce “derechos”, que están sujetos a las obligaciones generales que los Estados tienen en virtud de los artículos 1.1 y 2 de la Convención Americana</w:t>
      </w:r>
      <w:r w:rsidR="00B40D3A">
        <w:rPr>
          <w:i w:val="0"/>
          <w:szCs w:val="20"/>
          <w:lang w:val="es-CR"/>
        </w:rPr>
        <w:t xml:space="preserve"> y que, por ende, son justiciables</w:t>
      </w:r>
      <w:r w:rsidRPr="0060216C">
        <w:rPr>
          <w:i w:val="0"/>
          <w:szCs w:val="20"/>
          <w:lang w:val="es-CR"/>
        </w:rPr>
        <w:t>.</w:t>
      </w:r>
    </w:p>
    <w:p w14:paraId="611BDA05" w14:textId="77777777" w:rsidR="00E92CA8" w:rsidRPr="00887204" w:rsidRDefault="00E92CA8" w:rsidP="00E92CA8">
      <w:pPr>
        <w:pStyle w:val="Estilo1"/>
        <w:tabs>
          <w:tab w:val="left" w:pos="709"/>
          <w:tab w:val="left" w:pos="1134"/>
        </w:tabs>
        <w:spacing w:after="0"/>
        <w:ind w:left="0" w:right="-4" w:firstLine="0"/>
        <w:rPr>
          <w:rFonts w:eastAsia="Times" w:cs="Arial"/>
          <w:i w:val="0"/>
          <w:szCs w:val="20"/>
          <w:lang w:val="es-MX"/>
        </w:rPr>
      </w:pPr>
    </w:p>
    <w:p w14:paraId="51115DE3" w14:textId="6820986D" w:rsidR="00F46845" w:rsidRDefault="00AC0BEF" w:rsidP="00E92CA8">
      <w:pPr>
        <w:pStyle w:val="Estilo1"/>
        <w:tabs>
          <w:tab w:val="left" w:pos="709"/>
          <w:tab w:val="left" w:pos="1134"/>
        </w:tabs>
        <w:spacing w:after="0"/>
        <w:ind w:left="0" w:right="-4" w:firstLine="0"/>
        <w:rPr>
          <w:rFonts w:eastAsia="Times" w:cs="Arial"/>
          <w:b/>
          <w:szCs w:val="20"/>
          <w:lang w:val="es-MX"/>
        </w:rPr>
      </w:pPr>
      <w:r>
        <w:rPr>
          <w:i w:val="0"/>
          <w:szCs w:val="20"/>
          <w:lang w:val="es-MX"/>
        </w:rPr>
        <w:tab/>
      </w:r>
      <w:r>
        <w:rPr>
          <w:i w:val="0"/>
          <w:szCs w:val="20"/>
          <w:lang w:val="es-MX"/>
        </w:rPr>
        <w:tab/>
      </w:r>
      <w:r>
        <w:rPr>
          <w:i w:val="0"/>
          <w:szCs w:val="20"/>
          <w:lang w:val="es-MX"/>
        </w:rPr>
        <w:tab/>
      </w:r>
      <w:r w:rsidR="00F46845" w:rsidRPr="00887204">
        <w:rPr>
          <w:rFonts w:eastAsia="Times" w:cs="Arial"/>
          <w:b/>
          <w:szCs w:val="20"/>
          <w:lang w:val="es-MX"/>
        </w:rPr>
        <w:t>B.1.5. Conclusión</w:t>
      </w:r>
    </w:p>
    <w:p w14:paraId="6C4F481B" w14:textId="77777777" w:rsidR="00E92CA8" w:rsidRPr="00887204" w:rsidRDefault="00E92CA8" w:rsidP="00E92CA8">
      <w:pPr>
        <w:pStyle w:val="Estilo1"/>
        <w:tabs>
          <w:tab w:val="left" w:pos="709"/>
          <w:tab w:val="left" w:pos="1134"/>
        </w:tabs>
        <w:spacing w:after="0"/>
        <w:ind w:left="0" w:right="-4" w:firstLine="0"/>
        <w:rPr>
          <w:rFonts w:eastAsia="Times" w:cs="Arial"/>
          <w:i w:val="0"/>
          <w:szCs w:val="20"/>
          <w:lang w:val="es-MX"/>
        </w:rPr>
      </w:pPr>
    </w:p>
    <w:p w14:paraId="26FA186C" w14:textId="5ABF2EBF" w:rsidR="00887204" w:rsidRPr="00887204" w:rsidRDefault="00F46845"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60216C">
        <w:rPr>
          <w:rFonts w:eastAsia="Times" w:cs="Arial"/>
          <w:i w:val="0"/>
          <w:szCs w:val="20"/>
          <w:lang w:val="es-CR"/>
        </w:rPr>
        <w:t xml:space="preserve">La Corte advierte que una interpretación literal, sistemática y teleológica permite concluir que el artículo 26 de la Convención Americana protege aquellos derechos que derivan de las normas económicas, sociales y de educación, ciencia y cultura contenidas en la Carta de la OEA. Los alcances de estos derechos deben ser entendidos en relación con el resto de las demás cláusulas de la Convención Americana, por lo que están sujetos a las obligaciones generales contenidas en los artículos 1.1 y 2 de la Convención y pueden ser sujetos de supervisión por parte de este Tribunal en términos de los artículos 62 y 63 del mismo instrumento. Esta conclusión se fundamenta no sólo en cuestiones formales, sino que resulta de la interdependencia e indivisibilidad de los derechos civiles y políticos y los derechos económicos, sociales, culturales y ambientales, así como de su compatibilidad con el objeto y fin de la Convención, que es la protección de los derechos fundamentales de los seres humanos. </w:t>
      </w:r>
      <w:r w:rsidRPr="0060216C">
        <w:rPr>
          <w:rFonts w:eastAsia="Times" w:cs="Arial"/>
          <w:i w:val="0"/>
          <w:szCs w:val="20"/>
          <w:lang w:val="es-MX"/>
        </w:rPr>
        <w:t xml:space="preserve">Corresponderá, en cada caso concreto que requiera un análisis de DESCA, determinar si de la Carta de la OEA se deriva </w:t>
      </w:r>
      <w:r w:rsidR="00542B1E">
        <w:rPr>
          <w:rFonts w:eastAsia="Times" w:cs="Arial"/>
          <w:i w:val="0"/>
          <w:szCs w:val="20"/>
          <w:lang w:val="es-MX"/>
        </w:rPr>
        <w:t xml:space="preserve">explícita o implícitamente </w:t>
      </w:r>
      <w:r w:rsidRPr="0060216C">
        <w:rPr>
          <w:rFonts w:eastAsia="Times" w:cs="Arial"/>
          <w:i w:val="0"/>
          <w:szCs w:val="20"/>
          <w:lang w:val="es-MX"/>
        </w:rPr>
        <w:t>un derecho humano protegido por el artículo 26 de la Convención Americana, así como los alcances de dicha protección.</w:t>
      </w:r>
    </w:p>
    <w:p w14:paraId="728E4634" w14:textId="77777777" w:rsidR="00EE1E0E" w:rsidRDefault="00EE1E0E" w:rsidP="00E92CA8">
      <w:pPr>
        <w:rPr>
          <w:rFonts w:eastAsia="Verdana"/>
          <w:bCs/>
          <w:lang w:val="es-CR" w:eastAsia="x-none"/>
        </w:rPr>
      </w:pPr>
    </w:p>
    <w:p w14:paraId="2061B76D" w14:textId="7EA71B92" w:rsidR="00F46845" w:rsidRDefault="00AC0BEF" w:rsidP="00E92CA8">
      <w:pPr>
        <w:pStyle w:val="Ttulo3"/>
        <w:spacing w:before="0"/>
      </w:pPr>
      <w:r w:rsidRPr="00AC0BEF">
        <w:tab/>
      </w:r>
      <w:bookmarkStart w:id="79" w:name="_Toc527466490"/>
      <w:r w:rsidR="00F46845" w:rsidRPr="00AC0BEF">
        <w:t xml:space="preserve">B.2. </w:t>
      </w:r>
      <w:r w:rsidR="00B40D3A" w:rsidRPr="00AC0BEF">
        <w:t>E</w:t>
      </w:r>
      <w:r w:rsidR="00F46845" w:rsidRPr="00EE1E0E">
        <w:t>l derecho a la salud como</w:t>
      </w:r>
      <w:r w:rsidR="00852F98">
        <w:t xml:space="preserve"> un</w:t>
      </w:r>
      <w:r w:rsidR="00F46845" w:rsidRPr="00EE1E0E">
        <w:t xml:space="preserve"> derecho autónomo y justiciable</w:t>
      </w:r>
      <w:bookmarkEnd w:id="79"/>
    </w:p>
    <w:p w14:paraId="2A7569BD" w14:textId="77777777" w:rsidR="00E92CA8" w:rsidRPr="00E92CA8" w:rsidRDefault="00E92CA8" w:rsidP="00E92CA8">
      <w:pPr>
        <w:rPr>
          <w:lang w:val="es-CR"/>
        </w:rPr>
      </w:pPr>
    </w:p>
    <w:p w14:paraId="5FA888D9" w14:textId="6B7531BA"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eastAsia="es-CR"/>
        </w:rPr>
      </w:pPr>
      <w:r w:rsidRPr="000909F2">
        <w:rPr>
          <w:rFonts w:eastAsia="Times" w:cs="Arial"/>
          <w:i w:val="0"/>
          <w:szCs w:val="20"/>
          <w:lang w:val="es-MX"/>
        </w:rPr>
        <w:t xml:space="preserve">La Corte </w:t>
      </w:r>
      <w:r w:rsidR="000909F2" w:rsidRPr="000909F2">
        <w:rPr>
          <w:rFonts w:eastAsia="Times" w:cs="Arial"/>
          <w:i w:val="0"/>
          <w:szCs w:val="20"/>
          <w:lang w:val="es-MX"/>
        </w:rPr>
        <w:t>reitera</w:t>
      </w:r>
      <w:r w:rsidRPr="000909F2">
        <w:rPr>
          <w:rFonts w:eastAsia="Times" w:cs="Arial"/>
          <w:i w:val="0"/>
          <w:szCs w:val="20"/>
          <w:lang w:val="es-MX"/>
        </w:rPr>
        <w:t xml:space="preserve"> </w:t>
      </w:r>
      <w:r w:rsidR="000909F2" w:rsidRPr="000909F2">
        <w:rPr>
          <w:rFonts w:eastAsia="Times" w:cs="Arial"/>
          <w:i w:val="0"/>
          <w:szCs w:val="20"/>
          <w:lang w:val="es-MX"/>
        </w:rPr>
        <w:t>que</w:t>
      </w:r>
      <w:r w:rsidRPr="000909F2">
        <w:rPr>
          <w:rFonts w:eastAsia="Times" w:cs="Arial"/>
          <w:i w:val="0"/>
          <w:szCs w:val="20"/>
          <w:lang w:val="es-MX"/>
        </w:rPr>
        <w:t xml:space="preserve"> de las normas económicas, sociales y sobre educación, ciencia y cultura contenidas en la Carta de la OEA se deriva el derecho a la salud</w:t>
      </w:r>
      <w:r w:rsidR="000909F2" w:rsidRPr="000909F2">
        <w:rPr>
          <w:rStyle w:val="Refdenotaalpie"/>
          <w:i w:val="0"/>
          <w:lang w:val="es-CR"/>
        </w:rPr>
        <w:footnoteReference w:id="92"/>
      </w:r>
      <w:r w:rsidRPr="000909F2">
        <w:rPr>
          <w:rFonts w:eastAsia="Times" w:cs="Arial"/>
          <w:i w:val="0"/>
          <w:szCs w:val="20"/>
          <w:lang w:val="es-MX"/>
        </w:rPr>
        <w:t xml:space="preserve">. </w:t>
      </w:r>
      <w:r w:rsidR="00852F98">
        <w:rPr>
          <w:rFonts w:eastAsia="Times" w:cs="Arial"/>
          <w:i w:val="0"/>
          <w:szCs w:val="20"/>
          <w:lang w:val="es-MX"/>
        </w:rPr>
        <w:t>L</w:t>
      </w:r>
      <w:r w:rsidRPr="000909F2">
        <w:rPr>
          <w:rFonts w:eastAsia="Times" w:cs="Arial"/>
          <w:i w:val="0"/>
          <w:szCs w:val="20"/>
          <w:lang w:val="es-MX"/>
        </w:rPr>
        <w:t>a</w:t>
      </w:r>
      <w:r w:rsidR="00852F98">
        <w:rPr>
          <w:rFonts w:eastAsia="Times" w:cs="Arial"/>
          <w:i w:val="0"/>
          <w:szCs w:val="20"/>
          <w:lang w:val="es-MX"/>
        </w:rPr>
        <w:t xml:space="preserve"> Corte reitera</w:t>
      </w:r>
      <w:r w:rsidR="000909F2">
        <w:rPr>
          <w:rFonts w:eastAsia="Times" w:cs="Arial"/>
          <w:i w:val="0"/>
          <w:szCs w:val="20"/>
          <w:lang w:val="es-MX"/>
        </w:rPr>
        <w:t xml:space="preserve"> la</w:t>
      </w:r>
      <w:r w:rsidRPr="000909F2">
        <w:rPr>
          <w:rFonts w:eastAsia="Times" w:cs="Arial"/>
          <w:i w:val="0"/>
          <w:szCs w:val="20"/>
          <w:lang w:val="es-MX"/>
        </w:rPr>
        <w:t xml:space="preserve"> naturaleza y alcance de</w:t>
      </w:r>
      <w:r w:rsidR="000909F2">
        <w:rPr>
          <w:rFonts w:eastAsia="Times" w:cs="Arial"/>
          <w:i w:val="0"/>
          <w:szCs w:val="20"/>
          <w:lang w:val="es-MX"/>
        </w:rPr>
        <w:t xml:space="preserve"> </w:t>
      </w:r>
      <w:r w:rsidR="00852F98">
        <w:rPr>
          <w:rFonts w:eastAsia="Times" w:cs="Arial"/>
          <w:i w:val="0"/>
          <w:szCs w:val="20"/>
          <w:lang w:val="es-MX"/>
        </w:rPr>
        <w:t>las obligaciones que derivan de la</w:t>
      </w:r>
      <w:r w:rsidR="000909F2">
        <w:rPr>
          <w:rFonts w:eastAsia="Times" w:cs="Arial"/>
          <w:i w:val="0"/>
          <w:szCs w:val="20"/>
          <w:lang w:val="es-MX"/>
        </w:rPr>
        <w:t xml:space="preserve"> protección</w:t>
      </w:r>
      <w:r w:rsidR="00542B1E">
        <w:rPr>
          <w:rFonts w:eastAsia="Times" w:cs="Arial"/>
          <w:i w:val="0"/>
          <w:szCs w:val="20"/>
          <w:lang w:val="es-MX"/>
        </w:rPr>
        <w:t xml:space="preserve"> de</w:t>
      </w:r>
      <w:r w:rsidRPr="000909F2">
        <w:rPr>
          <w:rFonts w:eastAsia="Times" w:cs="Arial"/>
          <w:i w:val="0"/>
          <w:szCs w:val="20"/>
          <w:lang w:val="es-MX"/>
        </w:rPr>
        <w:t xml:space="preserve"> este derecho, tanto en lo que respecta a aquellos aspectos que </w:t>
      </w:r>
      <w:r w:rsidR="00852F98">
        <w:rPr>
          <w:rFonts w:eastAsia="Times" w:cs="Arial"/>
          <w:i w:val="0"/>
          <w:szCs w:val="20"/>
          <w:lang w:val="es-MX"/>
        </w:rPr>
        <w:t>tienen</w:t>
      </w:r>
      <w:r w:rsidRPr="000909F2">
        <w:rPr>
          <w:rFonts w:eastAsia="Times" w:cs="Arial"/>
          <w:i w:val="0"/>
          <w:szCs w:val="20"/>
          <w:lang w:val="es-MX"/>
        </w:rPr>
        <w:t xml:space="preserve"> una exigibilidad inm</w:t>
      </w:r>
      <w:r w:rsidR="00852F98">
        <w:rPr>
          <w:rFonts w:eastAsia="Times" w:cs="Arial"/>
          <w:i w:val="0"/>
          <w:szCs w:val="20"/>
          <w:lang w:val="es-MX"/>
        </w:rPr>
        <w:t>ediata, como aquellos que tienen</w:t>
      </w:r>
      <w:r w:rsidRPr="000909F2">
        <w:rPr>
          <w:rFonts w:eastAsia="Times" w:cs="Arial"/>
          <w:i w:val="0"/>
          <w:szCs w:val="20"/>
          <w:lang w:val="es-MX"/>
        </w:rPr>
        <w:t xml:space="preserve"> un carácter </w:t>
      </w:r>
      <w:r w:rsidR="00434F90">
        <w:rPr>
          <w:rFonts w:eastAsia="Times" w:cs="Arial"/>
          <w:i w:val="0"/>
          <w:szCs w:val="20"/>
          <w:lang w:val="es-MX"/>
        </w:rPr>
        <w:t>progresivo</w:t>
      </w:r>
      <w:r w:rsidRPr="000909F2">
        <w:rPr>
          <w:rStyle w:val="Refdenotaalpie"/>
          <w:rFonts w:eastAsia="Times"/>
          <w:i w:val="0"/>
          <w:lang w:val="es-MX"/>
        </w:rPr>
        <w:footnoteReference w:id="93"/>
      </w:r>
      <w:r w:rsidRPr="000909F2">
        <w:rPr>
          <w:rFonts w:eastAsia="Times" w:cs="Arial"/>
          <w:i w:val="0"/>
          <w:szCs w:val="20"/>
          <w:lang w:val="es-MX"/>
        </w:rPr>
        <w:t xml:space="preserve">. </w:t>
      </w:r>
      <w:r w:rsidR="000909F2">
        <w:rPr>
          <w:rFonts w:eastAsia="Times" w:cs="Arial"/>
          <w:i w:val="0"/>
          <w:szCs w:val="20"/>
          <w:lang w:val="es-MX"/>
        </w:rPr>
        <w:t>Al respecto, l</w:t>
      </w:r>
      <w:r w:rsidRPr="000909F2">
        <w:rPr>
          <w:rFonts w:eastAsia="Times" w:cs="Arial"/>
          <w:i w:val="0"/>
          <w:szCs w:val="20"/>
          <w:lang w:val="es-MX"/>
        </w:rPr>
        <w:t>a Corte recuerda que, en relación con las primeras (obligaciones de exigibilidad inmediata),</w:t>
      </w:r>
      <w:r w:rsidRPr="000909F2">
        <w:rPr>
          <w:i w:val="0"/>
          <w:szCs w:val="20"/>
          <w:lang w:val="es-CR"/>
        </w:rPr>
        <w:t xml:space="preserve"> los Estados deberán adoptar medidas eficaces a fin de garantizar el acceso sin discriminación a las prestaciones reconocidas para el derecho a la salud</w:t>
      </w:r>
      <w:r w:rsidRPr="000909F2">
        <w:rPr>
          <w:rStyle w:val="Refdenotaalpie"/>
          <w:i w:val="0"/>
          <w:lang w:val="es-CR"/>
        </w:rPr>
        <w:footnoteReference w:id="94"/>
      </w:r>
      <w:r w:rsidRPr="000909F2">
        <w:rPr>
          <w:i w:val="0"/>
          <w:szCs w:val="20"/>
          <w:lang w:val="es-CR"/>
        </w:rPr>
        <w:t xml:space="preserve">. Respecto a las segundas (obligaciones de carácter </w:t>
      </w:r>
      <w:r w:rsidR="00852F98">
        <w:rPr>
          <w:i w:val="0"/>
          <w:szCs w:val="20"/>
          <w:lang w:val="es-CR"/>
        </w:rPr>
        <w:t>progresivo</w:t>
      </w:r>
      <w:r w:rsidRPr="000909F2">
        <w:rPr>
          <w:i w:val="0"/>
          <w:szCs w:val="20"/>
          <w:lang w:val="es-CR"/>
        </w:rPr>
        <w:t>),</w:t>
      </w:r>
      <w:r w:rsidRPr="000909F2">
        <w:rPr>
          <w:rFonts w:eastAsia="Times" w:cs="Arial"/>
          <w:i w:val="0"/>
          <w:szCs w:val="20"/>
          <w:lang w:val="es-MX"/>
        </w:rPr>
        <w:t xml:space="preserve"> </w:t>
      </w:r>
      <w:r w:rsidRPr="000909F2">
        <w:rPr>
          <w:i w:val="0"/>
          <w:szCs w:val="20"/>
          <w:lang w:val="es-CR"/>
        </w:rPr>
        <w:t xml:space="preserve">la </w:t>
      </w:r>
      <w:r w:rsidRPr="000909F2">
        <w:rPr>
          <w:i w:val="0"/>
          <w:szCs w:val="20"/>
          <w:lang w:val="es-CR"/>
        </w:rPr>
        <w:lastRenderedPageBreak/>
        <w:t>realización progresiva significa que los Estados partes tienen la obligación concreta y constante de avanzar lo más expedita y eficazmente posible hacia la plena efectividad de dicho derecho</w:t>
      </w:r>
      <w:r w:rsidRPr="000909F2">
        <w:rPr>
          <w:rStyle w:val="Refdenotaalpie"/>
          <w:i w:val="0"/>
          <w:lang w:val="es-CR"/>
        </w:rPr>
        <w:footnoteReference w:id="95"/>
      </w:r>
      <w:r w:rsidRPr="000909F2">
        <w:rPr>
          <w:i w:val="0"/>
          <w:szCs w:val="20"/>
          <w:lang w:val="es-CR"/>
        </w:rPr>
        <w:t>, en la medida de sus recursos disponibles, por vía legislativa u otros medios apropiados</w:t>
      </w:r>
      <w:r w:rsidRPr="000909F2">
        <w:rPr>
          <w:rStyle w:val="Refdenotaalpie"/>
          <w:i w:val="0"/>
          <w:lang w:val="es-CR"/>
        </w:rPr>
        <w:footnoteReference w:id="96"/>
      </w:r>
      <w:r w:rsidRPr="000909F2">
        <w:rPr>
          <w:i w:val="0"/>
          <w:szCs w:val="20"/>
          <w:lang w:val="es-CR"/>
        </w:rPr>
        <w:t>.</w:t>
      </w:r>
    </w:p>
    <w:p w14:paraId="41C6D8D6" w14:textId="77777777" w:rsidR="00E92CA8" w:rsidRPr="000909F2" w:rsidRDefault="00E92CA8" w:rsidP="00E92CA8">
      <w:pPr>
        <w:pStyle w:val="Estilo1"/>
        <w:tabs>
          <w:tab w:val="left" w:pos="709"/>
          <w:tab w:val="left" w:pos="1134"/>
        </w:tabs>
        <w:spacing w:after="0"/>
        <w:ind w:left="0" w:right="-4" w:firstLine="0"/>
        <w:rPr>
          <w:rFonts w:eastAsia="Times" w:cs="Arial"/>
          <w:i w:val="0"/>
          <w:szCs w:val="20"/>
          <w:lang w:val="es-MX" w:eastAsia="es-CR"/>
        </w:rPr>
      </w:pPr>
    </w:p>
    <w:p w14:paraId="35FA4A09" w14:textId="491B858F"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eastAsia="es-CR"/>
        </w:rPr>
      </w:pPr>
      <w:r w:rsidRPr="001E4796">
        <w:rPr>
          <w:rFonts w:eastAsia="Times" w:cs="Arial"/>
          <w:i w:val="0"/>
          <w:szCs w:val="20"/>
          <w:lang w:val="es-MX" w:eastAsia="es-CR"/>
        </w:rPr>
        <w:t xml:space="preserve">En razón de lo anterior, en primer lugar, la Corte advierte que </w:t>
      </w:r>
      <w:r w:rsidRPr="001E4796">
        <w:rPr>
          <w:i w:val="0"/>
          <w:szCs w:val="20"/>
          <w:lang w:val="es-CR"/>
        </w:rPr>
        <w:t>el artículo 34.i</w:t>
      </w:r>
      <w:r w:rsidR="002D11A5">
        <w:rPr>
          <w:rStyle w:val="Refdenotaalpie"/>
          <w:i w:val="0"/>
          <w:lang w:val="es-CR"/>
        </w:rPr>
        <w:footnoteReference w:id="97"/>
      </w:r>
      <w:r w:rsidRPr="001E4796">
        <w:rPr>
          <w:i w:val="0"/>
          <w:szCs w:val="20"/>
          <w:lang w:val="es-CR"/>
        </w:rPr>
        <w:t xml:space="preserve"> y 34.l</w:t>
      </w:r>
      <w:r w:rsidR="002D11A5">
        <w:rPr>
          <w:rStyle w:val="Refdenotaalpie"/>
          <w:i w:val="0"/>
          <w:lang w:val="es-CR"/>
        </w:rPr>
        <w:footnoteReference w:id="98"/>
      </w:r>
      <w:r w:rsidRPr="001E4796">
        <w:rPr>
          <w:i w:val="0"/>
          <w:szCs w:val="20"/>
          <w:lang w:val="es-CR"/>
        </w:rPr>
        <w:t xml:space="preserve"> de la Carta de la OEA establece, entre los objetivos básicos del desarrollo integral, el de la “</w:t>
      </w:r>
      <w:r w:rsidR="00852F98">
        <w:rPr>
          <w:i w:val="0"/>
          <w:szCs w:val="20"/>
          <w:lang w:val="es-CR"/>
        </w:rPr>
        <w:t>[</w:t>
      </w:r>
      <w:r w:rsidRPr="001E4796">
        <w:rPr>
          <w:i w:val="0"/>
          <w:szCs w:val="20"/>
          <w:lang w:val="es-CR"/>
        </w:rPr>
        <w:t>d</w:t>
      </w:r>
      <w:r w:rsidR="00852F98">
        <w:rPr>
          <w:i w:val="0"/>
          <w:szCs w:val="20"/>
          <w:lang w:val="es-CR"/>
        </w:rPr>
        <w:t>]</w:t>
      </w:r>
      <w:proofErr w:type="spellStart"/>
      <w:r w:rsidRPr="001E4796">
        <w:rPr>
          <w:i w:val="0"/>
          <w:szCs w:val="20"/>
          <w:lang w:val="es-CR"/>
        </w:rPr>
        <w:t>efensa</w:t>
      </w:r>
      <w:proofErr w:type="spellEnd"/>
      <w:r w:rsidRPr="001E4796">
        <w:rPr>
          <w:i w:val="0"/>
          <w:szCs w:val="20"/>
          <w:lang w:val="es-CR"/>
        </w:rPr>
        <w:t xml:space="preserve"> del potencial humano mediante la extensión y aplicación de los modernos conocimientos de la ciencia médica”, así como de las </w:t>
      </w:r>
      <w:r w:rsidR="00852F98">
        <w:rPr>
          <w:i w:val="0"/>
          <w:szCs w:val="20"/>
          <w:lang w:val="es-CR"/>
        </w:rPr>
        <w:t>“[c]</w:t>
      </w:r>
      <w:proofErr w:type="spellStart"/>
      <w:r w:rsidRPr="001E4796">
        <w:rPr>
          <w:i w:val="0"/>
          <w:szCs w:val="20"/>
          <w:lang w:val="es-CR"/>
        </w:rPr>
        <w:t>ondiciones</w:t>
      </w:r>
      <w:proofErr w:type="spellEnd"/>
      <w:r w:rsidRPr="001E4796">
        <w:rPr>
          <w:i w:val="0"/>
          <w:szCs w:val="20"/>
          <w:lang w:val="es-CR"/>
        </w:rPr>
        <w:t xml:space="preserve"> que hagan posible una vida sana, productiva y digna</w:t>
      </w:r>
      <w:r w:rsidR="00852F98">
        <w:rPr>
          <w:i w:val="0"/>
          <w:szCs w:val="20"/>
          <w:lang w:val="es-CR"/>
        </w:rPr>
        <w:t>”</w:t>
      </w:r>
      <w:r w:rsidRPr="001E4796">
        <w:rPr>
          <w:i w:val="0"/>
          <w:szCs w:val="20"/>
          <w:lang w:val="es-CR"/>
        </w:rPr>
        <w:t>. Por su parte, el artículo 45.h</w:t>
      </w:r>
      <w:r w:rsidR="002D11A5">
        <w:rPr>
          <w:rStyle w:val="Refdenotaalpie"/>
          <w:i w:val="0"/>
          <w:lang w:val="es-CR"/>
        </w:rPr>
        <w:footnoteReference w:id="99"/>
      </w:r>
      <w:r w:rsidRPr="001E4796">
        <w:rPr>
          <w:i w:val="0"/>
          <w:szCs w:val="20"/>
          <w:lang w:val="es-CR"/>
        </w:rPr>
        <w:t xml:space="preserve"> destaca que “</w:t>
      </w:r>
      <w:r w:rsidR="00E24818">
        <w:rPr>
          <w:i w:val="0"/>
          <w:szCs w:val="20"/>
          <w:lang w:val="es-CR"/>
        </w:rPr>
        <w:t>el hombre sólo puede alcanzar la plena realización de sus aspiraciones dentro de un orden social justo</w:t>
      </w:r>
      <w:r w:rsidRPr="001E4796">
        <w:rPr>
          <w:i w:val="0"/>
          <w:szCs w:val="20"/>
          <w:lang w:val="es-CR"/>
        </w:rPr>
        <w:t>”,</w:t>
      </w:r>
      <w:r w:rsidR="00E24818">
        <w:rPr>
          <w:i w:val="0"/>
          <w:szCs w:val="20"/>
          <w:lang w:val="es-CR"/>
        </w:rPr>
        <w:t xml:space="preserve"> por lo que los Estados convienen en dedicar esfuerzos a la aplicación de principios,</w:t>
      </w:r>
      <w:r w:rsidRPr="001E4796">
        <w:rPr>
          <w:i w:val="0"/>
          <w:szCs w:val="20"/>
          <w:lang w:val="es-CR"/>
        </w:rPr>
        <w:t xml:space="preserve"> entre ellos el: “h) Desarrollo de una política eficiente de seguridad social”. </w:t>
      </w:r>
      <w:r w:rsidR="007C0E70" w:rsidRPr="001E4796">
        <w:rPr>
          <w:i w:val="0"/>
          <w:szCs w:val="20"/>
          <w:lang w:val="es-CR"/>
        </w:rPr>
        <w:t>L</w:t>
      </w:r>
      <w:r w:rsidRPr="001E4796">
        <w:rPr>
          <w:i w:val="0"/>
          <w:szCs w:val="20"/>
          <w:lang w:val="es-CR"/>
        </w:rPr>
        <w:t xml:space="preserve">a Corte </w:t>
      </w:r>
      <w:r w:rsidR="00827151" w:rsidRPr="001E4796">
        <w:rPr>
          <w:i w:val="0"/>
          <w:szCs w:val="20"/>
          <w:lang w:val="es-CR"/>
        </w:rPr>
        <w:t>a</w:t>
      </w:r>
      <w:r w:rsidR="00237A85" w:rsidRPr="001E4796">
        <w:rPr>
          <w:i w:val="0"/>
          <w:szCs w:val="20"/>
          <w:lang w:val="es-CR"/>
        </w:rPr>
        <w:t>dvierte la existencia de una interrelación entre el compromiso de los Estados de garantizar una política eficiente de seguridad social y su deber de garantizar la atención de la salud, más aún en el contexto de las enfermedades endémicas</w:t>
      </w:r>
      <w:r w:rsidR="00237A85" w:rsidRPr="001E4796">
        <w:rPr>
          <w:rStyle w:val="Refdenotaalpie"/>
          <w:i w:val="0"/>
          <w:lang w:val="es-CR"/>
        </w:rPr>
        <w:footnoteReference w:id="100"/>
      </w:r>
      <w:r w:rsidR="007C0E70" w:rsidRPr="001E4796">
        <w:rPr>
          <w:i w:val="0"/>
          <w:szCs w:val="20"/>
          <w:lang w:val="es-CR"/>
        </w:rPr>
        <w:t>. De esta forma, la Corte reitera que existe una referencia con el suficiente grado de especificidad para derivar la existencia de</w:t>
      </w:r>
      <w:r w:rsidR="000D3643">
        <w:rPr>
          <w:i w:val="0"/>
          <w:szCs w:val="20"/>
          <w:lang w:val="es-CR"/>
        </w:rPr>
        <w:t>l</w:t>
      </w:r>
      <w:r w:rsidR="007C0E70" w:rsidRPr="001E4796">
        <w:rPr>
          <w:i w:val="0"/>
          <w:szCs w:val="20"/>
          <w:lang w:val="es-CR"/>
        </w:rPr>
        <w:t xml:space="preserve"> derecho a la salud reconocido</w:t>
      </w:r>
      <w:r w:rsidR="000D3643">
        <w:rPr>
          <w:i w:val="0"/>
          <w:szCs w:val="20"/>
          <w:lang w:val="es-CR"/>
        </w:rPr>
        <w:t xml:space="preserve"> implícitamente</w:t>
      </w:r>
      <w:r w:rsidR="007C0E70" w:rsidRPr="001E4796">
        <w:rPr>
          <w:i w:val="0"/>
          <w:szCs w:val="20"/>
          <w:lang w:val="es-CR"/>
        </w:rPr>
        <w:t xml:space="preserve"> por la Carta de la OEA</w:t>
      </w:r>
      <w:r w:rsidR="001E4796">
        <w:rPr>
          <w:rStyle w:val="Refdenotaalpie"/>
          <w:i w:val="0"/>
          <w:lang w:val="es-CR"/>
        </w:rPr>
        <w:footnoteReference w:id="101"/>
      </w:r>
      <w:r w:rsidR="007C0E70" w:rsidRPr="001E4796">
        <w:rPr>
          <w:i w:val="0"/>
          <w:szCs w:val="20"/>
          <w:lang w:val="es-CR"/>
        </w:rPr>
        <w:t>.</w:t>
      </w:r>
    </w:p>
    <w:p w14:paraId="0715280F" w14:textId="77777777" w:rsidR="00E92CA8" w:rsidRPr="001E4796" w:rsidRDefault="00E92CA8" w:rsidP="00E92CA8">
      <w:pPr>
        <w:pStyle w:val="Estilo1"/>
        <w:tabs>
          <w:tab w:val="left" w:pos="709"/>
          <w:tab w:val="left" w:pos="1134"/>
        </w:tabs>
        <w:spacing w:after="0"/>
        <w:ind w:left="0" w:right="-4" w:firstLine="0"/>
        <w:rPr>
          <w:rFonts w:eastAsia="Times" w:cs="Arial"/>
          <w:i w:val="0"/>
          <w:szCs w:val="20"/>
          <w:lang w:val="es-MX" w:eastAsia="es-CR"/>
        </w:rPr>
      </w:pPr>
    </w:p>
    <w:p w14:paraId="6C2816E0" w14:textId="640CA387"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eastAsia="es-CR"/>
        </w:rPr>
      </w:pPr>
      <w:r w:rsidRPr="0060216C">
        <w:rPr>
          <w:rFonts w:eastAsia="Times" w:cs="Arial"/>
          <w:i w:val="0"/>
          <w:szCs w:val="20"/>
          <w:lang w:val="es-MX" w:eastAsia="es-CR"/>
        </w:rPr>
        <w:t xml:space="preserve">En segundo lugar, corresponde a este Tribunal determinar los alcances del derecho a la salud a la luz del corpus </w:t>
      </w:r>
      <w:proofErr w:type="spellStart"/>
      <w:r w:rsidRPr="0060216C">
        <w:rPr>
          <w:rFonts w:eastAsia="Times" w:cs="Arial"/>
          <w:i w:val="0"/>
          <w:szCs w:val="20"/>
          <w:lang w:val="es-MX" w:eastAsia="es-CR"/>
        </w:rPr>
        <w:t>juris</w:t>
      </w:r>
      <w:proofErr w:type="spellEnd"/>
      <w:r w:rsidRPr="0060216C">
        <w:rPr>
          <w:rFonts w:eastAsia="Times" w:cs="Arial"/>
          <w:i w:val="0"/>
          <w:szCs w:val="20"/>
          <w:lang w:val="es-MX" w:eastAsia="es-CR"/>
        </w:rPr>
        <w:t xml:space="preserve"> internacional en la materia. La Corte </w:t>
      </w:r>
      <w:r w:rsidR="001671E0">
        <w:rPr>
          <w:rFonts w:eastAsia="Times" w:cs="Arial"/>
          <w:i w:val="0"/>
          <w:szCs w:val="20"/>
          <w:lang w:val="es-MX" w:eastAsia="es-CR"/>
        </w:rPr>
        <w:t>recuerda</w:t>
      </w:r>
      <w:r w:rsidRPr="0060216C">
        <w:rPr>
          <w:rFonts w:eastAsia="Times" w:cs="Arial"/>
          <w:i w:val="0"/>
          <w:szCs w:val="20"/>
          <w:lang w:val="es-MX" w:eastAsia="es-CR"/>
        </w:rPr>
        <w:t xml:space="preserve"> que </w:t>
      </w:r>
      <w:r w:rsidRPr="0060216C">
        <w:rPr>
          <w:i w:val="0"/>
          <w:szCs w:val="20"/>
          <w:lang w:val="es-CR"/>
        </w:rPr>
        <w:t>las obligaciones contenidas en los artículos 1.1 y 2 de la Convención</w:t>
      </w:r>
      <w:r w:rsidR="00E24818">
        <w:rPr>
          <w:i w:val="0"/>
          <w:szCs w:val="20"/>
          <w:lang w:val="es-CR"/>
        </w:rPr>
        <w:t xml:space="preserve"> Americana</w:t>
      </w:r>
      <w:r w:rsidRPr="0060216C">
        <w:rPr>
          <w:i w:val="0"/>
          <w:szCs w:val="20"/>
          <w:lang w:val="es-CR"/>
        </w:rPr>
        <w:t xml:space="preserve"> constituyen, en definitiva, la base para la determinación de responsabilidad internacional a un Estado por violaciones a los derechos reconocidos en la Convención</w:t>
      </w:r>
      <w:r w:rsidR="00E24818" w:rsidRPr="0060216C">
        <w:rPr>
          <w:rStyle w:val="Refdenotaalpie"/>
          <w:i w:val="0"/>
        </w:rPr>
        <w:footnoteReference w:id="102"/>
      </w:r>
      <w:r w:rsidRPr="0060216C">
        <w:rPr>
          <w:i w:val="0"/>
          <w:szCs w:val="20"/>
          <w:lang w:val="es-CR"/>
        </w:rPr>
        <w:t xml:space="preserve">, incluidos aquellos reconocidos en virtud del artículo 26. Sin embargo, la misma Convención hace expresa referencia a las normas del Derecho Internacional general para su interpretación y aplicación, específicamente a través del artículo 29, el cual prevé el principio </w:t>
      </w:r>
      <w:proofErr w:type="spellStart"/>
      <w:r w:rsidRPr="0060216C">
        <w:rPr>
          <w:i w:val="0"/>
          <w:szCs w:val="20"/>
          <w:lang w:val="es-CR"/>
        </w:rPr>
        <w:t>pro</w:t>
      </w:r>
      <w:proofErr w:type="spellEnd"/>
      <w:r w:rsidRPr="0060216C">
        <w:rPr>
          <w:i w:val="0"/>
          <w:szCs w:val="20"/>
          <w:lang w:val="es-CR"/>
        </w:rPr>
        <w:t xml:space="preserve"> persona</w:t>
      </w:r>
      <w:r w:rsidRPr="0060216C">
        <w:rPr>
          <w:rStyle w:val="Refdenotaalpie"/>
          <w:i w:val="0"/>
          <w:lang w:val="es-CR"/>
        </w:rPr>
        <w:footnoteReference w:id="103"/>
      </w:r>
      <w:r w:rsidRPr="0060216C">
        <w:rPr>
          <w:i w:val="0"/>
          <w:szCs w:val="20"/>
          <w:lang w:val="es-CR"/>
        </w:rPr>
        <w:t>. De esta forma, como ha sido la práctica constante de este Tribunal</w:t>
      </w:r>
      <w:r w:rsidRPr="0060216C">
        <w:rPr>
          <w:rStyle w:val="Refdenotaalpie"/>
          <w:i w:val="0"/>
          <w:lang w:val="es-CR"/>
        </w:rPr>
        <w:footnoteReference w:id="104"/>
      </w:r>
      <w:r w:rsidRPr="0060216C">
        <w:rPr>
          <w:i w:val="0"/>
          <w:szCs w:val="20"/>
          <w:lang w:val="es-CR"/>
        </w:rPr>
        <w:t>, al determinar la compatibilidad de las acciones y omisiones del Estado, o de sus normas, con la propia Convención u otros tratados respecto de los cuales tiene competencia, la Corte puede interpretar las obligaciones y derechos en ellos contenidos a la luz de otros tratados y normas pertinentes.</w:t>
      </w:r>
    </w:p>
    <w:p w14:paraId="301C8855"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eastAsia="es-CR"/>
        </w:rPr>
      </w:pPr>
    </w:p>
    <w:p w14:paraId="4EC45B1F" w14:textId="6FED3E83"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eastAsia="es-CR"/>
        </w:rPr>
      </w:pPr>
      <w:r w:rsidRPr="0060216C">
        <w:rPr>
          <w:i w:val="0"/>
          <w:szCs w:val="20"/>
          <w:lang w:val="es-CR"/>
        </w:rPr>
        <w:t xml:space="preserve">De esta forma, la Corte utilizará las fuentes, principios y criterios del corpus </w:t>
      </w:r>
      <w:proofErr w:type="spellStart"/>
      <w:r w:rsidRPr="0060216C">
        <w:rPr>
          <w:i w:val="0"/>
          <w:szCs w:val="20"/>
          <w:lang w:val="es-CR"/>
        </w:rPr>
        <w:t>juris</w:t>
      </w:r>
      <w:proofErr w:type="spellEnd"/>
      <w:r w:rsidRPr="0060216C">
        <w:rPr>
          <w:i w:val="0"/>
          <w:szCs w:val="20"/>
          <w:lang w:val="es-CR"/>
        </w:rPr>
        <w:t xml:space="preserve"> internacional como normativa especial aplicable en la determinación del contenido del derecho a la salud</w:t>
      </w:r>
      <w:r w:rsidRPr="0060216C">
        <w:rPr>
          <w:rStyle w:val="Refdenotaalpie"/>
          <w:i w:val="0"/>
          <w:lang w:val="es-CR"/>
        </w:rPr>
        <w:footnoteReference w:id="105"/>
      </w:r>
      <w:r w:rsidRPr="0060216C">
        <w:rPr>
          <w:i w:val="0"/>
          <w:szCs w:val="20"/>
          <w:lang w:val="es-CR"/>
        </w:rPr>
        <w:t>. Este Tribunal señala que la utilización de la normativa antes mencionada para la determinación del derecho a la salud</w:t>
      </w:r>
      <w:r w:rsidR="00E24818">
        <w:rPr>
          <w:i w:val="0"/>
          <w:szCs w:val="20"/>
          <w:lang w:val="es-CR"/>
        </w:rPr>
        <w:t>,</w:t>
      </w:r>
      <w:r w:rsidRPr="0060216C">
        <w:rPr>
          <w:i w:val="0"/>
          <w:szCs w:val="20"/>
          <w:lang w:val="es-CR"/>
        </w:rPr>
        <w:t xml:space="preserve"> y de los derechos correlativos para personas </w:t>
      </w:r>
      <w:r w:rsidR="00E24818">
        <w:rPr>
          <w:i w:val="0"/>
          <w:szCs w:val="20"/>
          <w:lang w:val="es-CR"/>
        </w:rPr>
        <w:t>que viven con el VIH,</w:t>
      </w:r>
      <w:r w:rsidRPr="0060216C">
        <w:rPr>
          <w:i w:val="0"/>
          <w:szCs w:val="20"/>
          <w:lang w:val="es-CR"/>
        </w:rPr>
        <w:t xml:space="preserve"> se utilizará en forma complementaria a la normativa convencional. Al respecto, la Corte afirma que no está asumiendo competencias sobre tratados sobre los que no la tiene, ni tampoco está otorgando jerarquía convencional a normas contenidas en otros instrumentos nacionales o internacionales relacionados con los DESCA</w:t>
      </w:r>
      <w:r w:rsidRPr="0060216C">
        <w:rPr>
          <w:rStyle w:val="Refdenotaalpie"/>
          <w:i w:val="0"/>
          <w:lang w:val="es-CR"/>
        </w:rPr>
        <w:footnoteReference w:id="106"/>
      </w:r>
      <w:r w:rsidRPr="0060216C">
        <w:rPr>
          <w:i w:val="0"/>
          <w:szCs w:val="20"/>
          <w:lang w:val="es-CR"/>
        </w:rPr>
        <w:t>. Por el contrario, la Corte realizará una interpretación de conformidad con las pautas previstas por el artículo 29, y conforme a su práctica jurisprudencial, que permita actualizar el sentido de los derechos derivados de la Carta de la OEA que se encuentran reconocidos por el artículo 26 de la Convención. La determinación del derecho a la salud dará un especial énfasis a la Declaración Americana, pues tal y como lo estableció este Tribunal:</w:t>
      </w:r>
    </w:p>
    <w:p w14:paraId="413BBADF"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eastAsia="es-CR"/>
        </w:rPr>
      </w:pPr>
    </w:p>
    <w:p w14:paraId="3D0DB3B7" w14:textId="77777777" w:rsidR="00F46845" w:rsidRDefault="00F46845" w:rsidP="00E92CA8">
      <w:pPr>
        <w:autoSpaceDE w:val="0"/>
        <w:autoSpaceDN w:val="0"/>
        <w:adjustRightInd w:val="0"/>
        <w:ind w:left="708" w:right="900"/>
        <w:rPr>
          <w:rFonts w:eastAsiaTheme="minorHAnsi" w:cs="Verdana"/>
          <w:sz w:val="18"/>
          <w:szCs w:val="18"/>
        </w:rPr>
      </w:pPr>
      <w:r w:rsidRPr="0060216C">
        <w:rPr>
          <w:rFonts w:eastAsiaTheme="minorHAnsi" w:cs="Verdana"/>
          <w:sz w:val="18"/>
          <w:szCs w:val="18"/>
        </w:rPr>
        <w:t xml:space="preserve">[…] [L]os Estados Miembros han entendido que la Declaración contiene y define aquellos derechos humanos esenciales a los que la Carta se refiere, de manera que </w:t>
      </w:r>
      <w:r w:rsidRPr="0060216C">
        <w:rPr>
          <w:rFonts w:eastAsiaTheme="minorHAnsi" w:cs="Verdana"/>
          <w:sz w:val="18"/>
          <w:szCs w:val="18"/>
        </w:rPr>
        <w:lastRenderedPageBreak/>
        <w:t>no se puede interpretar y aplicar la Carta de la Organización en materia de derechos humanos, sin integrar las normas pertinentes de ella con las correspondientes disposiciones de la Declaración, como resulta de la práctica seguida por los órganos de la OEA</w:t>
      </w:r>
      <w:r w:rsidRPr="0060216C">
        <w:rPr>
          <w:rFonts w:eastAsiaTheme="minorHAnsi"/>
          <w:sz w:val="18"/>
          <w:szCs w:val="18"/>
          <w:vertAlign w:val="superscript"/>
        </w:rPr>
        <w:footnoteReference w:id="107"/>
      </w:r>
      <w:r w:rsidRPr="0060216C">
        <w:rPr>
          <w:rFonts w:eastAsiaTheme="minorHAnsi" w:cs="Verdana"/>
          <w:sz w:val="18"/>
          <w:szCs w:val="18"/>
        </w:rPr>
        <w:t>.</w:t>
      </w:r>
    </w:p>
    <w:p w14:paraId="2D78A61F" w14:textId="77777777" w:rsidR="00E92CA8" w:rsidRPr="00E92CA8" w:rsidRDefault="00E92CA8" w:rsidP="00E92CA8">
      <w:pPr>
        <w:autoSpaceDE w:val="0"/>
        <w:autoSpaceDN w:val="0"/>
        <w:adjustRightInd w:val="0"/>
        <w:ind w:right="900"/>
        <w:rPr>
          <w:rFonts w:eastAsiaTheme="minorHAnsi" w:cs="Verdana"/>
          <w:szCs w:val="20"/>
        </w:rPr>
      </w:pPr>
    </w:p>
    <w:p w14:paraId="2F4D3261" w14:textId="743ED1FD" w:rsidR="00887204" w:rsidRPr="00887204"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En el mismo sentido, este Tribunal ha señalado en otras oportunidades que los tratados de derechos humanos son instrumentos vivos, cuya interpretación tiene que acompañar la evolución de los tiempos y las condiciones de vida actuales. Tal interpretación evolutiva es consecuente con las reglas generales de interpretación establecidas en el artículo 29 de la Convención Americana, así como con la Convención de Viena</w:t>
      </w:r>
      <w:r w:rsidRPr="0060216C">
        <w:rPr>
          <w:rStyle w:val="Refdenotaalpie"/>
          <w:rFonts w:eastAsia="Times"/>
          <w:i w:val="0"/>
          <w:lang w:val="es-MX"/>
        </w:rPr>
        <w:footnoteReference w:id="108"/>
      </w:r>
      <w:r w:rsidRPr="0060216C">
        <w:rPr>
          <w:rFonts w:eastAsia="Times" w:cs="Arial"/>
          <w:i w:val="0"/>
          <w:szCs w:val="20"/>
          <w:lang w:val="es-MX"/>
        </w:rPr>
        <w:t>. Además, el párrafo tercero del artículo 31 de la Convención de Viena autoriza la utilización de medios interpretativos tales como los acuerdos o la práctica o reglas relevantes del derecho internacional que los Estados hayan manifestado sobre la materia del tratado, los cuales son algunos de los métodos que se relacionan con una visión evolutiva del Tratado. De esta forma, con el objetivo de determinar el alcance del derecho a la salud para personas</w:t>
      </w:r>
      <w:r w:rsidR="00DF3031">
        <w:rPr>
          <w:rFonts w:eastAsia="Times" w:cs="Arial"/>
          <w:i w:val="0"/>
          <w:szCs w:val="20"/>
          <w:lang w:val="es-MX"/>
        </w:rPr>
        <w:t xml:space="preserve"> que viven</w:t>
      </w:r>
      <w:r w:rsidRPr="0060216C">
        <w:rPr>
          <w:rFonts w:eastAsia="Times" w:cs="Arial"/>
          <w:i w:val="0"/>
          <w:szCs w:val="20"/>
          <w:lang w:val="es-MX"/>
        </w:rPr>
        <w:t xml:space="preserve"> con</w:t>
      </w:r>
      <w:r w:rsidR="00DF3031">
        <w:rPr>
          <w:rFonts w:eastAsia="Times" w:cs="Arial"/>
          <w:i w:val="0"/>
          <w:szCs w:val="20"/>
          <w:lang w:val="es-MX"/>
        </w:rPr>
        <w:t xml:space="preserve"> el</w:t>
      </w:r>
      <w:r w:rsidRPr="0060216C">
        <w:rPr>
          <w:rFonts w:eastAsia="Times" w:cs="Arial"/>
          <w:i w:val="0"/>
          <w:szCs w:val="20"/>
          <w:lang w:val="es-MX"/>
        </w:rPr>
        <w:t xml:space="preserve"> VIH, tal y como se </w:t>
      </w:r>
      <w:r w:rsidRPr="0060216C">
        <w:rPr>
          <w:rFonts w:cs="Tahoma"/>
          <w:i w:val="0"/>
          <w:szCs w:val="20"/>
          <w:lang w:val="es-CR"/>
        </w:rPr>
        <w:t>deriva de las normas económicas, sociales y sobre educación, ciencia y cultura de la Carta de la OEA, el Tribunal hará referencia</w:t>
      </w:r>
      <w:r w:rsidR="00B7716C">
        <w:rPr>
          <w:rFonts w:cs="Tahoma"/>
          <w:i w:val="0"/>
          <w:szCs w:val="20"/>
          <w:lang w:val="es-CR"/>
        </w:rPr>
        <w:t xml:space="preserve"> a</w:t>
      </w:r>
      <w:r w:rsidRPr="0060216C">
        <w:rPr>
          <w:rFonts w:cs="Tahoma"/>
          <w:i w:val="0"/>
          <w:szCs w:val="20"/>
          <w:lang w:val="es-CR"/>
        </w:rPr>
        <w:t xml:space="preserve"> los instrumentos relevantes del corpus </w:t>
      </w:r>
      <w:proofErr w:type="spellStart"/>
      <w:r w:rsidRPr="0060216C">
        <w:rPr>
          <w:rFonts w:cs="Tahoma"/>
          <w:i w:val="0"/>
          <w:szCs w:val="20"/>
          <w:lang w:val="es-CR"/>
        </w:rPr>
        <w:t>juris</w:t>
      </w:r>
      <w:proofErr w:type="spellEnd"/>
      <w:r w:rsidRPr="0060216C">
        <w:rPr>
          <w:rFonts w:cs="Tahoma"/>
          <w:i w:val="0"/>
          <w:szCs w:val="20"/>
          <w:lang w:val="es-CR"/>
        </w:rPr>
        <w:t xml:space="preserve"> internacional.</w:t>
      </w:r>
    </w:p>
    <w:p w14:paraId="35F31155" w14:textId="77777777" w:rsidR="00EE1E0E" w:rsidRDefault="00EE1E0E" w:rsidP="00E92CA8">
      <w:pPr>
        <w:rPr>
          <w:rFonts w:eastAsia="Verdana"/>
          <w:bCs/>
          <w:lang w:eastAsia="x-none"/>
        </w:rPr>
      </w:pPr>
    </w:p>
    <w:p w14:paraId="594F46D8" w14:textId="1B1DE875" w:rsidR="00F46845" w:rsidRDefault="00EE1E0E" w:rsidP="00E92CA8">
      <w:pPr>
        <w:pStyle w:val="Ttulo3"/>
        <w:spacing w:before="0"/>
      </w:pPr>
      <w:r>
        <w:rPr>
          <w:rFonts w:eastAsia="Verdana"/>
          <w:bCs/>
          <w:lang w:eastAsia="x-none"/>
        </w:rPr>
        <w:tab/>
      </w:r>
      <w:bookmarkStart w:id="80" w:name="_Toc527466491"/>
      <w:r w:rsidR="00F441D1" w:rsidRPr="00194374">
        <w:rPr>
          <w:rFonts w:eastAsia="Verdana"/>
          <w:bCs/>
          <w:lang w:eastAsia="x-none"/>
        </w:rPr>
        <w:t>B.3</w:t>
      </w:r>
      <w:r w:rsidR="00F46845" w:rsidRPr="00194374">
        <w:rPr>
          <w:rFonts w:eastAsia="Verdana"/>
          <w:bCs/>
          <w:lang w:eastAsia="x-none"/>
        </w:rPr>
        <w:t xml:space="preserve">. </w:t>
      </w:r>
      <w:r w:rsidR="00F46845" w:rsidRPr="00194374">
        <w:t>El contenido del derecho a la salud</w:t>
      </w:r>
      <w:bookmarkEnd w:id="80"/>
    </w:p>
    <w:p w14:paraId="1397326D" w14:textId="77777777" w:rsidR="00E92CA8" w:rsidRPr="00E92CA8" w:rsidRDefault="00E92CA8" w:rsidP="00E92CA8">
      <w:pPr>
        <w:rPr>
          <w:lang w:val="es-CR"/>
        </w:rPr>
      </w:pPr>
    </w:p>
    <w:p w14:paraId="14BE6877" w14:textId="7339EEC7"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 xml:space="preserve">En razón de lo anterior, la Corte advierte, en primer término, que la Declaración Americana reconoce en su Artículo XI que toda persona tiene el derecho “a que su salud sea preservada por medidas sanitarias y sociales, relativas a […] la asistencia médica, correspondientes al nivel que permitan los recursos públicos y los de la comunidad”. </w:t>
      </w:r>
      <w:r w:rsidRPr="0060216C">
        <w:rPr>
          <w:i w:val="0"/>
          <w:szCs w:val="20"/>
          <w:lang w:val="es-ES"/>
        </w:rPr>
        <w:t>En el mismo sentido, el artículo 10 del Protocolo de San Salvador</w:t>
      </w:r>
      <w:r w:rsidRPr="0060216C">
        <w:rPr>
          <w:rFonts w:cs="Verdana"/>
          <w:i w:val="0"/>
          <w:szCs w:val="20"/>
          <w:lang w:val="es-ES"/>
        </w:rPr>
        <w:t xml:space="preserve"> establece que toda persona tiene derecho a la salud, entendida</w:t>
      </w:r>
      <w:r w:rsidRPr="0060216C">
        <w:rPr>
          <w:i w:val="0"/>
          <w:szCs w:val="20"/>
          <w:lang w:val="es-ES"/>
        </w:rPr>
        <w:t xml:space="preserve"> </w:t>
      </w:r>
      <w:r w:rsidRPr="0060216C">
        <w:rPr>
          <w:rFonts w:cs="Verdana"/>
          <w:i w:val="0"/>
          <w:szCs w:val="20"/>
          <w:lang w:val="es-ES"/>
        </w:rPr>
        <w:t>como el disfrute del más alto nivel de bienestar físico, mental y social, e</w:t>
      </w:r>
      <w:r w:rsidRPr="0060216C">
        <w:rPr>
          <w:i w:val="0"/>
          <w:szCs w:val="20"/>
          <w:lang w:val="es-ES"/>
        </w:rPr>
        <w:t xml:space="preserve"> </w:t>
      </w:r>
      <w:r w:rsidRPr="0060216C">
        <w:rPr>
          <w:rFonts w:cs="Verdana"/>
          <w:i w:val="0"/>
          <w:szCs w:val="20"/>
          <w:lang w:val="es-ES"/>
        </w:rPr>
        <w:t>indica que la salud es un bien público</w:t>
      </w:r>
      <w:r w:rsidR="00194374" w:rsidRPr="0060216C">
        <w:rPr>
          <w:rStyle w:val="Refdenotaalpie"/>
          <w:i w:val="0"/>
          <w:lang w:val="es-ES"/>
        </w:rPr>
        <w:footnoteReference w:id="109"/>
      </w:r>
      <w:r w:rsidRPr="0060216C">
        <w:rPr>
          <w:rFonts w:cs="Verdana"/>
          <w:i w:val="0"/>
          <w:szCs w:val="20"/>
          <w:lang w:val="es-ES"/>
        </w:rPr>
        <w:t>.</w:t>
      </w:r>
      <w:r w:rsidRPr="0060216C">
        <w:rPr>
          <w:i w:val="0"/>
          <w:szCs w:val="20"/>
          <w:lang w:val="es-ES"/>
        </w:rPr>
        <w:t xml:space="preserve"> El mismo artículo </w:t>
      </w:r>
      <w:r w:rsidRPr="0060216C">
        <w:rPr>
          <w:i w:val="0"/>
          <w:szCs w:val="20"/>
          <w:lang w:val="es-CR"/>
        </w:rPr>
        <w:t>establece que</w:t>
      </w:r>
      <w:r w:rsidR="00194374">
        <w:rPr>
          <w:i w:val="0"/>
          <w:szCs w:val="20"/>
          <w:lang w:val="es-CR"/>
        </w:rPr>
        <w:t>,</w:t>
      </w:r>
      <w:r w:rsidRPr="0060216C">
        <w:rPr>
          <w:i w:val="0"/>
          <w:szCs w:val="20"/>
          <w:lang w:val="es-CR"/>
        </w:rPr>
        <w:t xml:space="preserve"> entre las medidas para garantizar el derecho a la salud, los Estados deben impulsar “la total inmunización contra las principales enfermedades infecciosas”, “la prevención y el tratamiento de las enfermedades endémicas, profesionales y de otra índole”, y “la satisfacción de las necesidades de salud de los grupos de más alto riesgo y que por sus condiciones de pobreza sean más vulnerables”.</w:t>
      </w:r>
    </w:p>
    <w:p w14:paraId="2E2532AD"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98686F8" w14:textId="203C00C8" w:rsidR="00E42F66"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42F66">
        <w:rPr>
          <w:rFonts w:eastAsia="Calibri"/>
          <w:i w:val="0"/>
          <w:szCs w:val="20"/>
        </w:rPr>
        <w:t xml:space="preserve">En sentido similar a las obligaciones previstas por la Carta de la OEA, la Declaración Americana, y el Protocolo de San Salvador, en el ámbito universal el </w:t>
      </w:r>
      <w:r w:rsidR="00F369EC">
        <w:rPr>
          <w:rFonts w:eastAsia="Calibri"/>
          <w:i w:val="0"/>
          <w:szCs w:val="20"/>
        </w:rPr>
        <w:t>PIDESC</w:t>
      </w:r>
      <w:r w:rsidRPr="00E42F66">
        <w:rPr>
          <w:rFonts w:eastAsia="Calibri"/>
          <w:i w:val="0"/>
          <w:szCs w:val="20"/>
        </w:rPr>
        <w:t xml:space="preserve"> entiende el derecho a la salud como “el disfrute más alto de bienestar social, físico y mental”, y reconoce la obligación estatal de adoptar medidas para “[l]a prevención y el tratamiento de las </w:t>
      </w:r>
      <w:r w:rsidRPr="00E42F66">
        <w:rPr>
          <w:rFonts w:eastAsia="Calibri"/>
          <w:i w:val="0"/>
          <w:szCs w:val="20"/>
        </w:rPr>
        <w:lastRenderedPageBreak/>
        <w:t>enfermedades epidémicas, endémicas, profesionales y de otra índole, y la lucha contra ellas”</w:t>
      </w:r>
      <w:r w:rsidRPr="00E42F66">
        <w:rPr>
          <w:rStyle w:val="Refdenotaalpie"/>
          <w:rFonts w:eastAsia="Calibri"/>
          <w:i w:val="0"/>
        </w:rPr>
        <w:footnoteReference w:id="110"/>
      </w:r>
      <w:r w:rsidR="00E92CA8">
        <w:rPr>
          <w:rFonts w:eastAsia="Calibri"/>
          <w:i w:val="0"/>
          <w:szCs w:val="20"/>
        </w:rPr>
        <w:t>.</w:t>
      </w:r>
    </w:p>
    <w:p w14:paraId="50C59FAF" w14:textId="77777777" w:rsidR="00E92CA8" w:rsidRPr="00E42F66" w:rsidRDefault="00E92CA8" w:rsidP="00E92CA8">
      <w:pPr>
        <w:pStyle w:val="Estilo1"/>
        <w:tabs>
          <w:tab w:val="left" w:pos="709"/>
          <w:tab w:val="left" w:pos="1134"/>
        </w:tabs>
        <w:spacing w:after="0"/>
        <w:ind w:left="0" w:right="-4" w:firstLine="0"/>
        <w:rPr>
          <w:rFonts w:eastAsia="Times" w:cs="Arial"/>
          <w:i w:val="0"/>
          <w:szCs w:val="20"/>
          <w:lang w:val="es-MX"/>
        </w:rPr>
      </w:pPr>
    </w:p>
    <w:p w14:paraId="092B8D06" w14:textId="52F908AE" w:rsidR="002D60B2" w:rsidRPr="00E92CA8" w:rsidRDefault="002D60B2"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42F66">
        <w:rPr>
          <w:rFonts w:eastAsia="Calibri"/>
          <w:i w:val="0"/>
          <w:szCs w:val="20"/>
        </w:rPr>
        <w:t xml:space="preserve">Al respecto, esta Corte ya ha reconocido </w:t>
      </w:r>
      <w:r w:rsidR="00E42F66" w:rsidRPr="00E42F66">
        <w:rPr>
          <w:i w:val="0"/>
        </w:rPr>
        <w:t>que la salud es un derecho humano fundamental e indispensable para el ejercicio adecuad</w:t>
      </w:r>
      <w:r w:rsidR="00E42F66">
        <w:rPr>
          <w:i w:val="0"/>
        </w:rPr>
        <w:t>o de los demás derechos humanos, y</w:t>
      </w:r>
      <w:r w:rsidR="00E42F66" w:rsidRPr="00E42F66">
        <w:rPr>
          <w:i w:val="0"/>
        </w:rPr>
        <w:t xml:space="preserve"> </w:t>
      </w:r>
      <w:r w:rsidR="00E42F66">
        <w:rPr>
          <w:i w:val="0"/>
        </w:rPr>
        <w:t>que t</w:t>
      </w:r>
      <w:r w:rsidR="00E42F66" w:rsidRPr="00E42F66">
        <w:rPr>
          <w:i w:val="0"/>
        </w:rPr>
        <w:t>odo ser humano tiene derecho al disfrute del más alto nivel posible de salud que le permita vivir dignamente, entendida la salud no sólo como la ausencia de afeccione</w:t>
      </w:r>
      <w:r w:rsidR="00F369EC">
        <w:rPr>
          <w:i w:val="0"/>
        </w:rPr>
        <w:t>s o enfermedades, sino también como</w:t>
      </w:r>
      <w:r w:rsidR="00E42F66" w:rsidRPr="00E42F66">
        <w:rPr>
          <w:i w:val="0"/>
        </w:rPr>
        <w:t xml:space="preserve"> un estado completo de bienestar físico, mental y social, derivado de un estilo de vida que permita alcanzar a las personas un balance integral. El Tribunal ha precisado que la obligación general</w:t>
      </w:r>
      <w:r w:rsidR="00F369EC">
        <w:rPr>
          <w:i w:val="0"/>
        </w:rPr>
        <w:t xml:space="preserve"> de protección a la salud</w:t>
      </w:r>
      <w:r w:rsidR="00E42F66" w:rsidRPr="00E42F66">
        <w:rPr>
          <w:i w:val="0"/>
        </w:rPr>
        <w:t xml:space="preserve"> se traduce en el deber estatal de asegurar el acceso de las personas a servicios esenciales de salud, garantizando una prestación médica de calidad y eficaz, así como de impulsar el mejoramiento de las condiciones de salud de la población</w:t>
      </w:r>
      <w:r w:rsidR="00E42F66">
        <w:rPr>
          <w:rStyle w:val="Refdenotaalpie"/>
          <w:i w:val="0"/>
        </w:rPr>
        <w:footnoteReference w:id="111"/>
      </w:r>
      <w:r w:rsidR="00E42F66" w:rsidRPr="00E42F66">
        <w:rPr>
          <w:i w:val="0"/>
        </w:rPr>
        <w:t>.</w:t>
      </w:r>
    </w:p>
    <w:p w14:paraId="58A25BE7" w14:textId="77777777" w:rsidR="00E92CA8" w:rsidRPr="00E42F66" w:rsidRDefault="00E92CA8" w:rsidP="00E92CA8">
      <w:pPr>
        <w:pStyle w:val="Estilo1"/>
        <w:tabs>
          <w:tab w:val="left" w:pos="709"/>
          <w:tab w:val="left" w:pos="1134"/>
        </w:tabs>
        <w:spacing w:after="0"/>
        <w:ind w:left="0" w:right="-4" w:firstLine="0"/>
        <w:rPr>
          <w:rFonts w:eastAsia="Times" w:cs="Arial"/>
          <w:i w:val="0"/>
          <w:szCs w:val="20"/>
          <w:lang w:val="es-MX"/>
        </w:rPr>
      </w:pPr>
    </w:p>
    <w:p w14:paraId="70DF6B1F" w14:textId="2218A3D8" w:rsidR="00F46845" w:rsidRPr="00E92CA8" w:rsidRDefault="00E42F66"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42F66">
        <w:rPr>
          <w:i w:val="0"/>
        </w:rPr>
        <w:t>En el mismo sentido, el Tribunal ha establecido que la operatividad de dicha obligación comienza con el deber de regulación, por lo que ha indicado que los Estados son responsables de regular con carácter permanente la prestación de servicios (tanto públicos como privados) y la ejecución de programas nacionales relativos al logro de una prestación de servicios de calidad</w:t>
      </w:r>
      <w:r>
        <w:rPr>
          <w:rStyle w:val="Refdenotaalpie"/>
          <w:i w:val="0"/>
        </w:rPr>
        <w:footnoteReference w:id="112"/>
      </w:r>
      <w:r w:rsidRPr="00E42F66">
        <w:rPr>
          <w:i w:val="0"/>
        </w:rPr>
        <w:t xml:space="preserve">. </w:t>
      </w:r>
      <w:r w:rsidR="00F369EC">
        <w:rPr>
          <w:i w:val="0"/>
        </w:rPr>
        <w:t>L</w:t>
      </w:r>
      <w:r w:rsidRPr="00E42F66">
        <w:rPr>
          <w:i w:val="0"/>
        </w:rPr>
        <w:t xml:space="preserve">a Corte ha tomado en cuenta </w:t>
      </w:r>
      <w:r w:rsidRPr="00E42F66">
        <w:rPr>
          <w:rFonts w:eastAsia="Calibri"/>
          <w:i w:val="0"/>
          <w:szCs w:val="20"/>
        </w:rPr>
        <w:t>la</w:t>
      </w:r>
      <w:r w:rsidR="00CA61C4">
        <w:rPr>
          <w:rFonts w:eastAsia="Calibri"/>
          <w:i w:val="0"/>
          <w:szCs w:val="20"/>
        </w:rPr>
        <w:t xml:space="preserve"> Observación General No.</w:t>
      </w:r>
      <w:r w:rsidR="00F46845" w:rsidRPr="00E42F66">
        <w:rPr>
          <w:rFonts w:eastAsia="Calibri"/>
          <w:i w:val="0"/>
          <w:szCs w:val="20"/>
        </w:rPr>
        <w:t xml:space="preserve"> 14</w:t>
      </w:r>
      <w:r>
        <w:rPr>
          <w:rFonts w:eastAsia="Calibri"/>
          <w:i w:val="0"/>
          <w:szCs w:val="20"/>
        </w:rPr>
        <w:t xml:space="preserve"> del Comité DESC</w:t>
      </w:r>
      <w:r w:rsidR="00F46845" w:rsidRPr="00E42F66">
        <w:rPr>
          <w:rFonts w:eastAsia="Calibri"/>
          <w:i w:val="0"/>
          <w:szCs w:val="20"/>
        </w:rPr>
        <w:t xml:space="preserve"> sobre </w:t>
      </w:r>
      <w:r w:rsidR="00F46845" w:rsidRPr="00E42F66">
        <w:rPr>
          <w:i w:val="0"/>
          <w:szCs w:val="20"/>
          <w:lang w:val="es-MX"/>
        </w:rPr>
        <w:t>el derecho al disfrute del más alto nivel posible de salud</w:t>
      </w:r>
      <w:r w:rsidR="00F46845" w:rsidRPr="0060216C">
        <w:rPr>
          <w:rFonts w:eastAsia="Calibri"/>
          <w:i w:val="0"/>
          <w:szCs w:val="20"/>
          <w:vertAlign w:val="superscript"/>
        </w:rPr>
        <w:footnoteReference w:id="113"/>
      </w:r>
      <w:r w:rsidR="00F46845" w:rsidRPr="00E42F66">
        <w:rPr>
          <w:rFonts w:eastAsia="Calibri"/>
          <w:i w:val="0"/>
          <w:szCs w:val="20"/>
        </w:rPr>
        <w:t>. En particular, en dicha Observación destacó que el derecho abarca la atención de salud oportuna y apropiada, así como los siguientes elementos esenciales e interrelacionados</w:t>
      </w:r>
      <w:r>
        <w:rPr>
          <w:rFonts w:eastAsia="Calibri"/>
          <w:i w:val="0"/>
          <w:szCs w:val="20"/>
        </w:rPr>
        <w:t xml:space="preserve"> de disponibilidad, accesibilidad, aceptabilidad y calidad</w:t>
      </w:r>
      <w:r w:rsidR="00F46845" w:rsidRPr="00E42F66">
        <w:rPr>
          <w:rFonts w:eastAsia="Calibri"/>
          <w:i w:val="0"/>
          <w:szCs w:val="20"/>
        </w:rPr>
        <w:t>, cuya aplicación dependerá de las condiciones prevalecientes en cada estado:</w:t>
      </w:r>
    </w:p>
    <w:p w14:paraId="12247379" w14:textId="77777777" w:rsidR="00E92CA8" w:rsidRPr="00E42F66" w:rsidRDefault="00E92CA8" w:rsidP="00E92CA8">
      <w:pPr>
        <w:pStyle w:val="Estilo1"/>
        <w:tabs>
          <w:tab w:val="left" w:pos="709"/>
          <w:tab w:val="left" w:pos="1134"/>
        </w:tabs>
        <w:spacing w:after="0"/>
        <w:ind w:left="0" w:right="-4" w:firstLine="0"/>
        <w:rPr>
          <w:rFonts w:eastAsia="Times" w:cs="Arial"/>
          <w:i w:val="0"/>
          <w:szCs w:val="20"/>
          <w:lang w:val="es-MX"/>
        </w:rPr>
      </w:pPr>
    </w:p>
    <w:p w14:paraId="75B1B813" w14:textId="0266EA7E" w:rsidR="00F46845" w:rsidRPr="00BC4444" w:rsidRDefault="00F46845" w:rsidP="00E92CA8">
      <w:pPr>
        <w:ind w:left="708" w:right="900"/>
        <w:rPr>
          <w:sz w:val="18"/>
          <w:szCs w:val="18"/>
        </w:rPr>
      </w:pPr>
      <w:r w:rsidRPr="00BC4444">
        <w:rPr>
          <w:sz w:val="18"/>
          <w:szCs w:val="18"/>
        </w:rPr>
        <w:t>a) Disponibilidad. Cada Estado Parte deberá contar con un número suficiente de establecimientos, bienes y servicios públicos de salud y centros de atención de la salud, así como de programas. La naturaleza precisa de los establecimientos, bienes y servicios dependerá de diversos factores, en particular el nivel de desarrollo del Estado Parte. Con todo, esos servicios incluirán los factores determinantes básicos de la salud, como agua limpia potable y condiciones sanitarias adecuadas, hospitales, clínicas y demás establecimientos relacionados con la salud, personal médico y profesional capacitado y bien remunerado habida cuenta de las condiciones que existen en el país, así como los medicamentos esenciales definidos en el Programa de Acción sobre me</w:t>
      </w:r>
      <w:r w:rsidR="00E92CA8" w:rsidRPr="00BC4444">
        <w:rPr>
          <w:sz w:val="18"/>
          <w:szCs w:val="18"/>
        </w:rPr>
        <w:t>dicamentos esenciales de la OMS.</w:t>
      </w:r>
    </w:p>
    <w:p w14:paraId="436E8812" w14:textId="77777777" w:rsidR="00E92CA8" w:rsidRPr="00BC4444" w:rsidRDefault="00E92CA8" w:rsidP="00E92CA8">
      <w:pPr>
        <w:ind w:left="708" w:right="900"/>
        <w:rPr>
          <w:sz w:val="18"/>
          <w:szCs w:val="18"/>
        </w:rPr>
      </w:pPr>
    </w:p>
    <w:p w14:paraId="3DEFAC89" w14:textId="45CB935A" w:rsidR="00F46845" w:rsidRPr="00BC4444" w:rsidRDefault="00F46845" w:rsidP="00E92CA8">
      <w:pPr>
        <w:ind w:left="708" w:right="900"/>
        <w:rPr>
          <w:sz w:val="18"/>
          <w:szCs w:val="18"/>
        </w:rPr>
      </w:pPr>
      <w:r w:rsidRPr="00BC4444">
        <w:rPr>
          <w:sz w:val="18"/>
          <w:szCs w:val="18"/>
        </w:rPr>
        <w:t>b) Accesibilidad. Los establecimientos, bienes y servicios de salud deben ser accesibles a todos, sin discriminación alguna, dentro de la jurisdicción del Estado Parte. La accesibilidad presenta c</w:t>
      </w:r>
      <w:r w:rsidR="00E92CA8" w:rsidRPr="00BC4444">
        <w:rPr>
          <w:sz w:val="18"/>
          <w:szCs w:val="18"/>
        </w:rPr>
        <w:t>uatro dimensiones superpuestas:</w:t>
      </w:r>
    </w:p>
    <w:p w14:paraId="2DE0B0DF" w14:textId="77777777" w:rsidR="00E92CA8" w:rsidRPr="00BC4444" w:rsidRDefault="00E92CA8" w:rsidP="00E92CA8">
      <w:pPr>
        <w:ind w:left="708" w:right="900"/>
        <w:rPr>
          <w:sz w:val="18"/>
          <w:szCs w:val="18"/>
        </w:rPr>
      </w:pPr>
    </w:p>
    <w:p w14:paraId="2EBAD285" w14:textId="5F658A91" w:rsidR="00F46845" w:rsidRPr="00BC4444" w:rsidRDefault="00F46845" w:rsidP="00E92CA8">
      <w:pPr>
        <w:ind w:left="1416" w:right="900"/>
        <w:rPr>
          <w:sz w:val="18"/>
          <w:szCs w:val="18"/>
        </w:rPr>
      </w:pPr>
      <w:r w:rsidRPr="00BC4444">
        <w:rPr>
          <w:sz w:val="18"/>
          <w:szCs w:val="18"/>
        </w:rPr>
        <w:t xml:space="preserve">i) No discriminación: los establecimientos, bienes y servicios de salud deben ser accesibles, de hecho y de derecho, a los sectores más vulnerables y </w:t>
      </w:r>
      <w:r w:rsidRPr="00BC4444">
        <w:rPr>
          <w:sz w:val="18"/>
          <w:szCs w:val="18"/>
        </w:rPr>
        <w:lastRenderedPageBreak/>
        <w:t>marginados de la población, sin discriminación alguna por cualqu</w:t>
      </w:r>
      <w:r w:rsidR="00E92CA8" w:rsidRPr="00BC4444">
        <w:rPr>
          <w:sz w:val="18"/>
          <w:szCs w:val="18"/>
        </w:rPr>
        <w:t>iera de los motivos prohibidos.</w:t>
      </w:r>
    </w:p>
    <w:p w14:paraId="5581C6A0" w14:textId="77777777" w:rsidR="00E92CA8" w:rsidRPr="00BC4444" w:rsidRDefault="00E92CA8" w:rsidP="00E92CA8">
      <w:pPr>
        <w:ind w:left="1416" w:right="900"/>
        <w:rPr>
          <w:sz w:val="18"/>
          <w:szCs w:val="18"/>
        </w:rPr>
      </w:pPr>
    </w:p>
    <w:p w14:paraId="502B0E7C" w14:textId="71F7ACDE" w:rsidR="00F46845" w:rsidRPr="00BC4444" w:rsidRDefault="00F46845" w:rsidP="00E92CA8">
      <w:pPr>
        <w:ind w:left="1416" w:right="900"/>
        <w:rPr>
          <w:sz w:val="18"/>
          <w:szCs w:val="18"/>
        </w:rPr>
      </w:pPr>
      <w:r w:rsidRPr="00BC4444">
        <w:rPr>
          <w:sz w:val="18"/>
          <w:szCs w:val="18"/>
        </w:rPr>
        <w:t>ii) Accesibilidad física: los establecimientos, bienes y servicios de salud deberán estar al alcance geográfico de todos los sectores de la población, en especial los grupos vulnerables o marginados, como las minorías étnicas y poblaciones indígenas, las mujeres, los niños, los adolescentes, las personas mayores, las personas con discapacidades y las personas con VIH/SIDA. La accesibilidad también implica que los servicios médicos y los factores determinantes básicos de la salud, como el agua limpia potable y los servicios sanitarios adecuados, se encuentran a una distancia geográfica razonable, incluso en lo que se refiere a las zonas rurales. Además, la accesibilidad comprende el acceso adecuado a los edificios para l</w:t>
      </w:r>
      <w:r w:rsidR="00E92CA8" w:rsidRPr="00BC4444">
        <w:rPr>
          <w:sz w:val="18"/>
          <w:szCs w:val="18"/>
        </w:rPr>
        <w:t>as personas con discapacidades.</w:t>
      </w:r>
    </w:p>
    <w:p w14:paraId="45AFBFCD" w14:textId="77777777" w:rsidR="00E92CA8" w:rsidRPr="00BC4444" w:rsidRDefault="00E92CA8" w:rsidP="00E92CA8">
      <w:pPr>
        <w:ind w:left="1416" w:right="900"/>
        <w:rPr>
          <w:sz w:val="18"/>
          <w:szCs w:val="18"/>
        </w:rPr>
      </w:pPr>
    </w:p>
    <w:p w14:paraId="1ED7808B" w14:textId="5C79C9E1" w:rsidR="00F46845" w:rsidRPr="00BC4444" w:rsidRDefault="00F46845" w:rsidP="00E92CA8">
      <w:pPr>
        <w:ind w:left="1416" w:right="900"/>
        <w:rPr>
          <w:sz w:val="18"/>
          <w:szCs w:val="18"/>
        </w:rPr>
      </w:pPr>
      <w:r w:rsidRPr="00BC4444">
        <w:rPr>
          <w:sz w:val="18"/>
          <w:szCs w:val="18"/>
        </w:rPr>
        <w:t>iii) Accesibilidad económica (asequibilidad): los establecimientos, bienes y servicios de salud deberán estar al alcance de todos. Los pagos por servicios de atención de la salud y servicios relacionados con los factores determinantes básicos de la salud deberán basarse en el principio de la equidad, a fin de asegurar que esos servicios, sean públicos o privados, estén al alcance de todos, incluidos los grupos socialmente desfavorecidos. La equidad exige que sobre los hogares más pobres no recaiga una carga desproporcionada, en lo que se refiere a los gastos de salud, en compara</w:t>
      </w:r>
      <w:r w:rsidR="00E92CA8" w:rsidRPr="00BC4444">
        <w:rPr>
          <w:sz w:val="18"/>
          <w:szCs w:val="18"/>
        </w:rPr>
        <w:t>ción con los hogares más ricos.</w:t>
      </w:r>
    </w:p>
    <w:p w14:paraId="4742AB08" w14:textId="77777777" w:rsidR="00E92CA8" w:rsidRPr="00BC4444" w:rsidRDefault="00E92CA8" w:rsidP="00E92CA8">
      <w:pPr>
        <w:ind w:left="1416" w:right="900"/>
        <w:rPr>
          <w:sz w:val="18"/>
          <w:szCs w:val="18"/>
        </w:rPr>
      </w:pPr>
    </w:p>
    <w:p w14:paraId="4C6B11A3" w14:textId="7574BAD8" w:rsidR="00F46845" w:rsidRPr="00BC4444" w:rsidRDefault="00F46845" w:rsidP="00E92CA8">
      <w:pPr>
        <w:ind w:left="1416" w:right="900"/>
        <w:rPr>
          <w:sz w:val="18"/>
          <w:szCs w:val="18"/>
        </w:rPr>
      </w:pPr>
      <w:r w:rsidRPr="00BC4444">
        <w:rPr>
          <w:sz w:val="18"/>
          <w:szCs w:val="18"/>
        </w:rPr>
        <w:t>iv) Acceso a la información: ese acceso comprende el derecho de solicitar, recibir y difundir información e ideas</w:t>
      </w:r>
      <w:r w:rsidR="004F708B" w:rsidRPr="00BC4444">
        <w:rPr>
          <w:sz w:val="18"/>
          <w:szCs w:val="18"/>
        </w:rPr>
        <w:t xml:space="preserve"> </w:t>
      </w:r>
      <w:r w:rsidRPr="00BC4444">
        <w:rPr>
          <w:sz w:val="18"/>
          <w:szCs w:val="18"/>
        </w:rPr>
        <w:t>acerca de las cuestiones relacionadas con la salud. Con todo, el acceso a la información no debe menoscabar el derecho de que los datos personales relativos a la salud sean</w:t>
      </w:r>
      <w:r w:rsidR="00E92CA8" w:rsidRPr="00BC4444">
        <w:rPr>
          <w:sz w:val="18"/>
          <w:szCs w:val="18"/>
        </w:rPr>
        <w:t xml:space="preserve"> tratados con confidencialidad.</w:t>
      </w:r>
    </w:p>
    <w:p w14:paraId="1A30E31D" w14:textId="77777777" w:rsidR="00E92CA8" w:rsidRPr="00BC4444" w:rsidRDefault="00E92CA8" w:rsidP="00E92CA8">
      <w:pPr>
        <w:ind w:left="1416" w:right="900"/>
        <w:rPr>
          <w:sz w:val="18"/>
          <w:szCs w:val="18"/>
        </w:rPr>
      </w:pPr>
    </w:p>
    <w:p w14:paraId="42907C72" w14:textId="0D4018DF" w:rsidR="00F46845" w:rsidRPr="00BC4444" w:rsidRDefault="00F46845" w:rsidP="00E92CA8">
      <w:pPr>
        <w:ind w:left="708" w:right="900"/>
        <w:rPr>
          <w:sz w:val="18"/>
          <w:szCs w:val="18"/>
        </w:rPr>
      </w:pPr>
      <w:r w:rsidRPr="00BC4444">
        <w:rPr>
          <w:sz w:val="18"/>
          <w:szCs w:val="18"/>
        </w:rPr>
        <w:t>c) Aceptabilidad. Todos los establecimientos, bienes y servicios de salud deberán ser respetuosos de la ética médica y culturalmente apropiados, es decir respetuosos de la cultura de las personas, las minorías, los pueblos y las comunidades, a la par que sensibles a los requisitos del género y el ciclo de vida, y deberán estar concebidos para respetar la confidencialidad y mejorar el estado de salud d</w:t>
      </w:r>
      <w:r w:rsidR="00E92CA8" w:rsidRPr="00BC4444">
        <w:rPr>
          <w:sz w:val="18"/>
          <w:szCs w:val="18"/>
        </w:rPr>
        <w:t>e las personas de que se trate.</w:t>
      </w:r>
    </w:p>
    <w:p w14:paraId="6F06CD45" w14:textId="77777777" w:rsidR="00E92CA8" w:rsidRPr="00BC4444" w:rsidRDefault="00E92CA8" w:rsidP="00E92CA8">
      <w:pPr>
        <w:ind w:left="708" w:right="900"/>
        <w:rPr>
          <w:sz w:val="18"/>
          <w:szCs w:val="18"/>
        </w:rPr>
      </w:pPr>
    </w:p>
    <w:p w14:paraId="3C030046" w14:textId="3976652B" w:rsidR="00F46845" w:rsidRPr="0060216C" w:rsidRDefault="00F46845" w:rsidP="00E92CA8">
      <w:pPr>
        <w:ind w:left="708" w:right="900"/>
        <w:rPr>
          <w:rFonts w:eastAsia="Times" w:cs="Arial"/>
          <w:sz w:val="16"/>
          <w:szCs w:val="16"/>
          <w:lang w:val="es-MX"/>
        </w:rPr>
      </w:pPr>
      <w:r w:rsidRPr="00BC4444">
        <w:rPr>
          <w:sz w:val="18"/>
          <w:szCs w:val="18"/>
        </w:rPr>
        <w:t>d) Calidad. Además de aceptables desde el punto de vista cultural, los establecimientos, 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adecuadas</w:t>
      </w:r>
      <w:r w:rsidR="007533AF" w:rsidRPr="00BC4444">
        <w:rPr>
          <w:rStyle w:val="Refdenotaalpie"/>
          <w:sz w:val="18"/>
          <w:szCs w:val="18"/>
        </w:rPr>
        <w:footnoteReference w:id="114"/>
      </w:r>
      <w:r w:rsidRPr="0060216C">
        <w:rPr>
          <w:sz w:val="16"/>
          <w:szCs w:val="16"/>
        </w:rPr>
        <w:t>.</w:t>
      </w:r>
    </w:p>
    <w:p w14:paraId="12AA15E7" w14:textId="77777777" w:rsidR="00EE1E0E" w:rsidRPr="00FB0EA3" w:rsidRDefault="00EE1E0E" w:rsidP="00E92CA8">
      <w:pPr>
        <w:rPr>
          <w:rFonts w:eastAsia="Verdana"/>
          <w:b/>
          <w:bCs/>
          <w:lang w:eastAsia="x-none"/>
        </w:rPr>
      </w:pPr>
    </w:p>
    <w:p w14:paraId="3F1BFE94" w14:textId="70179E67" w:rsidR="0064019F" w:rsidRPr="00FB0EA3" w:rsidRDefault="0064019F" w:rsidP="00E92CA8">
      <w:pPr>
        <w:pStyle w:val="Prrafodelista"/>
        <w:numPr>
          <w:ilvl w:val="0"/>
          <w:numId w:val="3"/>
        </w:numPr>
        <w:ind w:left="0" w:firstLine="0"/>
        <w:rPr>
          <w:rFonts w:eastAsia="Verdana"/>
          <w:b/>
          <w:bCs/>
          <w:lang w:eastAsia="x-none"/>
        </w:rPr>
      </w:pPr>
      <w:r>
        <w:rPr>
          <w:rFonts w:eastAsia="Times" w:cs="Arial"/>
          <w:szCs w:val="20"/>
          <w:lang w:val="es-MX"/>
        </w:rPr>
        <w:t xml:space="preserve">En relación con lo anterior, </w:t>
      </w:r>
      <w:r w:rsidRPr="00FB0EA3">
        <w:rPr>
          <w:rFonts w:eastAsia="Times" w:cs="Arial"/>
          <w:szCs w:val="20"/>
          <w:lang w:val="es-MX"/>
        </w:rPr>
        <w:t>la Corte concluye que el derecho a la salud se refiere al derecho de toda persona a gozar del más alto nivel de bienestar físico, mental y social. Este derecho abarca la atención de salud oportuna y apropiada conforme a los principios de disponibilidad, accesibilidad, aceptabilidad y calidad. El cumplimiento de la obligación del Estado de respetar y garantizar este derecho deberá dar especial cuidado a los grupos vulnerables y marginados, y deberá realizarse de conformidad con los recursos disponibles de manera progresiva y de la legislación nacional aplicable.</w:t>
      </w:r>
      <w:r>
        <w:rPr>
          <w:rFonts w:eastAsia="Times" w:cs="Arial"/>
          <w:szCs w:val="20"/>
          <w:lang w:val="es-MX"/>
        </w:rPr>
        <w:t xml:space="preserve"> A continuación, el Tribunal se </w:t>
      </w:r>
      <w:r>
        <w:rPr>
          <w:rFonts w:eastAsia="Times" w:cs="Arial"/>
          <w:szCs w:val="20"/>
          <w:lang w:val="es-MX"/>
        </w:rPr>
        <w:lastRenderedPageBreak/>
        <w:t>referirá a las obligaciones específicas que surgen para la atención</w:t>
      </w:r>
      <w:r w:rsidR="0052090E">
        <w:rPr>
          <w:rFonts w:eastAsia="Times" w:cs="Arial"/>
          <w:szCs w:val="20"/>
          <w:lang w:val="es-MX"/>
        </w:rPr>
        <w:t xml:space="preserve"> a la salud</w:t>
      </w:r>
      <w:r>
        <w:rPr>
          <w:rFonts w:eastAsia="Times" w:cs="Arial"/>
          <w:szCs w:val="20"/>
          <w:lang w:val="es-MX"/>
        </w:rPr>
        <w:t xml:space="preserve"> para personas </w:t>
      </w:r>
      <w:r w:rsidR="00F369EC">
        <w:rPr>
          <w:rFonts w:eastAsia="Times" w:cs="Arial"/>
          <w:szCs w:val="20"/>
          <w:lang w:val="es-MX"/>
        </w:rPr>
        <w:t>que viven con el VIH</w:t>
      </w:r>
      <w:r>
        <w:rPr>
          <w:rFonts w:eastAsia="Times" w:cs="Arial"/>
          <w:szCs w:val="20"/>
          <w:lang w:val="es-MX"/>
        </w:rPr>
        <w:t>.</w:t>
      </w:r>
    </w:p>
    <w:p w14:paraId="763D78D5" w14:textId="77777777" w:rsidR="0064019F" w:rsidRDefault="0064019F" w:rsidP="00E92CA8">
      <w:pPr>
        <w:rPr>
          <w:rFonts w:eastAsia="Verdana"/>
          <w:b/>
          <w:bCs/>
          <w:i/>
          <w:lang w:eastAsia="x-none"/>
        </w:rPr>
      </w:pPr>
    </w:p>
    <w:p w14:paraId="1DCAC80F" w14:textId="2D8DD3DA" w:rsidR="00FB0EA3" w:rsidRDefault="00AC0BEF" w:rsidP="00E92CA8">
      <w:pPr>
        <w:rPr>
          <w:rFonts w:eastAsia="Verdana"/>
          <w:b/>
          <w:bCs/>
          <w:i/>
          <w:lang w:eastAsia="x-none"/>
        </w:rPr>
      </w:pPr>
      <w:r>
        <w:rPr>
          <w:rFonts w:eastAsia="Verdana"/>
          <w:b/>
          <w:bCs/>
          <w:i/>
          <w:lang w:eastAsia="x-none"/>
        </w:rPr>
        <w:tab/>
      </w:r>
      <w:r>
        <w:rPr>
          <w:rFonts w:eastAsia="Verdana"/>
          <w:b/>
          <w:bCs/>
          <w:i/>
          <w:lang w:eastAsia="x-none"/>
        </w:rPr>
        <w:tab/>
      </w:r>
      <w:r>
        <w:rPr>
          <w:rFonts w:eastAsia="Verdana"/>
          <w:b/>
          <w:bCs/>
          <w:i/>
          <w:lang w:eastAsia="x-none"/>
        </w:rPr>
        <w:tab/>
      </w:r>
      <w:r w:rsidR="00BC75D4" w:rsidRPr="00EE1E0E">
        <w:rPr>
          <w:rFonts w:eastAsia="Verdana"/>
          <w:b/>
          <w:bCs/>
          <w:i/>
          <w:lang w:eastAsia="x-none"/>
        </w:rPr>
        <w:t xml:space="preserve">B.3.1. Estándares sobre el derecho a la salud aplicables a personas </w:t>
      </w:r>
      <w:r w:rsidR="00D712EF">
        <w:rPr>
          <w:rFonts w:eastAsia="Verdana"/>
          <w:b/>
          <w:bCs/>
          <w:i/>
          <w:lang w:eastAsia="x-none"/>
        </w:rPr>
        <w:t xml:space="preserve">que viven </w:t>
      </w:r>
      <w:r w:rsidR="00BC75D4" w:rsidRPr="00EE1E0E">
        <w:rPr>
          <w:rFonts w:eastAsia="Verdana"/>
          <w:b/>
          <w:bCs/>
          <w:i/>
          <w:lang w:eastAsia="x-none"/>
        </w:rPr>
        <w:t>con</w:t>
      </w:r>
      <w:r w:rsidR="00D712EF">
        <w:rPr>
          <w:rFonts w:eastAsia="Verdana"/>
          <w:b/>
          <w:bCs/>
          <w:i/>
          <w:lang w:eastAsia="x-none"/>
        </w:rPr>
        <w:t xml:space="preserve"> el</w:t>
      </w:r>
      <w:r w:rsidR="00BC75D4" w:rsidRPr="00EE1E0E">
        <w:rPr>
          <w:rFonts w:eastAsia="Verdana"/>
          <w:b/>
          <w:bCs/>
          <w:i/>
          <w:lang w:eastAsia="x-none"/>
        </w:rPr>
        <w:t xml:space="preserve"> VIH</w:t>
      </w:r>
    </w:p>
    <w:p w14:paraId="37975A7E" w14:textId="77777777" w:rsidR="00FB0EA3" w:rsidRPr="00FB0EA3" w:rsidRDefault="00FB0EA3" w:rsidP="00E92CA8">
      <w:pPr>
        <w:rPr>
          <w:rFonts w:eastAsia="Verdana"/>
          <w:bCs/>
          <w:lang w:eastAsia="x-none"/>
        </w:rPr>
      </w:pPr>
    </w:p>
    <w:p w14:paraId="3EE90258" w14:textId="344B98C5" w:rsidR="00FB0EA3" w:rsidRPr="00FB0EA3" w:rsidRDefault="00F46845" w:rsidP="00E92CA8">
      <w:pPr>
        <w:pStyle w:val="Prrafodelista"/>
        <w:numPr>
          <w:ilvl w:val="0"/>
          <w:numId w:val="3"/>
        </w:numPr>
        <w:ind w:left="0" w:firstLine="0"/>
        <w:rPr>
          <w:rFonts w:eastAsia="Times New Roman" w:cs="Tahoma"/>
          <w:i/>
          <w:color w:val="000000"/>
          <w:szCs w:val="20"/>
        </w:rPr>
      </w:pPr>
      <w:r w:rsidRPr="00FB0EA3">
        <w:rPr>
          <w:szCs w:val="20"/>
          <w:lang w:val="es-CR"/>
        </w:rPr>
        <w:t>El acceso a medicamentos forma parte indispensable del derecho al disfrute del más alto nivel posible de salud</w:t>
      </w:r>
      <w:r w:rsidRPr="0054147B">
        <w:rPr>
          <w:rStyle w:val="Refdenotaalpie"/>
          <w:lang w:val="es-CR"/>
        </w:rPr>
        <w:footnoteReference w:id="115"/>
      </w:r>
      <w:r w:rsidRPr="00FB0EA3">
        <w:rPr>
          <w:szCs w:val="20"/>
          <w:lang w:val="es-CR"/>
        </w:rPr>
        <w:t xml:space="preserve">. </w:t>
      </w:r>
      <w:r w:rsidR="00E664D9" w:rsidRPr="00FB0EA3">
        <w:rPr>
          <w:szCs w:val="20"/>
          <w:lang w:val="es-CR"/>
        </w:rPr>
        <w:t>Al respecto, l</w:t>
      </w:r>
      <w:r w:rsidR="007D19A0" w:rsidRPr="00FB0EA3">
        <w:rPr>
          <w:szCs w:val="20"/>
          <w:lang w:val="es-CR"/>
        </w:rPr>
        <w:t xml:space="preserve">a Corte ha </w:t>
      </w:r>
      <w:r w:rsidR="003742C5" w:rsidRPr="00FB0EA3">
        <w:rPr>
          <w:szCs w:val="20"/>
          <w:lang w:val="es-CR"/>
        </w:rPr>
        <w:t>retomado el criterio sobre</w:t>
      </w:r>
      <w:r w:rsidRPr="00FB0EA3">
        <w:rPr>
          <w:szCs w:val="20"/>
          <w:lang w:val="es-CR"/>
        </w:rPr>
        <w:t xml:space="preserve"> que el acceso a la medicación en el contexto de pandemias como las de VIH, tuberculosis y paludismo es uno de los elementos fundamentales para alcanzar gradualmente el ejercicio pleno del derecho de toda persona al disfrute del más alto nivel posible de salud física y mental</w:t>
      </w:r>
      <w:r w:rsidRPr="00CD1D0A">
        <w:rPr>
          <w:rStyle w:val="Refdenotaalpie"/>
          <w:lang w:val="es-CR"/>
        </w:rPr>
        <w:footnoteReference w:id="116"/>
      </w:r>
      <w:r w:rsidRPr="00FB0EA3">
        <w:rPr>
          <w:szCs w:val="20"/>
          <w:lang w:val="es-CR"/>
        </w:rPr>
        <w:t xml:space="preserve">. </w:t>
      </w:r>
      <w:r w:rsidR="003742C5" w:rsidRPr="00FB0EA3">
        <w:rPr>
          <w:szCs w:val="20"/>
          <w:lang w:val="es-CR"/>
        </w:rPr>
        <w:t>En el mismo sentido,</w:t>
      </w:r>
      <w:r w:rsidR="007D19A0" w:rsidRPr="00FB0EA3">
        <w:rPr>
          <w:szCs w:val="20"/>
          <w:lang w:val="es-CR"/>
        </w:rPr>
        <w:t xml:space="preserve"> el Tribunal ha considerado que los Estados deben adoptar medidas </w:t>
      </w:r>
      <w:r w:rsidR="00E55B9D" w:rsidRPr="00FB0EA3">
        <w:rPr>
          <w:szCs w:val="20"/>
          <w:lang w:val="es-CR"/>
        </w:rPr>
        <w:t>dirigidas a regular el acceso a</w:t>
      </w:r>
      <w:r w:rsidR="007D19A0" w:rsidRPr="00FB0EA3">
        <w:rPr>
          <w:szCs w:val="20"/>
          <w:lang w:val="es-CR"/>
        </w:rPr>
        <w:t xml:space="preserve"> los bienes, servicios e información relacionados con el VIH, de modo que haya suficientes </w:t>
      </w:r>
      <w:r w:rsidR="00E55B9D" w:rsidRPr="00FB0EA3">
        <w:rPr>
          <w:szCs w:val="20"/>
          <w:lang w:val="es-CR"/>
        </w:rPr>
        <w:t>prestaciones</w:t>
      </w:r>
      <w:r w:rsidR="007D19A0" w:rsidRPr="00FB0EA3">
        <w:rPr>
          <w:szCs w:val="20"/>
          <w:lang w:val="es-CR"/>
        </w:rPr>
        <w:t xml:space="preserve"> y servicios de prevención y atención de los casos de VIH</w:t>
      </w:r>
      <w:r w:rsidR="00E664D9" w:rsidRPr="00FB0EA3">
        <w:rPr>
          <w:szCs w:val="20"/>
          <w:lang w:val="es-CR"/>
        </w:rPr>
        <w:t>. También ha señalado que</w:t>
      </w:r>
      <w:r w:rsidR="007D19A0" w:rsidRPr="00FB0EA3">
        <w:rPr>
          <w:szCs w:val="20"/>
          <w:lang w:val="es-CR"/>
        </w:rPr>
        <w:t xml:space="preserve"> los Estados deben tomar las medidas necesarias para a</w:t>
      </w:r>
      <w:r w:rsidR="00E664D9" w:rsidRPr="00FB0EA3">
        <w:rPr>
          <w:szCs w:val="20"/>
          <w:lang w:val="es-CR"/>
        </w:rPr>
        <w:t>segurar a todas las personas el</w:t>
      </w:r>
      <w:r w:rsidRPr="00FB0EA3">
        <w:rPr>
          <w:szCs w:val="20"/>
        </w:rPr>
        <w:t xml:space="preserve"> suministro de y la accesibilidad a bienes de calidad, servicios e información para la prevención, tratamiento, atención y apoyo del VIH, incluidos la terapia </w:t>
      </w:r>
      <w:proofErr w:type="spellStart"/>
      <w:r w:rsidRPr="00FB0EA3">
        <w:rPr>
          <w:szCs w:val="20"/>
        </w:rPr>
        <w:t>antirretrovírica</w:t>
      </w:r>
      <w:proofErr w:type="spellEnd"/>
      <w:r w:rsidRPr="00FB0EA3">
        <w:rPr>
          <w:szCs w:val="20"/>
        </w:rPr>
        <w:t xml:space="preserve"> y otros medicamentos, pruebas diagnósticas y tecnologías relacionadas seguras y eficaces para la atención preventiva, curativa y paliativa del VIH, de las infecciones oportunistas y de las enfermedades conex</w:t>
      </w:r>
      <w:r w:rsidR="007D19A0" w:rsidRPr="00FB0EA3">
        <w:rPr>
          <w:szCs w:val="20"/>
        </w:rPr>
        <w:t>as</w:t>
      </w:r>
      <w:r w:rsidRPr="00FB0EA3">
        <w:rPr>
          <w:rStyle w:val="Refdenotaalpie"/>
        </w:rPr>
        <w:footnoteReference w:id="117"/>
      </w:r>
      <w:r w:rsidRPr="00FB0EA3">
        <w:rPr>
          <w:szCs w:val="20"/>
        </w:rPr>
        <w:t>.</w:t>
      </w:r>
    </w:p>
    <w:p w14:paraId="70B83213" w14:textId="77777777" w:rsidR="00FB0EA3" w:rsidRPr="00FB0EA3" w:rsidRDefault="00FB0EA3" w:rsidP="00E92CA8">
      <w:pPr>
        <w:pStyle w:val="Prrafodelista"/>
        <w:ind w:left="0"/>
        <w:rPr>
          <w:rFonts w:eastAsia="Times New Roman" w:cs="Tahoma"/>
          <w:color w:val="000000"/>
          <w:szCs w:val="20"/>
        </w:rPr>
      </w:pPr>
    </w:p>
    <w:p w14:paraId="2E92F37D" w14:textId="6C202DA5" w:rsidR="00F46845" w:rsidRPr="00E44260" w:rsidRDefault="00762D6A" w:rsidP="00037DF9">
      <w:pPr>
        <w:pStyle w:val="Prrafodelista"/>
        <w:numPr>
          <w:ilvl w:val="0"/>
          <w:numId w:val="3"/>
        </w:numPr>
        <w:ind w:left="0" w:firstLine="0"/>
        <w:rPr>
          <w:rFonts w:cs="Vrinda"/>
        </w:rPr>
      </w:pPr>
      <w:r w:rsidRPr="00E44260">
        <w:t>En este sentido, la Corte advierte que la Asamblea General de la ONU en la agenda 2030 para el Desarrollo Sostenible (en adelante también “Agenda 2030”)</w:t>
      </w:r>
      <w:r w:rsidRPr="00E44260">
        <w:rPr>
          <w:rFonts w:cs="Vrinda"/>
        </w:rPr>
        <w:t xml:space="preserve"> previó el objetivo de lograr una vida sana y promover el bienestar universal de las personas en todas las edades, contemplando las condiciones de vulnerabilidad que presentan diferentes personas como aquellas que viven con VIH/SIDA. De esta forma, los Estados, incluido Guatemala, acordaron realizar las acciones necesarias para que para el año 2030 se ponga fin a epidemias como el SIDA y a otras enfermedades transmisibles como el VIH. Además, los Estados se comprometieron a lograr la cobertura sanitaria universal, la cual incluye el acceso a medicamentos y a vacunas para todos</w:t>
      </w:r>
      <w:r w:rsidRPr="00E44260">
        <w:rPr>
          <w:rStyle w:val="Refdenotaalpie"/>
        </w:rPr>
        <w:footnoteReference w:id="118"/>
      </w:r>
      <w:r w:rsidRPr="00E44260">
        <w:rPr>
          <w:rFonts w:cs="Vrinda"/>
        </w:rPr>
        <w:t>.</w:t>
      </w:r>
    </w:p>
    <w:p w14:paraId="704D0508" w14:textId="77777777" w:rsidR="00E92CA8" w:rsidRPr="00A13B2D" w:rsidRDefault="00E92CA8" w:rsidP="00E92CA8">
      <w:pPr>
        <w:pStyle w:val="Prrafodelista"/>
        <w:ind w:left="0"/>
        <w:rPr>
          <w:rFonts w:eastAsia="Times New Roman" w:cs="Tahoma"/>
          <w:i/>
          <w:color w:val="000000"/>
          <w:szCs w:val="20"/>
        </w:rPr>
      </w:pPr>
    </w:p>
    <w:p w14:paraId="484D5F1D" w14:textId="175DDDE6" w:rsidR="00545246" w:rsidRPr="00E92CA8" w:rsidRDefault="007D19A0" w:rsidP="00E92CA8">
      <w:pPr>
        <w:pStyle w:val="Estilo1"/>
        <w:numPr>
          <w:ilvl w:val="0"/>
          <w:numId w:val="3"/>
        </w:numPr>
        <w:tabs>
          <w:tab w:val="left" w:pos="709"/>
          <w:tab w:val="left" w:pos="1134"/>
        </w:tabs>
        <w:spacing w:after="0"/>
        <w:ind w:left="0" w:right="-4" w:firstLine="0"/>
        <w:rPr>
          <w:rFonts w:cs="Times New Roman"/>
          <w:i w:val="0"/>
          <w:szCs w:val="20"/>
          <w:lang w:val="es-CR"/>
        </w:rPr>
      </w:pPr>
      <w:r w:rsidRPr="00E55B9D">
        <w:rPr>
          <w:i w:val="0"/>
          <w:szCs w:val="20"/>
          <w:lang w:val="es-CR"/>
        </w:rPr>
        <w:t xml:space="preserve">La Corte también ha </w:t>
      </w:r>
      <w:r w:rsidR="00E664D9" w:rsidRPr="00E55B9D">
        <w:rPr>
          <w:i w:val="0"/>
          <w:szCs w:val="20"/>
          <w:lang w:val="es-CR"/>
        </w:rPr>
        <w:t xml:space="preserve">señalado </w:t>
      </w:r>
      <w:r w:rsidR="00F46845" w:rsidRPr="00E55B9D">
        <w:rPr>
          <w:i w:val="0"/>
          <w:szCs w:val="20"/>
          <w:lang w:val="es-CR"/>
        </w:rPr>
        <w:t>que una respuesta eficaz al VIH requiere un enfoque integral que comprende una secuencia continua de prevención</w:t>
      </w:r>
      <w:r w:rsidRPr="00E55B9D">
        <w:rPr>
          <w:i w:val="0"/>
          <w:szCs w:val="20"/>
          <w:lang w:val="es-CR"/>
        </w:rPr>
        <w:t xml:space="preserve">, tratamiento, atención y </w:t>
      </w:r>
      <w:r w:rsidRPr="00E55B9D">
        <w:rPr>
          <w:i w:val="0"/>
          <w:szCs w:val="20"/>
          <w:lang w:val="es-CR"/>
        </w:rPr>
        <w:lastRenderedPageBreak/>
        <w:t>apoyo</w:t>
      </w:r>
      <w:r w:rsidR="00E27DCD">
        <w:rPr>
          <w:rStyle w:val="Refdenotaalpie"/>
          <w:i w:val="0"/>
          <w:lang w:val="es-CR"/>
        </w:rPr>
        <w:footnoteReference w:id="119"/>
      </w:r>
      <w:r w:rsidR="00545246" w:rsidRPr="00E55B9D">
        <w:rPr>
          <w:i w:val="0"/>
          <w:szCs w:val="20"/>
        </w:rPr>
        <w:t xml:space="preserve">. En primer lugar, </w:t>
      </w:r>
      <w:r w:rsidR="00545246" w:rsidRPr="00E55B9D">
        <w:rPr>
          <w:rFonts w:eastAsia="Times" w:cs="Arial"/>
          <w:i w:val="0"/>
          <w:szCs w:val="20"/>
          <w:lang w:val="es-MX"/>
        </w:rPr>
        <w:t>esta obligación requiere la disponibilidad en cantidades suficientes de antirretrovirales y otros productos farmacéuticos para tratar el VIH o las enfermedades oportunistas. En ese sentido, el perito Ricardo Boza Cordero explicó que el tratamiento antirretroviral permite controlar el virus en los diferentes fluidos del organismo, pero que no lo elimina. Por esta razón, el tratamiento antirretroviral debe ser estrictamente vigilado y darse por toda la vida después de que la enfermedad haya sido diagnosticada, pues de suspenderse el virus sale de las células y se divide con gran rapidez, con el agravante de que las cepas virales serán resistentes a los fármacos que un paciente esté tomando</w:t>
      </w:r>
      <w:r w:rsidR="00545246" w:rsidRPr="00E55B9D">
        <w:rPr>
          <w:rStyle w:val="Refdenotaalpie"/>
          <w:rFonts w:eastAsia="Times"/>
          <w:i w:val="0"/>
          <w:lang w:val="es-MX"/>
        </w:rPr>
        <w:footnoteReference w:id="120"/>
      </w:r>
      <w:r w:rsidR="00545246" w:rsidRPr="00E55B9D">
        <w:rPr>
          <w:rFonts w:eastAsia="Times" w:cs="Arial"/>
          <w:i w:val="0"/>
          <w:szCs w:val="20"/>
          <w:lang w:val="es-MX"/>
        </w:rPr>
        <w:t>. En consecuencia, el tratamiento antirretroviral debe ser permanente y constante de acuerdo con el estado de salud del paciente y con sus requerimientos médicos y clínicos.</w:t>
      </w:r>
    </w:p>
    <w:p w14:paraId="1055199E" w14:textId="77777777" w:rsidR="00E92CA8" w:rsidRPr="00E55B9D" w:rsidRDefault="00E92CA8" w:rsidP="00E92CA8">
      <w:pPr>
        <w:pStyle w:val="Estilo1"/>
        <w:tabs>
          <w:tab w:val="left" w:pos="709"/>
          <w:tab w:val="left" w:pos="1134"/>
        </w:tabs>
        <w:spacing w:after="0"/>
        <w:ind w:left="0" w:right="-4" w:firstLine="0"/>
        <w:rPr>
          <w:rFonts w:cs="Times New Roman"/>
          <w:i w:val="0"/>
          <w:szCs w:val="20"/>
          <w:lang w:val="es-CR"/>
        </w:rPr>
      </w:pPr>
    </w:p>
    <w:p w14:paraId="64781C64" w14:textId="386A210C" w:rsidR="00545246" w:rsidRPr="00E92CA8" w:rsidRDefault="00545246" w:rsidP="00E92CA8">
      <w:pPr>
        <w:pStyle w:val="Estilo1"/>
        <w:numPr>
          <w:ilvl w:val="0"/>
          <w:numId w:val="3"/>
        </w:numPr>
        <w:tabs>
          <w:tab w:val="left" w:pos="709"/>
          <w:tab w:val="left" w:pos="1134"/>
        </w:tabs>
        <w:spacing w:after="0"/>
        <w:ind w:left="0" w:right="-4" w:firstLine="0"/>
        <w:rPr>
          <w:rFonts w:cs="Times New Roman"/>
          <w:i w:val="0"/>
          <w:szCs w:val="20"/>
          <w:lang w:val="es-CR"/>
        </w:rPr>
      </w:pPr>
      <w:r w:rsidRPr="00E55B9D">
        <w:rPr>
          <w:rFonts w:eastAsia="Times" w:cs="Arial"/>
          <w:i w:val="0"/>
          <w:szCs w:val="20"/>
          <w:lang w:val="es-MX"/>
        </w:rPr>
        <w:t>En segundo lugar, la Corte recuerda que la obligación del Estado de garantizar el derecho a la salud de personas</w:t>
      </w:r>
      <w:r w:rsidR="003A5AB3">
        <w:rPr>
          <w:rFonts w:eastAsia="Times" w:cs="Arial"/>
          <w:i w:val="0"/>
          <w:szCs w:val="20"/>
          <w:lang w:val="es-MX"/>
        </w:rPr>
        <w:t xml:space="preserve"> que viven</w:t>
      </w:r>
      <w:r w:rsidRPr="00E55B9D">
        <w:rPr>
          <w:rFonts w:eastAsia="Times" w:cs="Arial"/>
          <w:i w:val="0"/>
          <w:szCs w:val="20"/>
          <w:lang w:val="es-MX"/>
        </w:rPr>
        <w:t xml:space="preserve"> con</w:t>
      </w:r>
      <w:r w:rsidR="003A5AB3">
        <w:rPr>
          <w:rFonts w:eastAsia="Times" w:cs="Arial"/>
          <w:i w:val="0"/>
          <w:szCs w:val="20"/>
          <w:lang w:val="es-MX"/>
        </w:rPr>
        <w:t xml:space="preserve"> el</w:t>
      </w:r>
      <w:r w:rsidRPr="00E55B9D">
        <w:rPr>
          <w:rFonts w:eastAsia="Times" w:cs="Arial"/>
          <w:i w:val="0"/>
          <w:szCs w:val="20"/>
          <w:lang w:val="es-MX"/>
        </w:rPr>
        <w:t xml:space="preserve"> VIH requiere la realización de pruebas diagnósticas para la atención de la infección, así como el diagnóstico y tratamiento de </w:t>
      </w:r>
      <w:r w:rsidR="003A5AB3">
        <w:rPr>
          <w:rFonts w:eastAsia="Times" w:cs="Arial"/>
          <w:i w:val="0"/>
          <w:szCs w:val="20"/>
          <w:lang w:val="es-MX"/>
        </w:rPr>
        <w:t>las</w:t>
      </w:r>
      <w:r w:rsidRPr="00E55B9D">
        <w:rPr>
          <w:rFonts w:eastAsia="Times" w:cs="Arial"/>
          <w:i w:val="0"/>
          <w:szCs w:val="20"/>
          <w:lang w:val="es-MX"/>
        </w:rPr>
        <w:t xml:space="preserve"> enfermedades oportunistas</w:t>
      </w:r>
      <w:r w:rsidR="003A5AB3">
        <w:rPr>
          <w:rFonts w:eastAsia="Times" w:cs="Arial"/>
          <w:i w:val="0"/>
          <w:szCs w:val="20"/>
          <w:lang w:val="es-MX"/>
        </w:rPr>
        <w:t xml:space="preserve"> y conexas</w:t>
      </w:r>
      <w:r w:rsidRPr="00E55B9D">
        <w:rPr>
          <w:rFonts w:eastAsia="Times" w:cs="Arial"/>
          <w:i w:val="0"/>
          <w:szCs w:val="20"/>
          <w:lang w:val="es-MX"/>
        </w:rPr>
        <w:t xml:space="preserve"> que puedan surgir</w:t>
      </w:r>
      <w:r w:rsidRPr="00E55B9D">
        <w:rPr>
          <w:rStyle w:val="Refdenotaalpie"/>
          <w:rFonts w:eastAsia="Times"/>
          <w:i w:val="0"/>
          <w:lang w:val="es-MX"/>
        </w:rPr>
        <w:footnoteReference w:id="121"/>
      </w:r>
      <w:r w:rsidRPr="00E55B9D">
        <w:rPr>
          <w:rFonts w:eastAsia="Times" w:cs="Arial"/>
          <w:i w:val="0"/>
          <w:szCs w:val="20"/>
          <w:lang w:val="es-MX"/>
        </w:rPr>
        <w:t>. La realización de pruebas de laboratorio que permiten la cuantificación de linfocitos TCD4+ y TCD8+ en sangre periférica, así como de la cantidad del VIH en el plasma, es fundamental para el adecuado tratamiento antirretroviral</w:t>
      </w:r>
      <w:r w:rsidRPr="00E55B9D">
        <w:rPr>
          <w:rStyle w:val="Refdenotaalpie"/>
          <w:rFonts w:eastAsia="Times"/>
          <w:i w:val="0"/>
          <w:lang w:val="es-MX"/>
        </w:rPr>
        <w:footnoteReference w:id="122"/>
      </w:r>
      <w:r w:rsidRPr="00E55B9D">
        <w:rPr>
          <w:rFonts w:eastAsia="Times" w:cs="Arial"/>
          <w:i w:val="0"/>
          <w:szCs w:val="20"/>
          <w:lang w:val="es-MX"/>
        </w:rPr>
        <w:t xml:space="preserve">. De esta forma, los exámenes CD4 y de carga viral deben ser realizados cada 6 meses o un año a todos los pacientes </w:t>
      </w:r>
      <w:r w:rsidR="00CE7943">
        <w:rPr>
          <w:rFonts w:eastAsia="Times" w:cs="Arial"/>
          <w:i w:val="0"/>
          <w:szCs w:val="20"/>
          <w:lang w:val="es-MX"/>
        </w:rPr>
        <w:t>que viven con el</w:t>
      </w:r>
      <w:r w:rsidRPr="00E55B9D">
        <w:rPr>
          <w:rFonts w:eastAsia="Times" w:cs="Arial"/>
          <w:i w:val="0"/>
          <w:szCs w:val="20"/>
          <w:lang w:val="es-MX"/>
        </w:rPr>
        <w:t xml:space="preserve"> VIH</w:t>
      </w:r>
      <w:r w:rsidRPr="00E55B9D">
        <w:rPr>
          <w:rStyle w:val="Refdenotaalpie"/>
          <w:rFonts w:eastAsia="Times"/>
          <w:i w:val="0"/>
          <w:lang w:val="es-MX"/>
        </w:rPr>
        <w:footnoteReference w:id="123"/>
      </w:r>
      <w:r w:rsidRPr="00E55B9D">
        <w:rPr>
          <w:rFonts w:eastAsia="Times" w:cs="Arial"/>
          <w:i w:val="0"/>
          <w:szCs w:val="20"/>
          <w:lang w:val="es-MX"/>
        </w:rPr>
        <w:t xml:space="preserve">, y los exámenes de genotipo deberán ser realizados en tanto un paciente tenga un tratamiento con medicamentos para conocer </w:t>
      </w:r>
      <w:r w:rsidR="003A5AB3">
        <w:rPr>
          <w:rFonts w:eastAsia="Times" w:cs="Arial"/>
          <w:i w:val="0"/>
          <w:szCs w:val="20"/>
          <w:lang w:val="es-MX"/>
        </w:rPr>
        <w:t>la posible</w:t>
      </w:r>
      <w:r w:rsidRPr="00E55B9D">
        <w:rPr>
          <w:rFonts w:eastAsia="Times" w:cs="Arial"/>
          <w:i w:val="0"/>
          <w:szCs w:val="20"/>
          <w:lang w:val="es-MX"/>
        </w:rPr>
        <w:t xml:space="preserve"> resistencia a medicamentos antir</w:t>
      </w:r>
      <w:r w:rsidR="00461BB6">
        <w:rPr>
          <w:rFonts w:eastAsia="Times" w:cs="Arial"/>
          <w:i w:val="0"/>
          <w:szCs w:val="20"/>
          <w:lang w:val="es-MX"/>
        </w:rPr>
        <w:t>r</w:t>
      </w:r>
      <w:r w:rsidRPr="00E55B9D">
        <w:rPr>
          <w:rFonts w:eastAsia="Times" w:cs="Arial"/>
          <w:i w:val="0"/>
          <w:szCs w:val="20"/>
          <w:lang w:val="es-MX"/>
        </w:rPr>
        <w:t>etrovirales</w:t>
      </w:r>
      <w:r w:rsidRPr="00E55B9D">
        <w:rPr>
          <w:rStyle w:val="Refdenotaalpie"/>
          <w:rFonts w:eastAsia="Times"/>
          <w:i w:val="0"/>
          <w:lang w:val="es-MX"/>
        </w:rPr>
        <w:footnoteReference w:id="124"/>
      </w:r>
      <w:r w:rsidRPr="00E55B9D">
        <w:rPr>
          <w:rFonts w:eastAsia="Times" w:cs="Arial"/>
          <w:i w:val="0"/>
          <w:szCs w:val="20"/>
          <w:lang w:val="es-MX"/>
        </w:rPr>
        <w:t>. Adicionalmente, el tratamiento se debe extender a aquellas enfermedades oportunistas</w:t>
      </w:r>
      <w:r w:rsidR="003A5AB3">
        <w:rPr>
          <w:rFonts w:eastAsia="Times" w:cs="Arial"/>
          <w:i w:val="0"/>
          <w:szCs w:val="20"/>
          <w:lang w:val="es-MX"/>
        </w:rPr>
        <w:t xml:space="preserve"> y conexas</w:t>
      </w:r>
      <w:r w:rsidRPr="00E55B9D">
        <w:rPr>
          <w:rStyle w:val="Refdenotaalpie"/>
          <w:rFonts w:eastAsia="Times"/>
          <w:i w:val="0"/>
          <w:lang w:val="es-MX"/>
        </w:rPr>
        <w:footnoteReference w:id="125"/>
      </w:r>
      <w:r w:rsidRPr="00E55B9D">
        <w:rPr>
          <w:rFonts w:eastAsia="Times" w:cs="Arial"/>
          <w:i w:val="0"/>
          <w:szCs w:val="20"/>
          <w:lang w:val="es-MX"/>
        </w:rPr>
        <w:t>, las cuales aparecen cuando las defensas de un paciente están muy bajas</w:t>
      </w:r>
      <w:r w:rsidRPr="00E55B9D">
        <w:rPr>
          <w:rStyle w:val="Refdenotaalpie"/>
          <w:rFonts w:eastAsia="Times"/>
          <w:i w:val="0"/>
          <w:lang w:val="es-MX"/>
        </w:rPr>
        <w:footnoteReference w:id="126"/>
      </w:r>
      <w:r w:rsidRPr="00E55B9D">
        <w:rPr>
          <w:rFonts w:eastAsia="Times" w:cs="Arial"/>
          <w:i w:val="0"/>
          <w:szCs w:val="20"/>
          <w:lang w:val="es-MX"/>
        </w:rPr>
        <w:t>.</w:t>
      </w:r>
    </w:p>
    <w:p w14:paraId="3A2578C8" w14:textId="77777777" w:rsidR="00E92CA8" w:rsidRPr="00E55B9D" w:rsidRDefault="00E92CA8" w:rsidP="00E92CA8">
      <w:pPr>
        <w:pStyle w:val="Estilo1"/>
        <w:tabs>
          <w:tab w:val="left" w:pos="709"/>
          <w:tab w:val="left" w:pos="1134"/>
        </w:tabs>
        <w:spacing w:after="0"/>
        <w:ind w:left="0" w:right="-4" w:firstLine="0"/>
        <w:rPr>
          <w:rFonts w:cs="Times New Roman"/>
          <w:i w:val="0"/>
          <w:szCs w:val="20"/>
          <w:lang w:val="es-CR"/>
        </w:rPr>
      </w:pPr>
    </w:p>
    <w:p w14:paraId="138ADF4E" w14:textId="31DFE158" w:rsidR="0053795E" w:rsidRDefault="0053795E"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55B9D">
        <w:rPr>
          <w:rFonts w:eastAsia="Times" w:cs="Arial"/>
          <w:i w:val="0"/>
          <w:szCs w:val="20"/>
          <w:lang w:val="es-MX"/>
        </w:rPr>
        <w:t>En tercer lugar, la Corte reitera que la atención para personas</w:t>
      </w:r>
      <w:r w:rsidR="00CE7943">
        <w:rPr>
          <w:rFonts w:eastAsia="Times" w:cs="Arial"/>
          <w:i w:val="0"/>
          <w:szCs w:val="20"/>
          <w:lang w:val="es-MX"/>
        </w:rPr>
        <w:t xml:space="preserve"> que viven</w:t>
      </w:r>
      <w:r w:rsidRPr="00E55B9D">
        <w:rPr>
          <w:rFonts w:eastAsia="Times" w:cs="Arial"/>
          <w:i w:val="0"/>
          <w:szCs w:val="20"/>
          <w:lang w:val="es-MX"/>
        </w:rPr>
        <w:t xml:space="preserve"> con</w:t>
      </w:r>
      <w:r w:rsidR="00CE7943">
        <w:rPr>
          <w:rFonts w:eastAsia="Times" w:cs="Arial"/>
          <w:i w:val="0"/>
          <w:szCs w:val="20"/>
          <w:lang w:val="es-MX"/>
        </w:rPr>
        <w:t xml:space="preserve"> el</w:t>
      </w:r>
      <w:r w:rsidRPr="00E55B9D">
        <w:rPr>
          <w:rFonts w:eastAsia="Times" w:cs="Arial"/>
          <w:i w:val="0"/>
          <w:szCs w:val="20"/>
          <w:lang w:val="es-MX"/>
        </w:rPr>
        <w:t xml:space="preserve"> VIH incluye la buena alimentación y apoyo social y psicológico, así como atención familiar, comunitaria y domiciliaria</w:t>
      </w:r>
      <w:r w:rsidRPr="00E55B9D">
        <w:rPr>
          <w:rStyle w:val="Refdenotaalpie"/>
          <w:rFonts w:eastAsia="Times"/>
          <w:i w:val="0"/>
          <w:lang w:val="es-MX"/>
        </w:rPr>
        <w:footnoteReference w:id="127"/>
      </w:r>
      <w:r w:rsidRPr="00E55B9D">
        <w:rPr>
          <w:rFonts w:eastAsia="Times" w:cs="Arial"/>
          <w:i w:val="0"/>
          <w:szCs w:val="20"/>
          <w:lang w:val="es-MX"/>
        </w:rPr>
        <w:t xml:space="preserve">. En efecto, la atención y apoyo a personas </w:t>
      </w:r>
      <w:r w:rsidR="003A5AB3">
        <w:rPr>
          <w:rFonts w:eastAsia="Times" w:cs="Arial"/>
          <w:i w:val="0"/>
          <w:szCs w:val="20"/>
          <w:lang w:val="es-MX"/>
        </w:rPr>
        <w:t xml:space="preserve">que viven </w:t>
      </w:r>
      <w:r w:rsidRPr="00E55B9D">
        <w:rPr>
          <w:rFonts w:eastAsia="Times" w:cs="Arial"/>
          <w:i w:val="0"/>
          <w:szCs w:val="20"/>
          <w:lang w:val="es-MX"/>
        </w:rPr>
        <w:t>con</w:t>
      </w:r>
      <w:r w:rsidR="003A5AB3">
        <w:rPr>
          <w:rFonts w:eastAsia="Times" w:cs="Arial"/>
          <w:i w:val="0"/>
          <w:szCs w:val="20"/>
          <w:lang w:val="es-MX"/>
        </w:rPr>
        <w:t xml:space="preserve"> el</w:t>
      </w:r>
      <w:r w:rsidRPr="00E55B9D">
        <w:rPr>
          <w:rFonts w:eastAsia="Times" w:cs="Arial"/>
          <w:i w:val="0"/>
          <w:szCs w:val="20"/>
          <w:lang w:val="es-MX"/>
        </w:rPr>
        <w:t xml:space="preserve"> VIH no se limita a los medicamentos y los sistemas formales de atención sanitaria, y en cambio </w:t>
      </w:r>
      <w:r w:rsidRPr="00E55B9D">
        <w:rPr>
          <w:rFonts w:eastAsia="Times" w:cs="Arial"/>
          <w:i w:val="0"/>
          <w:szCs w:val="20"/>
          <w:lang w:val="es-MX"/>
        </w:rPr>
        <w:lastRenderedPageBreak/>
        <w:t xml:space="preserve">exigen </w:t>
      </w:r>
      <w:r w:rsidR="003A5AB3">
        <w:rPr>
          <w:rFonts w:eastAsia="Times" w:cs="Arial"/>
          <w:i w:val="0"/>
          <w:szCs w:val="20"/>
          <w:lang w:val="es-MX"/>
        </w:rPr>
        <w:t xml:space="preserve">tener en cuenta </w:t>
      </w:r>
      <w:r w:rsidRPr="00E55B9D">
        <w:rPr>
          <w:rFonts w:eastAsia="Times" w:cs="Arial"/>
          <w:i w:val="0"/>
          <w:szCs w:val="20"/>
          <w:lang w:val="es-MX"/>
        </w:rPr>
        <w:t>las distintas necesidades de las personas que viven con el VIH</w:t>
      </w:r>
      <w:r w:rsidRPr="00E55B9D">
        <w:rPr>
          <w:rStyle w:val="Refdenotaalpie"/>
          <w:rFonts w:eastAsia="Times"/>
          <w:i w:val="0"/>
          <w:lang w:val="es-MX"/>
        </w:rPr>
        <w:footnoteReference w:id="128"/>
      </w:r>
      <w:r w:rsidRPr="00E55B9D">
        <w:rPr>
          <w:rFonts w:eastAsia="Times" w:cs="Arial"/>
          <w:i w:val="0"/>
          <w:szCs w:val="20"/>
          <w:lang w:val="es-MX"/>
        </w:rPr>
        <w:t xml:space="preserve">. En particular, el apoyo social, que incluye las actividades para el suministro de alimento, el apoyo emocional, y el asesoramiento psicosocial, mejora el cumplimiento de la terapia antirretroviral y mejora la calidad de vida de las personas </w:t>
      </w:r>
      <w:r w:rsidR="003A5AB3">
        <w:rPr>
          <w:rFonts w:eastAsia="Times" w:cs="Arial"/>
          <w:i w:val="0"/>
          <w:szCs w:val="20"/>
          <w:lang w:val="es-MX"/>
        </w:rPr>
        <w:t xml:space="preserve">que viven </w:t>
      </w:r>
      <w:r w:rsidRPr="00E55B9D">
        <w:rPr>
          <w:rFonts w:eastAsia="Times" w:cs="Arial"/>
          <w:i w:val="0"/>
          <w:szCs w:val="20"/>
          <w:lang w:val="es-MX"/>
        </w:rPr>
        <w:t>con</w:t>
      </w:r>
      <w:r w:rsidR="003A5AB3">
        <w:rPr>
          <w:rFonts w:eastAsia="Times" w:cs="Arial"/>
          <w:i w:val="0"/>
          <w:szCs w:val="20"/>
          <w:lang w:val="es-MX"/>
        </w:rPr>
        <w:t xml:space="preserve"> el</w:t>
      </w:r>
      <w:r w:rsidRPr="00E55B9D">
        <w:rPr>
          <w:rFonts w:eastAsia="Times" w:cs="Arial"/>
          <w:i w:val="0"/>
          <w:szCs w:val="20"/>
          <w:lang w:val="es-MX"/>
        </w:rPr>
        <w:t xml:space="preserve"> VIH</w:t>
      </w:r>
      <w:r w:rsidRPr="00E55B9D">
        <w:rPr>
          <w:rStyle w:val="Refdenotaalpie"/>
          <w:rFonts w:eastAsia="Times"/>
          <w:i w:val="0"/>
          <w:lang w:val="es-MX"/>
        </w:rPr>
        <w:footnoteReference w:id="129"/>
      </w:r>
      <w:r w:rsidRPr="00E55B9D">
        <w:rPr>
          <w:rFonts w:eastAsia="Times" w:cs="Arial"/>
          <w:i w:val="0"/>
          <w:szCs w:val="20"/>
          <w:lang w:val="es-MX"/>
        </w:rPr>
        <w:t>. En el mismo sentido, el apoyo nutricional contribuye para mantener el sistema inmunitario, gestionar las infecciones relacionadas con el VIH, mejorar el tratamiento para el VIH, sostener niveles de actividad física, y prestar apoyo a una calidad de vida óptima</w:t>
      </w:r>
      <w:r w:rsidRPr="00E55B9D">
        <w:rPr>
          <w:rStyle w:val="Refdenotaalpie"/>
          <w:rFonts w:eastAsia="Times"/>
          <w:i w:val="0"/>
          <w:lang w:val="es-MX"/>
        </w:rPr>
        <w:footnoteReference w:id="130"/>
      </w:r>
      <w:r w:rsidRPr="00E55B9D">
        <w:rPr>
          <w:rFonts w:eastAsia="Times" w:cs="Arial"/>
          <w:i w:val="0"/>
          <w:szCs w:val="20"/>
          <w:lang w:val="es-MX"/>
        </w:rPr>
        <w:t>.</w:t>
      </w:r>
    </w:p>
    <w:p w14:paraId="24231606" w14:textId="77777777" w:rsidR="00E92CA8" w:rsidRPr="00E55B9D" w:rsidRDefault="00E92CA8" w:rsidP="00E92CA8">
      <w:pPr>
        <w:pStyle w:val="Estilo1"/>
        <w:tabs>
          <w:tab w:val="left" w:pos="709"/>
          <w:tab w:val="left" w:pos="1134"/>
        </w:tabs>
        <w:spacing w:after="0"/>
        <w:ind w:left="0" w:right="-4" w:firstLine="0"/>
        <w:rPr>
          <w:rFonts w:eastAsia="Times" w:cs="Arial"/>
          <w:i w:val="0"/>
          <w:szCs w:val="20"/>
          <w:lang w:val="es-MX"/>
        </w:rPr>
      </w:pPr>
    </w:p>
    <w:p w14:paraId="268FBF29" w14:textId="55416BD5" w:rsidR="00B913BF" w:rsidRPr="00E92CA8" w:rsidRDefault="007D19A0" w:rsidP="00E92CA8">
      <w:pPr>
        <w:pStyle w:val="Estilo1"/>
        <w:numPr>
          <w:ilvl w:val="0"/>
          <w:numId w:val="3"/>
        </w:numPr>
        <w:tabs>
          <w:tab w:val="left" w:pos="709"/>
          <w:tab w:val="left" w:pos="1134"/>
        </w:tabs>
        <w:spacing w:after="0"/>
        <w:ind w:left="0" w:right="-4" w:firstLine="0"/>
        <w:rPr>
          <w:rFonts w:cs="Times New Roman"/>
          <w:i w:val="0"/>
          <w:szCs w:val="20"/>
          <w:lang w:val="es-CR"/>
        </w:rPr>
      </w:pPr>
      <w:r w:rsidRPr="00E55B9D">
        <w:rPr>
          <w:i w:val="0"/>
          <w:szCs w:val="20"/>
        </w:rPr>
        <w:t xml:space="preserve">Asimismo, </w:t>
      </w:r>
      <w:r w:rsidR="003742C5" w:rsidRPr="00E55B9D">
        <w:rPr>
          <w:i w:val="0"/>
          <w:szCs w:val="20"/>
        </w:rPr>
        <w:t xml:space="preserve">el Tribunal ha reiterado </w:t>
      </w:r>
      <w:r w:rsidRPr="00E55B9D">
        <w:rPr>
          <w:i w:val="0"/>
          <w:szCs w:val="20"/>
        </w:rPr>
        <w:t>que l</w:t>
      </w:r>
      <w:r w:rsidR="00F46845" w:rsidRPr="00E55B9D">
        <w:rPr>
          <w:i w:val="0"/>
          <w:szCs w:val="20"/>
        </w:rPr>
        <w:t xml:space="preserve">as tecnologías de prevención del VIH abarcan los preservativos, lubricantes, material de inyección estéril, fármacos </w:t>
      </w:r>
      <w:proofErr w:type="spellStart"/>
      <w:r w:rsidR="00F46845" w:rsidRPr="00E55B9D">
        <w:rPr>
          <w:i w:val="0"/>
          <w:szCs w:val="20"/>
        </w:rPr>
        <w:t>antirretrovíricos</w:t>
      </w:r>
      <w:proofErr w:type="spellEnd"/>
      <w:r w:rsidR="00F46845" w:rsidRPr="00E55B9D">
        <w:rPr>
          <w:i w:val="0"/>
          <w:szCs w:val="20"/>
        </w:rPr>
        <w:t xml:space="preserve"> (por ej., para revenir la transmisión materno</w:t>
      </w:r>
      <w:r w:rsidR="003A5AB3">
        <w:rPr>
          <w:i w:val="0"/>
          <w:szCs w:val="20"/>
        </w:rPr>
        <w:t xml:space="preserve"> infantil o como profilaxis </w:t>
      </w:r>
      <w:proofErr w:type="spellStart"/>
      <w:r w:rsidR="003A5AB3">
        <w:rPr>
          <w:i w:val="0"/>
          <w:szCs w:val="20"/>
        </w:rPr>
        <w:t>pos</w:t>
      </w:r>
      <w:r w:rsidR="00F46845" w:rsidRPr="00E55B9D">
        <w:rPr>
          <w:i w:val="0"/>
          <w:szCs w:val="20"/>
        </w:rPr>
        <w:t>exposición</w:t>
      </w:r>
      <w:proofErr w:type="spellEnd"/>
      <w:r w:rsidR="00F46845" w:rsidRPr="00E55B9D">
        <w:rPr>
          <w:i w:val="0"/>
          <w:szCs w:val="20"/>
        </w:rPr>
        <w:t>) y, una vez desarrollados, microbicidas y vacunas seguros y eficaces. El acceso universal, basado en los principios de los derechos humanos, requiere que todos estos bienes, servicios e información no sólo estén disponibles y sean aceptables y de buena calidad, sino también que estén al alcance físico de todos y sean asequibles para todos</w:t>
      </w:r>
      <w:r w:rsidR="00F46845" w:rsidRPr="00E55B9D">
        <w:rPr>
          <w:rStyle w:val="Refdenotaalpie"/>
          <w:i w:val="0"/>
        </w:rPr>
        <w:footnoteReference w:id="131"/>
      </w:r>
      <w:r w:rsidR="00F46845" w:rsidRPr="00E55B9D">
        <w:rPr>
          <w:i w:val="0"/>
          <w:szCs w:val="20"/>
        </w:rPr>
        <w:t>.</w:t>
      </w:r>
      <w:r w:rsidR="00F860AF" w:rsidRPr="00E55B9D">
        <w:rPr>
          <w:i w:val="0"/>
          <w:szCs w:val="20"/>
        </w:rPr>
        <w:t xml:space="preserve"> De igual forma, la Corte considera que el acceso a un tratamiento médico </w:t>
      </w:r>
      <w:r w:rsidR="003A5AB3">
        <w:rPr>
          <w:i w:val="0"/>
          <w:szCs w:val="20"/>
        </w:rPr>
        <w:t xml:space="preserve">debe tener </w:t>
      </w:r>
      <w:r w:rsidR="00F860AF" w:rsidRPr="00E55B9D">
        <w:rPr>
          <w:i w:val="0"/>
          <w:szCs w:val="20"/>
        </w:rPr>
        <w:t>en consideración a los avances técnicos de la ciencia médica.</w:t>
      </w:r>
    </w:p>
    <w:p w14:paraId="75766898" w14:textId="77777777" w:rsidR="00E92CA8" w:rsidRPr="00E55B9D" w:rsidRDefault="00E92CA8" w:rsidP="00E92CA8">
      <w:pPr>
        <w:pStyle w:val="Estilo1"/>
        <w:tabs>
          <w:tab w:val="left" w:pos="709"/>
          <w:tab w:val="left" w:pos="1134"/>
        </w:tabs>
        <w:spacing w:after="0"/>
        <w:ind w:left="0" w:right="-4" w:firstLine="0"/>
        <w:rPr>
          <w:rFonts w:cs="Times New Roman"/>
          <w:i w:val="0"/>
          <w:szCs w:val="20"/>
          <w:lang w:val="es-CR"/>
        </w:rPr>
      </w:pPr>
    </w:p>
    <w:p w14:paraId="347A1B5C" w14:textId="2EE36B05" w:rsidR="0053795E" w:rsidRDefault="0064019F" w:rsidP="00E92CA8">
      <w:pPr>
        <w:pStyle w:val="Estilo1"/>
        <w:numPr>
          <w:ilvl w:val="0"/>
          <w:numId w:val="3"/>
        </w:numPr>
        <w:tabs>
          <w:tab w:val="left" w:pos="709"/>
          <w:tab w:val="left" w:pos="1134"/>
        </w:tabs>
        <w:spacing w:after="0"/>
        <w:ind w:left="0" w:right="-4" w:firstLine="0"/>
        <w:rPr>
          <w:rFonts w:eastAsia="Times" w:cs="Arial"/>
          <w:i w:val="0"/>
          <w:szCs w:val="20"/>
          <w:lang w:val="es-MX"/>
        </w:rPr>
      </w:pPr>
      <w:r>
        <w:rPr>
          <w:rFonts w:eastAsia="Times" w:cs="Arial"/>
          <w:i w:val="0"/>
          <w:szCs w:val="20"/>
          <w:lang w:val="es-CR"/>
        </w:rPr>
        <w:t>De esta forma, y en relación con lo anteriormente mencionado,</w:t>
      </w:r>
      <w:r w:rsidR="0053795E" w:rsidRPr="00E55B9D">
        <w:rPr>
          <w:rFonts w:eastAsia="Times" w:cs="Arial"/>
          <w:i w:val="0"/>
          <w:szCs w:val="20"/>
          <w:lang w:val="es-MX"/>
        </w:rPr>
        <w:t xml:space="preserve"> </w:t>
      </w:r>
      <w:r w:rsidR="00346466" w:rsidRPr="00E55B9D">
        <w:rPr>
          <w:rFonts w:eastAsia="Times" w:cs="Arial"/>
          <w:i w:val="0"/>
          <w:szCs w:val="20"/>
          <w:lang w:val="es-MX"/>
        </w:rPr>
        <w:t>el derecho a la salud</w:t>
      </w:r>
      <w:r>
        <w:rPr>
          <w:rFonts w:eastAsia="Times" w:cs="Arial"/>
          <w:i w:val="0"/>
          <w:szCs w:val="20"/>
          <w:lang w:val="es-MX"/>
        </w:rPr>
        <w:t xml:space="preserve"> de las personas</w:t>
      </w:r>
      <w:r w:rsidR="00D1228D">
        <w:rPr>
          <w:rFonts w:eastAsia="Times" w:cs="Arial"/>
          <w:i w:val="0"/>
          <w:szCs w:val="20"/>
          <w:lang w:val="es-MX"/>
        </w:rPr>
        <w:t xml:space="preserve"> que viven</w:t>
      </w:r>
      <w:r>
        <w:rPr>
          <w:rFonts w:eastAsia="Times" w:cs="Arial"/>
          <w:i w:val="0"/>
          <w:szCs w:val="20"/>
          <w:lang w:val="es-MX"/>
        </w:rPr>
        <w:t xml:space="preserve"> con </w:t>
      </w:r>
      <w:r w:rsidR="003A5AB3">
        <w:rPr>
          <w:rFonts w:eastAsia="Times" w:cs="Arial"/>
          <w:i w:val="0"/>
          <w:szCs w:val="20"/>
          <w:lang w:val="es-MX"/>
        </w:rPr>
        <w:t xml:space="preserve">el </w:t>
      </w:r>
      <w:r>
        <w:rPr>
          <w:rFonts w:eastAsia="Times" w:cs="Arial"/>
          <w:i w:val="0"/>
          <w:szCs w:val="20"/>
          <w:lang w:val="es-MX"/>
        </w:rPr>
        <w:t>VIH</w:t>
      </w:r>
      <w:r w:rsidR="00346466" w:rsidRPr="00E55B9D">
        <w:rPr>
          <w:rFonts w:eastAsia="Times" w:cs="Arial"/>
          <w:i w:val="0"/>
          <w:szCs w:val="20"/>
          <w:lang w:val="es-MX"/>
        </w:rPr>
        <w:t xml:space="preserve"> incluye el acceso a bienes de calidad, servicios e información para la prevención, tratamiento, atención y apoyo de la infección, </w:t>
      </w:r>
      <w:r w:rsidR="00B7716C">
        <w:rPr>
          <w:rFonts w:eastAsia="Times" w:cs="Arial"/>
          <w:i w:val="0"/>
          <w:szCs w:val="20"/>
          <w:lang w:val="es-MX"/>
        </w:rPr>
        <w:t xml:space="preserve">incluida la terapia </w:t>
      </w:r>
      <w:proofErr w:type="spellStart"/>
      <w:r w:rsidR="00B7716C">
        <w:rPr>
          <w:rFonts w:eastAsia="Times" w:cs="Arial"/>
          <w:i w:val="0"/>
          <w:szCs w:val="20"/>
          <w:lang w:val="es-MX"/>
        </w:rPr>
        <w:t>antirretroví</w:t>
      </w:r>
      <w:r w:rsidR="00346466" w:rsidRPr="00E55B9D">
        <w:rPr>
          <w:rFonts w:eastAsia="Times" w:cs="Arial"/>
          <w:i w:val="0"/>
          <w:szCs w:val="20"/>
          <w:lang w:val="es-MX"/>
        </w:rPr>
        <w:t>rica</w:t>
      </w:r>
      <w:proofErr w:type="spellEnd"/>
      <w:r w:rsidR="00346466" w:rsidRPr="00E55B9D">
        <w:rPr>
          <w:rFonts w:eastAsia="Times" w:cs="Arial"/>
          <w:i w:val="0"/>
          <w:szCs w:val="20"/>
          <w:lang w:val="es-MX"/>
        </w:rPr>
        <w:t xml:space="preserve"> y otros medicamentos, pruebas diagnósticas y tecnologías relacionadas seguras y eficaces para la atención preventiva, curativa y paliativa del VIH, de las enfermedades oportunistas y de las enfermedades conexas, así como el apoyo social y psicológico, la atención familiar y comunitaria, y el acceso a las tecnologías de prevención.</w:t>
      </w:r>
    </w:p>
    <w:p w14:paraId="035A3A8C" w14:textId="77777777" w:rsidR="00E92CA8" w:rsidRPr="00E55B9D" w:rsidRDefault="00E92CA8" w:rsidP="00E92CA8">
      <w:pPr>
        <w:pStyle w:val="Estilo1"/>
        <w:tabs>
          <w:tab w:val="left" w:pos="709"/>
          <w:tab w:val="left" w:pos="1134"/>
        </w:tabs>
        <w:spacing w:after="0"/>
        <w:ind w:left="0" w:right="-4" w:firstLine="0"/>
        <w:rPr>
          <w:rFonts w:eastAsia="Times" w:cs="Arial"/>
          <w:i w:val="0"/>
          <w:szCs w:val="20"/>
          <w:lang w:val="es-MX"/>
        </w:rPr>
      </w:pPr>
    </w:p>
    <w:p w14:paraId="1F596405" w14:textId="03E22290" w:rsidR="000774FB" w:rsidRPr="00E92CA8" w:rsidRDefault="003A5AB3" w:rsidP="00E92CA8">
      <w:pPr>
        <w:pStyle w:val="Estilo1"/>
        <w:numPr>
          <w:ilvl w:val="0"/>
          <w:numId w:val="3"/>
        </w:numPr>
        <w:tabs>
          <w:tab w:val="left" w:pos="709"/>
          <w:tab w:val="left" w:pos="1134"/>
        </w:tabs>
        <w:spacing w:after="0"/>
        <w:ind w:left="0" w:right="-4" w:firstLine="0"/>
        <w:rPr>
          <w:rFonts w:cs="Times New Roman"/>
          <w:i w:val="0"/>
          <w:szCs w:val="20"/>
          <w:lang w:val="es-CR"/>
        </w:rPr>
      </w:pPr>
      <w:r>
        <w:rPr>
          <w:rFonts w:cs="Times New Roman"/>
          <w:i w:val="0"/>
          <w:szCs w:val="20"/>
          <w:lang w:val="es-CR"/>
        </w:rPr>
        <w:t>Así</w:t>
      </w:r>
      <w:r w:rsidR="00A54A49" w:rsidRPr="00E55B9D">
        <w:rPr>
          <w:rFonts w:cs="Times New Roman"/>
          <w:i w:val="0"/>
          <w:szCs w:val="20"/>
          <w:lang w:val="es-CR"/>
        </w:rPr>
        <w:t xml:space="preserve">, la primera obligación que se desprende del deber de garantizar el derecho a la salud es la obligación de </w:t>
      </w:r>
      <w:r w:rsidR="00A54A49" w:rsidRPr="00E55B9D">
        <w:rPr>
          <w:i w:val="0"/>
          <w:szCs w:val="20"/>
          <w:lang w:val="es-CR"/>
        </w:rPr>
        <w:t xml:space="preserve">regular la protección al derecho a la salud para las personas </w:t>
      </w:r>
      <w:r>
        <w:rPr>
          <w:i w:val="0"/>
          <w:szCs w:val="20"/>
          <w:lang w:val="es-CR"/>
        </w:rPr>
        <w:t xml:space="preserve">que viven </w:t>
      </w:r>
      <w:r w:rsidR="00A54A49" w:rsidRPr="00E55B9D">
        <w:rPr>
          <w:i w:val="0"/>
          <w:szCs w:val="20"/>
          <w:lang w:val="es-CR"/>
        </w:rPr>
        <w:t>con</w:t>
      </w:r>
      <w:r>
        <w:rPr>
          <w:i w:val="0"/>
          <w:szCs w:val="20"/>
          <w:lang w:val="es-CR"/>
        </w:rPr>
        <w:t xml:space="preserve"> el</w:t>
      </w:r>
      <w:r w:rsidR="00A54A49" w:rsidRPr="00E55B9D">
        <w:rPr>
          <w:i w:val="0"/>
          <w:szCs w:val="20"/>
          <w:lang w:val="es-CR"/>
        </w:rPr>
        <w:t xml:space="preserve"> VIH.</w:t>
      </w:r>
      <w:r w:rsidR="00A54A49" w:rsidRPr="00AA672D">
        <w:rPr>
          <w:i w:val="0"/>
          <w:szCs w:val="20"/>
          <w:lang w:val="es-CR"/>
        </w:rPr>
        <w:t xml:space="preserve"> En ese sentido, la Corte constata que la Constitución de Guatemala</w:t>
      </w:r>
      <w:r w:rsidR="00AA672D">
        <w:rPr>
          <w:i w:val="0"/>
          <w:szCs w:val="20"/>
          <w:lang w:val="es-CR"/>
        </w:rPr>
        <w:t xml:space="preserve"> </w:t>
      </w:r>
      <w:r w:rsidR="000774FB" w:rsidRPr="00AA672D">
        <w:rPr>
          <w:i w:val="0"/>
          <w:szCs w:val="20"/>
          <w:lang w:val="es-CR"/>
        </w:rPr>
        <w:t xml:space="preserve">reconoce que el goce a la salud es un derecho fundamental del ser humano, y que el Estado tiene el deber de velar por la salud y la asistencia social de todos sus </w:t>
      </w:r>
      <w:r>
        <w:rPr>
          <w:i w:val="0"/>
          <w:szCs w:val="20"/>
          <w:lang w:val="es-CR"/>
        </w:rPr>
        <w:t>habitantes</w:t>
      </w:r>
      <w:r w:rsidR="000774FB" w:rsidRPr="00AA672D">
        <w:rPr>
          <w:i w:val="0"/>
          <w:szCs w:val="20"/>
          <w:lang w:val="es-CR"/>
        </w:rPr>
        <w:t xml:space="preserve"> (</w:t>
      </w:r>
      <w:r w:rsidR="000774FB" w:rsidRPr="003A2D1F">
        <w:rPr>
          <w:szCs w:val="20"/>
          <w:lang w:val="es-CR"/>
        </w:rPr>
        <w:t>supra</w:t>
      </w:r>
      <w:r w:rsidR="000774FB" w:rsidRPr="00AA672D">
        <w:rPr>
          <w:i w:val="0"/>
          <w:szCs w:val="20"/>
          <w:lang w:val="es-CR"/>
        </w:rPr>
        <w:t xml:space="preserve"> párr. </w:t>
      </w:r>
      <w:r w:rsidR="003A2D1F" w:rsidRPr="003A2D1F">
        <w:rPr>
          <w:i w:val="0"/>
          <w:szCs w:val="20"/>
          <w:lang w:val="es-CR"/>
        </w:rPr>
        <w:t>41</w:t>
      </w:r>
      <w:r w:rsidR="000774FB" w:rsidRPr="003A2D1F">
        <w:rPr>
          <w:i w:val="0"/>
          <w:szCs w:val="20"/>
          <w:lang w:val="es-CR"/>
        </w:rPr>
        <w:t>).</w:t>
      </w:r>
      <w:r w:rsidR="000774FB" w:rsidRPr="00AA672D">
        <w:rPr>
          <w:i w:val="0"/>
          <w:szCs w:val="20"/>
          <w:lang w:val="es-CR"/>
        </w:rPr>
        <w:t xml:space="preserve"> Asimismo, el Tribunal constata que el Código de Salud establece la obligación del Estado, a través del Ministerio de Salud Pública</w:t>
      </w:r>
      <w:r w:rsidR="003A2D1F">
        <w:rPr>
          <w:i w:val="0"/>
          <w:szCs w:val="20"/>
          <w:lang w:val="es-CR"/>
        </w:rPr>
        <w:t>,</w:t>
      </w:r>
      <w:r w:rsidR="000774FB" w:rsidRPr="00AA672D">
        <w:rPr>
          <w:i w:val="0"/>
          <w:szCs w:val="20"/>
          <w:lang w:val="es-CR"/>
        </w:rPr>
        <w:t xml:space="preserve"> de realizar acciones a fin de velar por la prestación del servicio de salud a </w:t>
      </w:r>
      <w:r>
        <w:rPr>
          <w:i w:val="0"/>
          <w:szCs w:val="20"/>
          <w:lang w:val="es-CR"/>
        </w:rPr>
        <w:t>los guatemaltecos</w:t>
      </w:r>
      <w:r w:rsidR="000774FB" w:rsidRPr="00AA672D">
        <w:rPr>
          <w:i w:val="0"/>
          <w:szCs w:val="20"/>
          <w:lang w:val="es-CR"/>
        </w:rPr>
        <w:t xml:space="preserve"> en forma gratuita, y prevé que el Estado deberá asignar los recursos necesarios para el financiamiento público de los servicios de salud (</w:t>
      </w:r>
      <w:r w:rsidR="000774FB" w:rsidRPr="003A2D1F">
        <w:rPr>
          <w:szCs w:val="20"/>
          <w:lang w:val="es-CR"/>
        </w:rPr>
        <w:t>supra</w:t>
      </w:r>
      <w:r w:rsidR="000774FB" w:rsidRPr="00AA672D">
        <w:rPr>
          <w:i w:val="0"/>
          <w:szCs w:val="20"/>
          <w:lang w:val="es-CR"/>
        </w:rPr>
        <w:t xml:space="preserve"> párr. </w:t>
      </w:r>
      <w:r w:rsidR="003A2D1F" w:rsidRPr="003A2D1F">
        <w:rPr>
          <w:i w:val="0"/>
          <w:szCs w:val="20"/>
          <w:lang w:val="es-CR"/>
        </w:rPr>
        <w:t>43</w:t>
      </w:r>
      <w:r w:rsidR="000774FB" w:rsidRPr="003A2D1F">
        <w:rPr>
          <w:i w:val="0"/>
          <w:szCs w:val="20"/>
          <w:lang w:val="es-CR"/>
        </w:rPr>
        <w:t>).</w:t>
      </w:r>
      <w:r w:rsidR="000774FB" w:rsidRPr="00AA672D">
        <w:rPr>
          <w:i w:val="0"/>
          <w:szCs w:val="20"/>
          <w:lang w:val="es-CR"/>
        </w:rPr>
        <w:t xml:space="preserve"> </w:t>
      </w:r>
      <w:r w:rsidR="00AA672D" w:rsidRPr="00AA672D">
        <w:rPr>
          <w:i w:val="0"/>
          <w:szCs w:val="20"/>
          <w:lang w:val="es-CR"/>
        </w:rPr>
        <w:t xml:space="preserve">En relación con </w:t>
      </w:r>
      <w:r w:rsidR="00AA672D" w:rsidRPr="00AA672D">
        <w:rPr>
          <w:rFonts w:eastAsia="Times" w:cs="Arial"/>
          <w:i w:val="0"/>
          <w:szCs w:val="20"/>
          <w:lang w:val="es-MX"/>
        </w:rPr>
        <w:t>el tratamiento a de enfermedades de transmisión sexual y el SIDA, la Corte constata que el Código de Salud establece que el Ministerio de Salud apoyará el desarrollo específico de programas de educación, detección, prevención y control de ETS, VIH/SIDA</w:t>
      </w:r>
      <w:r w:rsidR="00AA672D">
        <w:rPr>
          <w:rFonts w:eastAsia="Times" w:cs="Arial"/>
          <w:i w:val="0"/>
          <w:szCs w:val="20"/>
          <w:lang w:val="es-MX"/>
        </w:rPr>
        <w:t xml:space="preserve"> (</w:t>
      </w:r>
      <w:r w:rsidR="00AA672D" w:rsidRPr="003A2D1F">
        <w:rPr>
          <w:rFonts w:eastAsia="Times" w:cs="Arial"/>
          <w:szCs w:val="20"/>
          <w:lang w:val="es-MX"/>
        </w:rPr>
        <w:t>supra</w:t>
      </w:r>
      <w:r w:rsidR="00AA672D">
        <w:rPr>
          <w:rFonts w:eastAsia="Times" w:cs="Arial"/>
          <w:i w:val="0"/>
          <w:szCs w:val="20"/>
          <w:lang w:val="es-MX"/>
        </w:rPr>
        <w:t xml:space="preserve"> párr. </w:t>
      </w:r>
      <w:r w:rsidR="003A2D1F" w:rsidRPr="003A2D1F">
        <w:rPr>
          <w:rFonts w:eastAsia="Times" w:cs="Arial"/>
          <w:i w:val="0"/>
          <w:szCs w:val="20"/>
          <w:lang w:val="es-MX"/>
        </w:rPr>
        <w:t>43</w:t>
      </w:r>
      <w:r w:rsidR="00AA672D" w:rsidRPr="003A2D1F">
        <w:rPr>
          <w:rFonts w:eastAsia="Times" w:cs="Arial"/>
          <w:i w:val="0"/>
          <w:szCs w:val="20"/>
          <w:lang w:val="es-MX"/>
        </w:rPr>
        <w:t>).</w:t>
      </w:r>
    </w:p>
    <w:p w14:paraId="6AB4C537" w14:textId="77777777" w:rsidR="00E92CA8" w:rsidRPr="00AA672D" w:rsidRDefault="00E92CA8" w:rsidP="00E92CA8">
      <w:pPr>
        <w:pStyle w:val="Estilo1"/>
        <w:tabs>
          <w:tab w:val="left" w:pos="709"/>
          <w:tab w:val="left" w:pos="1134"/>
        </w:tabs>
        <w:spacing w:after="0"/>
        <w:ind w:left="0" w:right="-4" w:firstLine="0"/>
        <w:rPr>
          <w:rFonts w:cs="Times New Roman"/>
          <w:i w:val="0"/>
          <w:szCs w:val="20"/>
          <w:lang w:val="es-CR"/>
        </w:rPr>
      </w:pPr>
    </w:p>
    <w:p w14:paraId="01650705" w14:textId="47856BC8"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C863EF">
        <w:rPr>
          <w:rFonts w:eastAsia="Times" w:cs="Arial"/>
          <w:i w:val="0"/>
          <w:szCs w:val="20"/>
          <w:lang w:val="es-MX"/>
        </w:rPr>
        <w:t>De manera específica, la</w:t>
      </w:r>
      <w:r w:rsidR="00AA672D" w:rsidRPr="00C863EF">
        <w:rPr>
          <w:rFonts w:eastAsia="Times" w:cs="Arial"/>
          <w:i w:val="0"/>
          <w:szCs w:val="20"/>
          <w:lang w:val="es-MX"/>
        </w:rPr>
        <w:t xml:space="preserve"> Corte advierte que la</w:t>
      </w:r>
      <w:r w:rsidRPr="00C863EF">
        <w:rPr>
          <w:rFonts w:eastAsia="Times" w:cs="Arial"/>
          <w:i w:val="0"/>
          <w:szCs w:val="20"/>
          <w:lang w:val="es-MX"/>
        </w:rPr>
        <w:t xml:space="preserve"> Ley</w:t>
      </w:r>
      <w:r w:rsidR="003A5AB3">
        <w:rPr>
          <w:rFonts w:eastAsia="Times" w:cs="Arial"/>
          <w:i w:val="0"/>
          <w:szCs w:val="20"/>
          <w:lang w:val="es-MX"/>
        </w:rPr>
        <w:t xml:space="preserve"> General</w:t>
      </w:r>
      <w:r w:rsidRPr="00C863EF">
        <w:rPr>
          <w:rFonts w:eastAsia="Times" w:cs="Arial"/>
          <w:i w:val="0"/>
          <w:szCs w:val="20"/>
          <w:lang w:val="es-MX"/>
        </w:rPr>
        <w:t xml:space="preserve"> para el Combate al VIH/SIDA</w:t>
      </w:r>
      <w:r w:rsidR="00150829" w:rsidRPr="00C863EF">
        <w:rPr>
          <w:rFonts w:eastAsia="Times" w:cs="Arial"/>
          <w:i w:val="0"/>
          <w:szCs w:val="20"/>
          <w:lang w:val="es-MX"/>
        </w:rPr>
        <w:t xml:space="preserve"> </w:t>
      </w:r>
      <w:r w:rsidR="00150829" w:rsidRPr="003A2D1F">
        <w:rPr>
          <w:rFonts w:eastAsia="Times" w:cs="Arial"/>
          <w:i w:val="0"/>
          <w:szCs w:val="20"/>
          <w:lang w:val="es-MX"/>
        </w:rPr>
        <w:t>(</w:t>
      </w:r>
      <w:r w:rsidR="00150829" w:rsidRPr="003A2D1F">
        <w:rPr>
          <w:rFonts w:eastAsia="Times" w:cs="Arial"/>
          <w:szCs w:val="20"/>
          <w:lang w:val="es-MX"/>
        </w:rPr>
        <w:t>supra</w:t>
      </w:r>
      <w:r w:rsidR="00150829" w:rsidRPr="003A2D1F">
        <w:rPr>
          <w:rFonts w:eastAsia="Times" w:cs="Arial"/>
          <w:i w:val="0"/>
          <w:szCs w:val="20"/>
          <w:lang w:val="es-MX"/>
        </w:rPr>
        <w:t xml:space="preserve"> párr</w:t>
      </w:r>
      <w:r w:rsidR="003A2D1F" w:rsidRPr="003A2D1F">
        <w:rPr>
          <w:rFonts w:eastAsia="Times" w:cs="Arial"/>
          <w:i w:val="0"/>
          <w:szCs w:val="20"/>
          <w:lang w:val="es-MX"/>
        </w:rPr>
        <w:t>. 45</w:t>
      </w:r>
      <w:r w:rsidR="00150829" w:rsidRPr="003A2D1F">
        <w:rPr>
          <w:rFonts w:eastAsia="Times" w:cs="Arial"/>
          <w:i w:val="0"/>
          <w:szCs w:val="20"/>
          <w:lang w:val="es-MX"/>
        </w:rPr>
        <w:t>)</w:t>
      </w:r>
      <w:r w:rsidR="00C863EF" w:rsidRPr="00C863EF">
        <w:rPr>
          <w:rFonts w:eastAsia="Times" w:cs="Arial"/>
          <w:i w:val="0"/>
          <w:szCs w:val="20"/>
          <w:lang w:val="es-MX"/>
        </w:rPr>
        <w:t xml:space="preserve"> </w:t>
      </w:r>
      <w:r w:rsidRPr="00C863EF">
        <w:rPr>
          <w:rFonts w:eastAsia="Times" w:cs="Arial"/>
          <w:i w:val="0"/>
          <w:szCs w:val="20"/>
          <w:lang w:val="es-MX"/>
        </w:rPr>
        <w:t xml:space="preserve">reconoce la infección del VIH como un problema social de urgencia nacional. </w:t>
      </w:r>
      <w:r w:rsidR="00AA672D" w:rsidRPr="00C863EF">
        <w:rPr>
          <w:rFonts w:eastAsia="Times" w:cs="Arial"/>
          <w:i w:val="0"/>
          <w:szCs w:val="20"/>
          <w:lang w:val="es-MX"/>
        </w:rPr>
        <w:t xml:space="preserve">Esta misma Ley </w:t>
      </w:r>
      <w:r w:rsidRPr="00C863EF">
        <w:rPr>
          <w:rFonts w:eastAsia="Times" w:cs="Arial"/>
          <w:i w:val="0"/>
          <w:szCs w:val="20"/>
          <w:lang w:val="es-MX"/>
        </w:rPr>
        <w:t xml:space="preserve">prevé que “[t]oda persona con diagnóstico de VIH/SIDA deberá </w:t>
      </w:r>
      <w:r w:rsidRPr="00C863EF">
        <w:rPr>
          <w:rFonts w:eastAsia="Times" w:cs="Arial"/>
          <w:i w:val="0"/>
          <w:szCs w:val="20"/>
          <w:lang w:val="es-MX"/>
        </w:rPr>
        <w:lastRenderedPageBreak/>
        <w:t>recibir atención integral de inmediato”, y que el Ministerio de Salud Pública deberá proveer los servicios de atención a las persona</w:t>
      </w:r>
      <w:r w:rsidR="00C863EF" w:rsidRPr="00C863EF">
        <w:rPr>
          <w:rFonts w:eastAsia="Times" w:cs="Arial"/>
          <w:i w:val="0"/>
          <w:szCs w:val="20"/>
          <w:lang w:val="es-MX"/>
        </w:rPr>
        <w:t xml:space="preserve">s </w:t>
      </w:r>
      <w:r w:rsidR="003A5AB3">
        <w:rPr>
          <w:rFonts w:eastAsia="Times" w:cs="Arial"/>
          <w:i w:val="0"/>
          <w:szCs w:val="20"/>
          <w:lang w:val="es-MX"/>
        </w:rPr>
        <w:t xml:space="preserve">que viven </w:t>
      </w:r>
      <w:r w:rsidR="00C863EF" w:rsidRPr="00C863EF">
        <w:rPr>
          <w:rFonts w:eastAsia="Times" w:cs="Arial"/>
          <w:i w:val="0"/>
          <w:szCs w:val="20"/>
          <w:lang w:val="es-MX"/>
        </w:rPr>
        <w:t>con</w:t>
      </w:r>
      <w:r w:rsidR="003A5AB3">
        <w:rPr>
          <w:rFonts w:eastAsia="Times" w:cs="Arial"/>
          <w:i w:val="0"/>
          <w:szCs w:val="20"/>
          <w:lang w:val="es-MX"/>
        </w:rPr>
        <w:t xml:space="preserve"> el</w:t>
      </w:r>
      <w:r w:rsidR="00C863EF" w:rsidRPr="00C863EF">
        <w:rPr>
          <w:rFonts w:eastAsia="Times" w:cs="Arial"/>
          <w:i w:val="0"/>
          <w:szCs w:val="20"/>
          <w:lang w:val="es-MX"/>
        </w:rPr>
        <w:t xml:space="preserve"> VIH, la cual deberá </w:t>
      </w:r>
      <w:r w:rsidRPr="00C863EF">
        <w:rPr>
          <w:rFonts w:eastAsia="Times" w:cs="Arial"/>
          <w:i w:val="0"/>
          <w:szCs w:val="20"/>
          <w:lang w:val="es-MX"/>
        </w:rPr>
        <w:t>atender sus necesidades f</w:t>
      </w:r>
      <w:r w:rsidR="00C863EF" w:rsidRPr="00C863EF">
        <w:rPr>
          <w:rFonts w:eastAsia="Times" w:cs="Arial"/>
          <w:i w:val="0"/>
          <w:szCs w:val="20"/>
          <w:lang w:val="es-MX"/>
        </w:rPr>
        <w:t>ísicas, psicológicas y sociales</w:t>
      </w:r>
      <w:r w:rsidRPr="00C863EF">
        <w:rPr>
          <w:rFonts w:eastAsia="Times" w:cs="Arial"/>
          <w:i w:val="0"/>
          <w:szCs w:val="20"/>
          <w:lang w:val="es-MX"/>
        </w:rPr>
        <w:t>. Asimismo,</w:t>
      </w:r>
      <w:r w:rsidR="003A5AB3">
        <w:rPr>
          <w:rFonts w:eastAsia="Times" w:cs="Arial"/>
          <w:i w:val="0"/>
          <w:szCs w:val="20"/>
          <w:lang w:val="es-MX"/>
        </w:rPr>
        <w:t xml:space="preserve"> dicha ley</w:t>
      </w:r>
      <w:r w:rsidRPr="00C863EF">
        <w:rPr>
          <w:rFonts w:eastAsia="Times" w:cs="Arial"/>
          <w:i w:val="0"/>
          <w:szCs w:val="20"/>
          <w:lang w:val="es-MX"/>
        </w:rPr>
        <w:t xml:space="preserve"> prevé que el Ministerio de Economía y Finanzas implem</w:t>
      </w:r>
      <w:r w:rsidR="00C863EF" w:rsidRPr="00C863EF">
        <w:rPr>
          <w:rFonts w:eastAsia="Times" w:cs="Arial"/>
          <w:i w:val="0"/>
          <w:szCs w:val="20"/>
          <w:lang w:val="es-MX"/>
        </w:rPr>
        <w:t xml:space="preserve">entará un programa que permita </w:t>
      </w:r>
      <w:r w:rsidRPr="00C863EF">
        <w:rPr>
          <w:rFonts w:eastAsia="Times" w:cs="Arial"/>
          <w:i w:val="0"/>
          <w:szCs w:val="20"/>
          <w:lang w:val="es-MX"/>
        </w:rPr>
        <w:t>el acceso a medicamentos antir</w:t>
      </w:r>
      <w:r w:rsidR="00461BB6">
        <w:rPr>
          <w:rFonts w:eastAsia="Times" w:cs="Arial"/>
          <w:i w:val="0"/>
          <w:szCs w:val="20"/>
          <w:lang w:val="es-MX"/>
        </w:rPr>
        <w:t>r</w:t>
      </w:r>
      <w:r w:rsidRPr="00C863EF">
        <w:rPr>
          <w:rFonts w:eastAsia="Times" w:cs="Arial"/>
          <w:i w:val="0"/>
          <w:szCs w:val="20"/>
          <w:lang w:val="es-MX"/>
        </w:rPr>
        <w:t xml:space="preserve">etrovirales de calidad, a precios accesibles a </w:t>
      </w:r>
      <w:r w:rsidR="00C863EF" w:rsidRPr="00C863EF">
        <w:rPr>
          <w:rFonts w:eastAsia="Times" w:cs="Arial"/>
          <w:i w:val="0"/>
          <w:szCs w:val="20"/>
          <w:lang w:val="es-MX"/>
        </w:rPr>
        <w:t>personas que viven con</w:t>
      </w:r>
      <w:r w:rsidR="00E73480">
        <w:rPr>
          <w:rFonts w:eastAsia="Times" w:cs="Arial"/>
          <w:i w:val="0"/>
          <w:szCs w:val="20"/>
          <w:lang w:val="es-MX"/>
        </w:rPr>
        <w:t xml:space="preserve"> el</w:t>
      </w:r>
      <w:r w:rsidR="00C863EF" w:rsidRPr="00C863EF">
        <w:rPr>
          <w:rFonts w:eastAsia="Times" w:cs="Arial"/>
          <w:i w:val="0"/>
          <w:szCs w:val="20"/>
          <w:lang w:val="es-MX"/>
        </w:rPr>
        <w:t xml:space="preserve"> VIH</w:t>
      </w:r>
      <w:r w:rsidRPr="00C863EF">
        <w:rPr>
          <w:rFonts w:eastAsia="Times" w:cs="Arial"/>
          <w:i w:val="0"/>
          <w:szCs w:val="20"/>
          <w:lang w:val="es-MX"/>
        </w:rPr>
        <w:t>.</w:t>
      </w:r>
      <w:r w:rsidR="00E73480">
        <w:rPr>
          <w:rFonts w:eastAsia="Times" w:cs="Arial"/>
          <w:i w:val="0"/>
          <w:szCs w:val="20"/>
          <w:lang w:val="es-MX"/>
        </w:rPr>
        <w:t xml:space="preserve"> </w:t>
      </w:r>
      <w:r w:rsidRPr="00C863EF">
        <w:rPr>
          <w:rFonts w:eastAsia="Times" w:cs="Arial"/>
          <w:i w:val="0"/>
          <w:szCs w:val="20"/>
          <w:lang w:val="es-MX"/>
        </w:rPr>
        <w:t>En el mismo sentido, el</w:t>
      </w:r>
      <w:r w:rsidR="00C863EF" w:rsidRPr="00C863EF">
        <w:rPr>
          <w:rFonts w:eastAsia="Times" w:cs="Arial"/>
          <w:i w:val="0"/>
          <w:szCs w:val="20"/>
          <w:lang w:val="es-MX"/>
        </w:rPr>
        <w:t xml:space="preserve"> Tribunal advierte que el</w:t>
      </w:r>
      <w:r w:rsidRPr="00C863EF">
        <w:rPr>
          <w:rFonts w:eastAsia="Times" w:cs="Arial"/>
          <w:i w:val="0"/>
          <w:szCs w:val="20"/>
          <w:lang w:val="es-MX"/>
        </w:rPr>
        <w:t xml:space="preserve"> Reglamento de la Ley General para el combate al VIH/SIDA</w:t>
      </w:r>
      <w:r w:rsidR="00150829" w:rsidRPr="00C863EF">
        <w:rPr>
          <w:rFonts w:eastAsia="Times" w:cs="Arial"/>
          <w:i w:val="0"/>
          <w:szCs w:val="20"/>
          <w:lang w:val="es-MX"/>
        </w:rPr>
        <w:t xml:space="preserve"> (</w:t>
      </w:r>
      <w:r w:rsidR="00150829" w:rsidRPr="003A2D1F">
        <w:rPr>
          <w:rFonts w:eastAsia="Times" w:cs="Arial"/>
          <w:szCs w:val="20"/>
          <w:lang w:val="es-MX"/>
        </w:rPr>
        <w:t>supra</w:t>
      </w:r>
      <w:r w:rsidR="00150829" w:rsidRPr="00C863EF">
        <w:rPr>
          <w:rFonts w:eastAsia="Times" w:cs="Arial"/>
          <w:i w:val="0"/>
          <w:szCs w:val="20"/>
          <w:lang w:val="es-MX"/>
        </w:rPr>
        <w:t xml:space="preserve"> párr</w:t>
      </w:r>
      <w:r w:rsidR="00150829" w:rsidRPr="003A2D1F">
        <w:rPr>
          <w:rFonts w:eastAsia="Times" w:cs="Arial"/>
          <w:i w:val="0"/>
          <w:szCs w:val="20"/>
          <w:lang w:val="es-MX"/>
        </w:rPr>
        <w:t>.</w:t>
      </w:r>
      <w:r w:rsidR="003A2D1F">
        <w:rPr>
          <w:rFonts w:eastAsia="Times" w:cs="Arial"/>
          <w:i w:val="0"/>
          <w:szCs w:val="20"/>
          <w:lang w:val="es-MX"/>
        </w:rPr>
        <w:t xml:space="preserve"> </w:t>
      </w:r>
      <w:r w:rsidR="003A2D1F" w:rsidRPr="003A2D1F">
        <w:rPr>
          <w:rFonts w:eastAsia="Times" w:cs="Arial"/>
          <w:i w:val="0"/>
          <w:szCs w:val="20"/>
          <w:lang w:val="es-MX"/>
        </w:rPr>
        <w:t>46</w:t>
      </w:r>
      <w:r w:rsidR="00150829" w:rsidRPr="003A2D1F">
        <w:rPr>
          <w:rFonts w:eastAsia="Times" w:cs="Arial"/>
          <w:i w:val="0"/>
          <w:szCs w:val="20"/>
          <w:lang w:val="es-MX"/>
        </w:rPr>
        <w:t>)</w:t>
      </w:r>
      <w:r w:rsidRPr="00C863EF">
        <w:rPr>
          <w:rFonts w:eastAsia="Times" w:cs="Arial"/>
          <w:i w:val="0"/>
          <w:szCs w:val="20"/>
          <w:lang w:val="es-MX"/>
        </w:rPr>
        <w:t xml:space="preserve"> establece que el Ministerio de Salud deberá contar con el equipo básico y los insumos necesarios que permitan una atención integral de calidad, lo cual requiere que dicho Minister</w:t>
      </w:r>
      <w:r w:rsidR="00C863EF" w:rsidRPr="00C863EF">
        <w:rPr>
          <w:rFonts w:eastAsia="Times" w:cs="Arial"/>
          <w:i w:val="0"/>
          <w:szCs w:val="20"/>
          <w:lang w:val="es-MX"/>
        </w:rPr>
        <w:t xml:space="preserve">io proporcione en las unidades </w:t>
      </w:r>
      <w:r w:rsidRPr="00C863EF">
        <w:rPr>
          <w:rFonts w:eastAsia="Times" w:cs="Arial"/>
          <w:i w:val="0"/>
          <w:szCs w:val="20"/>
          <w:lang w:val="es-MX"/>
        </w:rPr>
        <w:t>atención integral de calidad, incluyendo el acceso a medicamentos antirretrovirales de acuerdo a los Protocolos naciona</w:t>
      </w:r>
      <w:r w:rsidR="00C863EF" w:rsidRPr="00C863EF">
        <w:rPr>
          <w:rFonts w:eastAsia="Times" w:cs="Arial"/>
          <w:i w:val="0"/>
          <w:szCs w:val="20"/>
          <w:lang w:val="es-MX"/>
        </w:rPr>
        <w:t>les de tratamientos de VIH/SIDA</w:t>
      </w:r>
      <w:r w:rsidR="00E73480">
        <w:rPr>
          <w:rFonts w:eastAsia="Times" w:cs="Arial"/>
          <w:i w:val="0"/>
          <w:szCs w:val="20"/>
          <w:lang w:val="es-MX"/>
        </w:rPr>
        <w:t xml:space="preserve"> </w:t>
      </w:r>
      <w:r w:rsidR="00E73480" w:rsidRPr="00C863EF">
        <w:rPr>
          <w:rFonts w:eastAsia="Times" w:cs="Arial"/>
          <w:i w:val="0"/>
          <w:szCs w:val="20"/>
          <w:lang w:val="es-MX"/>
        </w:rPr>
        <w:t>(</w:t>
      </w:r>
      <w:r w:rsidR="00E73480" w:rsidRPr="003A2D1F">
        <w:rPr>
          <w:rFonts w:eastAsia="Times" w:cs="Arial"/>
          <w:szCs w:val="20"/>
          <w:lang w:val="es-MX"/>
        </w:rPr>
        <w:t>supra</w:t>
      </w:r>
      <w:r w:rsidR="00E73480" w:rsidRPr="00C863EF">
        <w:rPr>
          <w:rFonts w:eastAsia="Times" w:cs="Arial"/>
          <w:i w:val="0"/>
          <w:szCs w:val="20"/>
          <w:lang w:val="es-MX"/>
        </w:rPr>
        <w:t xml:space="preserve"> párr</w:t>
      </w:r>
      <w:r w:rsidR="00E73480" w:rsidRPr="003A2D1F">
        <w:rPr>
          <w:rFonts w:eastAsia="Times" w:cs="Arial"/>
          <w:i w:val="0"/>
          <w:szCs w:val="20"/>
          <w:lang w:val="es-MX"/>
        </w:rPr>
        <w:t>.</w:t>
      </w:r>
      <w:r w:rsidR="003A2D1F" w:rsidRPr="003A2D1F">
        <w:rPr>
          <w:rFonts w:eastAsia="Times" w:cs="Arial"/>
          <w:i w:val="0"/>
          <w:szCs w:val="20"/>
          <w:lang w:val="es-MX"/>
        </w:rPr>
        <w:t xml:space="preserve"> 46</w:t>
      </w:r>
      <w:r w:rsidR="00E73480" w:rsidRPr="003A2D1F">
        <w:rPr>
          <w:rFonts w:eastAsia="Times" w:cs="Arial"/>
          <w:i w:val="0"/>
          <w:szCs w:val="20"/>
          <w:lang w:val="es-MX"/>
        </w:rPr>
        <w:t>)</w:t>
      </w:r>
      <w:r w:rsidR="00E92CA8" w:rsidRPr="003A2D1F">
        <w:rPr>
          <w:rFonts w:eastAsia="Times" w:cs="Arial"/>
          <w:i w:val="0"/>
          <w:szCs w:val="20"/>
          <w:lang w:val="es-MX"/>
        </w:rPr>
        <w:t>.</w:t>
      </w:r>
    </w:p>
    <w:p w14:paraId="177C60DA" w14:textId="77777777" w:rsidR="00E92CA8" w:rsidRPr="00C863EF" w:rsidRDefault="00E92CA8" w:rsidP="00E92CA8">
      <w:pPr>
        <w:pStyle w:val="Estilo1"/>
        <w:tabs>
          <w:tab w:val="left" w:pos="709"/>
          <w:tab w:val="left" w:pos="1134"/>
        </w:tabs>
        <w:spacing w:after="0"/>
        <w:ind w:left="0" w:right="-4" w:firstLine="0"/>
        <w:rPr>
          <w:rFonts w:eastAsia="Times" w:cs="Arial"/>
          <w:i w:val="0"/>
          <w:szCs w:val="20"/>
          <w:lang w:val="es-MX"/>
        </w:rPr>
      </w:pPr>
    </w:p>
    <w:p w14:paraId="70C2A112" w14:textId="76900284" w:rsidR="00D0657E" w:rsidRPr="00E55B9D" w:rsidRDefault="00B913BF"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55B9D">
        <w:rPr>
          <w:rFonts w:eastAsia="Times" w:cs="Arial"/>
          <w:i w:val="0"/>
          <w:szCs w:val="20"/>
          <w:lang w:val="es-MX"/>
        </w:rPr>
        <w:t>En consideración de lo anterior, e</w:t>
      </w:r>
      <w:r w:rsidR="00F46845" w:rsidRPr="00E55B9D">
        <w:rPr>
          <w:rFonts w:eastAsia="Times" w:cs="Arial"/>
          <w:i w:val="0"/>
          <w:szCs w:val="20"/>
          <w:lang w:val="es-MX"/>
        </w:rPr>
        <w:t xml:space="preserve">sta Corte observa que la normativa citada instituía, desde </w:t>
      </w:r>
      <w:r w:rsidR="00E73480">
        <w:rPr>
          <w:rFonts w:eastAsia="Times" w:cs="Arial"/>
          <w:i w:val="0"/>
          <w:szCs w:val="20"/>
          <w:lang w:val="es-MX"/>
        </w:rPr>
        <w:t xml:space="preserve">al menos </w:t>
      </w:r>
      <w:r w:rsidR="00F46845" w:rsidRPr="00E55B9D">
        <w:rPr>
          <w:rFonts w:eastAsia="Times" w:cs="Arial"/>
          <w:i w:val="0"/>
          <w:szCs w:val="20"/>
          <w:lang w:val="es-MX"/>
        </w:rPr>
        <w:t>el año 1985</w:t>
      </w:r>
      <w:r w:rsidR="00E73480">
        <w:rPr>
          <w:rFonts w:eastAsia="Times" w:cs="Arial"/>
          <w:i w:val="0"/>
          <w:szCs w:val="20"/>
          <w:lang w:val="es-MX"/>
        </w:rPr>
        <w:t>,</w:t>
      </w:r>
      <w:r w:rsidR="00F46845" w:rsidRPr="00E55B9D">
        <w:rPr>
          <w:rFonts w:eastAsia="Times" w:cs="Arial"/>
          <w:i w:val="0"/>
          <w:szCs w:val="20"/>
          <w:lang w:val="es-MX"/>
        </w:rPr>
        <w:t xml:space="preserve"> el derecho a la salud como un derecho constitucionalmente protegido, y desde el año 1997 el Código de Salud establecía la obligación del Estado de proveer servicios de educación, detección, prevención y control del VIH. Asimismo, la Corte advierte que</w:t>
      </w:r>
      <w:r w:rsidR="00E73480">
        <w:rPr>
          <w:rFonts w:eastAsia="Times" w:cs="Arial"/>
          <w:i w:val="0"/>
          <w:szCs w:val="20"/>
          <w:lang w:val="es-MX"/>
        </w:rPr>
        <w:t>,</w:t>
      </w:r>
      <w:r w:rsidR="00F46845" w:rsidRPr="00E55B9D">
        <w:rPr>
          <w:rFonts w:eastAsia="Times" w:cs="Arial"/>
          <w:i w:val="0"/>
          <w:szCs w:val="20"/>
          <w:lang w:val="es-MX"/>
        </w:rPr>
        <w:t xml:space="preserve"> desde el año 2000</w:t>
      </w:r>
      <w:r w:rsidR="00E73480">
        <w:rPr>
          <w:rFonts w:eastAsia="Times" w:cs="Arial"/>
          <w:i w:val="0"/>
          <w:szCs w:val="20"/>
          <w:lang w:val="es-MX"/>
        </w:rPr>
        <w:t>,</w:t>
      </w:r>
      <w:r w:rsidR="00F46845" w:rsidRPr="00E55B9D">
        <w:rPr>
          <w:rFonts w:eastAsia="Times" w:cs="Arial"/>
          <w:i w:val="0"/>
          <w:szCs w:val="20"/>
          <w:lang w:val="es-MX"/>
        </w:rPr>
        <w:t xml:space="preserve"> fue adoptada una normativa específica para la atención y el seguimiento al VIH/SIDA. En razón d</w:t>
      </w:r>
      <w:r w:rsidR="00B70F22" w:rsidRPr="00E55B9D">
        <w:rPr>
          <w:rFonts w:eastAsia="Times" w:cs="Arial"/>
          <w:i w:val="0"/>
          <w:szCs w:val="20"/>
          <w:lang w:val="es-MX"/>
        </w:rPr>
        <w:t>e lo anterior, la Corte considera que el Estado reguló adecuadamente la protección al derecho a la salud para personas</w:t>
      </w:r>
      <w:r w:rsidR="00E73480">
        <w:rPr>
          <w:rFonts w:eastAsia="Times" w:cs="Arial"/>
          <w:i w:val="0"/>
          <w:szCs w:val="20"/>
          <w:lang w:val="es-MX"/>
        </w:rPr>
        <w:t xml:space="preserve"> que viven</w:t>
      </w:r>
      <w:r w:rsidR="00B70F22" w:rsidRPr="00E55B9D">
        <w:rPr>
          <w:rFonts w:eastAsia="Times" w:cs="Arial"/>
          <w:i w:val="0"/>
          <w:szCs w:val="20"/>
          <w:lang w:val="es-MX"/>
        </w:rPr>
        <w:t xml:space="preserve"> con</w:t>
      </w:r>
      <w:r w:rsidR="00E73480">
        <w:rPr>
          <w:rFonts w:eastAsia="Times" w:cs="Arial"/>
          <w:i w:val="0"/>
          <w:szCs w:val="20"/>
          <w:lang w:val="es-MX"/>
        </w:rPr>
        <w:t xml:space="preserve"> el</w:t>
      </w:r>
      <w:r w:rsidR="00B70F22" w:rsidRPr="00E55B9D">
        <w:rPr>
          <w:rFonts w:eastAsia="Times" w:cs="Arial"/>
          <w:i w:val="0"/>
          <w:szCs w:val="20"/>
          <w:lang w:val="es-MX"/>
        </w:rPr>
        <w:t xml:space="preserve"> VIH en Guatemala. Corresponde a la Corte verificar si el Estado cumplió con su deber de garantía del derecho a la salud para las presuntas víctimas del caso</w:t>
      </w:r>
      <w:r w:rsidR="00E55B9D" w:rsidRPr="00E55B9D">
        <w:rPr>
          <w:rFonts w:eastAsia="Times" w:cs="Arial"/>
          <w:i w:val="0"/>
          <w:szCs w:val="20"/>
          <w:lang w:val="es-MX"/>
        </w:rPr>
        <w:t xml:space="preserve">, para lo cual dividirá su análisis en dos momentos: i) antes del año 2004, y ii) con posterioridad a </w:t>
      </w:r>
      <w:r w:rsidR="00E73480">
        <w:rPr>
          <w:rFonts w:eastAsia="Times" w:cs="Arial"/>
          <w:i w:val="0"/>
          <w:szCs w:val="20"/>
          <w:lang w:val="es-MX"/>
        </w:rPr>
        <w:t>ese año</w:t>
      </w:r>
      <w:r w:rsidR="00F46845" w:rsidRPr="00E55B9D">
        <w:rPr>
          <w:rFonts w:eastAsia="Times" w:cs="Arial"/>
          <w:i w:val="0"/>
          <w:szCs w:val="20"/>
          <w:lang w:val="es-MX"/>
        </w:rPr>
        <w:t>.</w:t>
      </w:r>
    </w:p>
    <w:p w14:paraId="38687137" w14:textId="77777777" w:rsidR="00EE1E0E" w:rsidRDefault="00EE1E0E" w:rsidP="00E92CA8">
      <w:pPr>
        <w:rPr>
          <w:rFonts w:eastAsia="Verdana"/>
          <w:bCs/>
          <w:highlight w:val="yellow"/>
          <w:lang w:eastAsia="x-none"/>
        </w:rPr>
      </w:pPr>
    </w:p>
    <w:p w14:paraId="636B54F7" w14:textId="424AA139" w:rsidR="00F46845" w:rsidRPr="00EE1E0E" w:rsidRDefault="00654D86" w:rsidP="00E92CA8">
      <w:pPr>
        <w:pStyle w:val="Ttulo3"/>
        <w:spacing w:before="0"/>
        <w:rPr>
          <w:b w:val="0"/>
          <w:i w:val="0"/>
        </w:rPr>
      </w:pPr>
      <w:bookmarkStart w:id="81" w:name="_Toc527466492"/>
      <w:r>
        <w:rPr>
          <w:rFonts w:eastAsia="Verdana"/>
          <w:bCs/>
          <w:lang w:eastAsia="x-none"/>
        </w:rPr>
        <w:t>B.4</w:t>
      </w:r>
      <w:r w:rsidR="00F46845" w:rsidRPr="005776E1">
        <w:rPr>
          <w:rFonts w:eastAsia="Verdana"/>
          <w:bCs/>
          <w:lang w:eastAsia="x-none"/>
        </w:rPr>
        <w:t xml:space="preserve">. </w:t>
      </w:r>
      <w:r w:rsidR="00F46845" w:rsidRPr="005776E1">
        <w:t>La afectación del derecho a la salud</w:t>
      </w:r>
      <w:bookmarkEnd w:id="81"/>
      <w:r w:rsidR="00F46845" w:rsidRPr="005776E1">
        <w:t xml:space="preserve"> </w:t>
      </w:r>
    </w:p>
    <w:p w14:paraId="7CFC76DF" w14:textId="77777777" w:rsidR="00E55B9D" w:rsidRDefault="00E55B9D" w:rsidP="00E92CA8">
      <w:pPr>
        <w:rPr>
          <w:lang w:val="es-CR"/>
        </w:rPr>
      </w:pPr>
    </w:p>
    <w:p w14:paraId="011057AB" w14:textId="238241DD" w:rsidR="00E92CA8" w:rsidRDefault="00AC0BEF" w:rsidP="00E92CA8">
      <w:pPr>
        <w:rPr>
          <w:rFonts w:eastAsia="Times" w:cs="Arial"/>
          <w:b/>
          <w:i/>
          <w:szCs w:val="20"/>
          <w:lang w:val="es-MX"/>
        </w:rPr>
      </w:pPr>
      <w:r>
        <w:rPr>
          <w:rFonts w:eastAsia="Verdana"/>
          <w:b/>
          <w:bCs/>
          <w:i/>
          <w:szCs w:val="20"/>
          <w:lang w:val="es-CR" w:eastAsia="x-none"/>
        </w:rPr>
        <w:tab/>
      </w:r>
      <w:r>
        <w:rPr>
          <w:rFonts w:eastAsia="Verdana"/>
          <w:b/>
          <w:bCs/>
          <w:i/>
          <w:szCs w:val="20"/>
          <w:lang w:val="es-CR" w:eastAsia="x-none"/>
        </w:rPr>
        <w:tab/>
      </w:r>
      <w:r>
        <w:rPr>
          <w:rFonts w:eastAsia="Verdana"/>
          <w:b/>
          <w:bCs/>
          <w:i/>
          <w:szCs w:val="20"/>
          <w:lang w:val="es-CR" w:eastAsia="x-none"/>
        </w:rPr>
        <w:tab/>
      </w:r>
      <w:r w:rsidR="00E55B9D" w:rsidRPr="00E55B9D">
        <w:rPr>
          <w:rFonts w:eastAsia="Verdana"/>
          <w:b/>
          <w:bCs/>
          <w:i/>
          <w:szCs w:val="20"/>
          <w:lang w:val="es-CR" w:eastAsia="x-none"/>
        </w:rPr>
        <w:t xml:space="preserve">B.4.1. </w:t>
      </w:r>
      <w:r w:rsidR="00E55B9D" w:rsidRPr="00E55B9D">
        <w:rPr>
          <w:rFonts w:eastAsia="Times" w:cs="Arial"/>
          <w:b/>
          <w:i/>
          <w:szCs w:val="20"/>
          <w:lang w:val="es-MX"/>
        </w:rPr>
        <w:t xml:space="preserve">Análisis respecto al tratamiento médico recibido por las presuntas víctimas </w:t>
      </w:r>
      <w:r w:rsidR="00E55B9D">
        <w:rPr>
          <w:rFonts w:eastAsia="Times" w:cs="Arial"/>
          <w:b/>
          <w:i/>
          <w:szCs w:val="20"/>
          <w:lang w:val="es-MX"/>
        </w:rPr>
        <w:t>antes del año</w:t>
      </w:r>
      <w:r w:rsidR="00E55B9D" w:rsidRPr="00E55B9D">
        <w:rPr>
          <w:rFonts w:eastAsia="Times" w:cs="Arial"/>
          <w:b/>
          <w:i/>
          <w:szCs w:val="20"/>
          <w:lang w:val="es-MX"/>
        </w:rPr>
        <w:t xml:space="preserve"> 2004</w:t>
      </w:r>
    </w:p>
    <w:p w14:paraId="26676C87" w14:textId="77777777" w:rsidR="00E92CA8" w:rsidRPr="00E92CA8" w:rsidRDefault="00E92CA8" w:rsidP="00E92CA8">
      <w:pPr>
        <w:rPr>
          <w:rFonts w:eastAsia="Times" w:cs="Arial"/>
          <w:szCs w:val="20"/>
          <w:lang w:val="es-MX"/>
        </w:rPr>
      </w:pPr>
    </w:p>
    <w:p w14:paraId="5B56EFB6" w14:textId="6EFD63DB"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 xml:space="preserve">La controversia en este </w:t>
      </w:r>
      <w:r w:rsidR="00D35892">
        <w:rPr>
          <w:rFonts w:eastAsia="Times" w:cs="Arial"/>
          <w:i w:val="0"/>
          <w:szCs w:val="20"/>
          <w:lang w:val="es-MX"/>
        </w:rPr>
        <w:t>acápite</w:t>
      </w:r>
      <w:r w:rsidRPr="0060216C">
        <w:rPr>
          <w:rFonts w:eastAsia="Times" w:cs="Arial"/>
          <w:i w:val="0"/>
          <w:szCs w:val="20"/>
          <w:lang w:val="es-MX"/>
        </w:rPr>
        <w:t xml:space="preserve"> se centra en si el Estado es internacionalmente responsable por la violación al derecho a la salud como resultado de la atención médica –o la falta de ella- brindada a las presuntas víctimas como personas </w:t>
      </w:r>
      <w:r w:rsidR="00654D86">
        <w:rPr>
          <w:rFonts w:eastAsia="Times" w:cs="Arial"/>
          <w:i w:val="0"/>
          <w:szCs w:val="20"/>
          <w:lang w:val="es-MX"/>
        </w:rPr>
        <w:t>que viven con el VIH</w:t>
      </w:r>
      <w:r w:rsidRPr="0060216C">
        <w:rPr>
          <w:rFonts w:eastAsia="Times" w:cs="Arial"/>
          <w:i w:val="0"/>
          <w:szCs w:val="20"/>
          <w:lang w:val="es-MX"/>
        </w:rPr>
        <w:t>.</w:t>
      </w:r>
      <w:r w:rsidR="003B481F">
        <w:rPr>
          <w:rFonts w:eastAsia="Times" w:cs="Arial"/>
          <w:i w:val="0"/>
          <w:szCs w:val="20"/>
          <w:lang w:val="es-MX"/>
        </w:rPr>
        <w:t xml:space="preserve"> Asimismo,</w:t>
      </w:r>
      <w:r w:rsidR="00B913BF">
        <w:rPr>
          <w:rFonts w:eastAsia="Times" w:cs="Arial"/>
          <w:i w:val="0"/>
          <w:szCs w:val="20"/>
          <w:lang w:val="es-MX"/>
        </w:rPr>
        <w:t xml:space="preserve"> se refiere a si el Estado debió adoptar medidas diferenciadas de tratamiento para personas que se encontraban en una situación de vulnerabilidad o de riesgo.</w:t>
      </w:r>
      <w:r w:rsidRPr="0060216C">
        <w:rPr>
          <w:rFonts w:eastAsia="Times" w:cs="Arial"/>
          <w:i w:val="0"/>
          <w:szCs w:val="20"/>
          <w:lang w:val="es-MX"/>
        </w:rPr>
        <w:t xml:space="preserve"> </w:t>
      </w:r>
      <w:r w:rsidR="003B481F">
        <w:rPr>
          <w:rFonts w:eastAsia="Times" w:cs="Arial"/>
          <w:i w:val="0"/>
          <w:szCs w:val="20"/>
          <w:lang w:val="es-MX"/>
        </w:rPr>
        <w:t xml:space="preserve">Finalmente, se refiere a si el Estado es responsable por la violación al principio de progresividad del derecho a la salud. </w:t>
      </w:r>
      <w:r w:rsidRPr="0060216C">
        <w:rPr>
          <w:rFonts w:eastAsia="Times" w:cs="Arial"/>
          <w:i w:val="0"/>
          <w:szCs w:val="20"/>
          <w:lang w:val="es-MX"/>
        </w:rPr>
        <w:t>La Corte analizará los hechos del presente caso a la luz de las obligaciones del Estado</w:t>
      </w:r>
      <w:r w:rsidR="00654D86">
        <w:rPr>
          <w:rFonts w:eastAsia="Times" w:cs="Arial"/>
          <w:i w:val="0"/>
          <w:szCs w:val="20"/>
          <w:lang w:val="es-MX"/>
        </w:rPr>
        <w:t xml:space="preserve"> de</w:t>
      </w:r>
      <w:r w:rsidRPr="0060216C">
        <w:rPr>
          <w:rFonts w:eastAsia="Times" w:cs="Arial"/>
          <w:i w:val="0"/>
          <w:szCs w:val="20"/>
          <w:lang w:val="es-MX"/>
        </w:rPr>
        <w:t xml:space="preserve"> garantizar el derecho a la salud de las presuntas víctimas. Para ello, el Tribunal estima necesario diferenciar dos momentos en la atención médica brindada a las presuntas víctimas</w:t>
      </w:r>
      <w:r w:rsidR="00C52D4D">
        <w:rPr>
          <w:rFonts w:eastAsia="Times" w:cs="Arial"/>
          <w:i w:val="0"/>
          <w:szCs w:val="20"/>
          <w:lang w:val="es-MX"/>
        </w:rPr>
        <w:t xml:space="preserve"> y de las consecuencias jurídicas que derivan de dicha atención</w:t>
      </w:r>
      <w:r w:rsidR="007C0E70">
        <w:rPr>
          <w:rFonts w:eastAsia="Times" w:cs="Arial"/>
          <w:i w:val="0"/>
          <w:szCs w:val="20"/>
          <w:lang w:val="es-MX"/>
        </w:rPr>
        <w:t xml:space="preserve">: i) antes del año 2004, y </w:t>
      </w:r>
      <w:r w:rsidR="003C6E53">
        <w:rPr>
          <w:rFonts w:eastAsia="Times" w:cs="Arial"/>
          <w:i w:val="0"/>
          <w:szCs w:val="20"/>
          <w:lang w:val="es-MX"/>
        </w:rPr>
        <w:t>ii) después del año 2004.</w:t>
      </w:r>
    </w:p>
    <w:p w14:paraId="0A5A2413"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08E00A86" w14:textId="61D15519" w:rsidR="007C0E70" w:rsidRPr="00E44260"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44260">
        <w:rPr>
          <w:rFonts w:eastAsia="Times" w:cs="Arial"/>
          <w:i w:val="0"/>
          <w:szCs w:val="20"/>
          <w:lang w:val="es-MX"/>
        </w:rPr>
        <w:t>Al respecto, el Estado ratificó en su escrito de contestación de demanda ante este Tribunal su posición asumida durante el trámite ante la Comisión</w:t>
      </w:r>
      <w:r w:rsidR="006904D5" w:rsidRPr="00E44260">
        <w:rPr>
          <w:rStyle w:val="Refdenotaalpie"/>
          <w:rFonts w:eastAsia="Times"/>
          <w:i w:val="0"/>
          <w:lang w:val="es-MX"/>
        </w:rPr>
        <w:footnoteReference w:id="132"/>
      </w:r>
      <w:r w:rsidRPr="00E44260">
        <w:rPr>
          <w:rFonts w:eastAsia="Times" w:cs="Arial"/>
          <w:i w:val="0"/>
          <w:szCs w:val="20"/>
          <w:lang w:val="es-MX"/>
        </w:rPr>
        <w:t xml:space="preserve">. En ese sentido, el Estado indicó que antes del año 2004 la mayor parte del tratamiento médico en Guatemala fue asumido por la organización Médicos sin Frontera Suiza y que el Estado sólo </w:t>
      </w:r>
      <w:r w:rsidR="00654D86" w:rsidRPr="00E44260">
        <w:rPr>
          <w:rFonts w:eastAsia="Times" w:cs="Arial"/>
          <w:i w:val="0"/>
          <w:szCs w:val="20"/>
          <w:lang w:val="es-MX"/>
        </w:rPr>
        <w:t>financió el tratamiento de 373 personas</w:t>
      </w:r>
      <w:r w:rsidR="006904D5" w:rsidRPr="00E44260">
        <w:rPr>
          <w:rStyle w:val="Refdenotaalpie"/>
          <w:rFonts w:eastAsia="Times"/>
          <w:i w:val="0"/>
          <w:lang w:val="es-MX"/>
        </w:rPr>
        <w:footnoteReference w:id="133"/>
      </w:r>
      <w:r w:rsidRPr="00E44260">
        <w:rPr>
          <w:rFonts w:eastAsia="Times" w:cs="Arial"/>
          <w:i w:val="0"/>
          <w:szCs w:val="20"/>
          <w:lang w:val="es-MX"/>
        </w:rPr>
        <w:t>.</w:t>
      </w:r>
      <w:r w:rsidRPr="00E44260">
        <w:rPr>
          <w:rFonts w:eastAsia="Times" w:cs="Arial"/>
          <w:b/>
          <w:i w:val="0"/>
          <w:szCs w:val="20"/>
          <w:lang w:val="es-MX"/>
        </w:rPr>
        <w:t xml:space="preserve"> </w:t>
      </w:r>
      <w:r w:rsidRPr="00E44260">
        <w:rPr>
          <w:rFonts w:eastAsia="Times" w:cs="Arial"/>
          <w:i w:val="0"/>
          <w:szCs w:val="20"/>
          <w:lang w:val="es-MX"/>
        </w:rPr>
        <w:t>Asimismo, ofreció implementar acciones para asumir en hospitales estatales la atención de las presuntas víctimas a cargo de Médicos sin Fronteras</w:t>
      </w:r>
      <w:r w:rsidR="006904D5" w:rsidRPr="00E44260">
        <w:rPr>
          <w:rStyle w:val="Refdenotaalpie"/>
          <w:rFonts w:eastAsia="Times"/>
          <w:i w:val="0"/>
          <w:lang w:val="es-MX"/>
        </w:rPr>
        <w:footnoteReference w:id="134"/>
      </w:r>
      <w:r w:rsidRPr="00E44260">
        <w:rPr>
          <w:rFonts w:eastAsia="Times" w:cs="Arial"/>
          <w:i w:val="0"/>
          <w:szCs w:val="20"/>
          <w:lang w:val="es-MX"/>
        </w:rPr>
        <w:t xml:space="preserve">. </w:t>
      </w:r>
      <w:r w:rsidR="007C0E70" w:rsidRPr="00E44260">
        <w:rPr>
          <w:rFonts w:eastAsia="Times" w:cs="Arial"/>
          <w:i w:val="0"/>
          <w:szCs w:val="20"/>
          <w:lang w:val="es-MX"/>
        </w:rPr>
        <w:lastRenderedPageBreak/>
        <w:t>En ese sentido</w:t>
      </w:r>
      <w:r w:rsidRPr="00E44260">
        <w:rPr>
          <w:rFonts w:eastAsia="Times" w:cs="Arial"/>
          <w:i w:val="0"/>
          <w:szCs w:val="20"/>
          <w:lang w:val="es-MX"/>
        </w:rPr>
        <w:t xml:space="preserve">, la Corte constata que </w:t>
      </w:r>
      <w:r w:rsidR="00821799" w:rsidRPr="00E44260">
        <w:rPr>
          <w:rFonts w:eastAsia="Times" w:cs="Arial"/>
          <w:i w:val="0"/>
          <w:szCs w:val="20"/>
          <w:lang w:val="es-MX"/>
        </w:rPr>
        <w:t>48</w:t>
      </w:r>
      <w:r w:rsidRPr="00E44260">
        <w:rPr>
          <w:rFonts w:eastAsia="Times" w:cs="Arial"/>
          <w:i w:val="0"/>
          <w:szCs w:val="20"/>
          <w:lang w:val="es-MX"/>
        </w:rPr>
        <w:t xml:space="preserve"> de las presuntas víctimas de este caso</w:t>
      </w:r>
      <w:r w:rsidR="00821799" w:rsidRPr="00E44260">
        <w:rPr>
          <w:rFonts w:eastAsia="Times" w:cs="Arial"/>
          <w:i w:val="0"/>
          <w:szCs w:val="20"/>
          <w:lang w:val="es-MX"/>
        </w:rPr>
        <w:t xml:space="preserve"> no</w:t>
      </w:r>
      <w:r w:rsidRPr="00E44260">
        <w:rPr>
          <w:rFonts w:eastAsia="Times" w:cs="Arial"/>
          <w:i w:val="0"/>
          <w:szCs w:val="20"/>
          <w:lang w:val="es-MX"/>
        </w:rPr>
        <w:t xml:space="preserve"> habría</w:t>
      </w:r>
      <w:r w:rsidR="00821799" w:rsidRPr="00E44260">
        <w:rPr>
          <w:rFonts w:eastAsia="Times" w:cs="Arial"/>
          <w:i w:val="0"/>
          <w:szCs w:val="20"/>
          <w:lang w:val="es-MX"/>
        </w:rPr>
        <w:t>n</w:t>
      </w:r>
      <w:r w:rsidRPr="00E44260">
        <w:rPr>
          <w:rFonts w:eastAsia="Times" w:cs="Arial"/>
          <w:i w:val="0"/>
          <w:szCs w:val="20"/>
          <w:lang w:val="es-MX"/>
        </w:rPr>
        <w:t xml:space="preserve"> recibido tratamiento médico estatal previo al año 2004</w:t>
      </w:r>
      <w:r w:rsidR="007D45BD" w:rsidRPr="00E44260">
        <w:rPr>
          <w:rStyle w:val="Refdenotaalpie"/>
          <w:rFonts w:eastAsia="Times"/>
          <w:i w:val="0"/>
          <w:lang w:val="es-MX"/>
        </w:rPr>
        <w:footnoteReference w:id="135"/>
      </w:r>
      <w:r w:rsidRPr="00E44260">
        <w:rPr>
          <w:rFonts w:eastAsia="Times" w:cs="Arial"/>
          <w:i w:val="0"/>
          <w:szCs w:val="20"/>
          <w:lang w:val="es-MX"/>
        </w:rPr>
        <w:t xml:space="preserve">. </w:t>
      </w:r>
      <w:r w:rsidR="007C0E70" w:rsidRPr="00E44260">
        <w:rPr>
          <w:rFonts w:eastAsia="Times" w:cs="Arial"/>
          <w:i w:val="0"/>
          <w:szCs w:val="20"/>
          <w:lang w:val="es-MX"/>
        </w:rPr>
        <w:t>Por lo tanto</w:t>
      </w:r>
      <w:r w:rsidRPr="00E44260">
        <w:rPr>
          <w:rFonts w:eastAsia="Times" w:cs="Arial"/>
          <w:i w:val="0"/>
          <w:szCs w:val="20"/>
          <w:lang w:val="es-MX"/>
        </w:rPr>
        <w:t>, la Corte tiene por probado que, antes del año 2004, las presuntas víctimas</w:t>
      </w:r>
      <w:r w:rsidR="00F65878" w:rsidRPr="00E44260">
        <w:rPr>
          <w:rFonts w:eastAsia="Times" w:cs="Arial"/>
          <w:i w:val="0"/>
          <w:szCs w:val="20"/>
          <w:lang w:val="es-MX"/>
        </w:rPr>
        <w:t xml:space="preserve"> antes señaladas</w:t>
      </w:r>
      <w:r w:rsidRPr="00E44260">
        <w:rPr>
          <w:rFonts w:eastAsia="Times" w:cs="Arial"/>
          <w:i w:val="0"/>
          <w:szCs w:val="20"/>
          <w:lang w:val="es-MX"/>
        </w:rPr>
        <w:t xml:space="preserve"> no recibieron ningún tipo de tratamiento médico</w:t>
      </w:r>
      <w:r w:rsidR="00F65878" w:rsidRPr="00E44260">
        <w:rPr>
          <w:rFonts w:eastAsia="Times" w:cs="Arial"/>
          <w:i w:val="0"/>
          <w:szCs w:val="20"/>
          <w:lang w:val="es-MX"/>
        </w:rPr>
        <w:t xml:space="preserve"> estatal</w:t>
      </w:r>
      <w:r w:rsidR="00BB100B" w:rsidRPr="00E44260">
        <w:rPr>
          <w:rFonts w:eastAsia="Times" w:cs="Arial"/>
          <w:i w:val="0"/>
          <w:szCs w:val="20"/>
          <w:lang w:val="es-MX"/>
        </w:rPr>
        <w:t xml:space="preserve"> o que este fue deficiente</w:t>
      </w:r>
      <w:r w:rsidR="00F65878" w:rsidRPr="00E44260">
        <w:rPr>
          <w:rFonts w:eastAsia="Times" w:cs="Arial"/>
          <w:i w:val="0"/>
          <w:szCs w:val="20"/>
          <w:lang w:val="es-MX"/>
        </w:rPr>
        <w:t xml:space="preserve"> para atender su condición como personas que viven con el VIH</w:t>
      </w:r>
      <w:r w:rsidRPr="00E44260">
        <w:rPr>
          <w:rFonts w:eastAsia="Times" w:cs="Arial"/>
          <w:i w:val="0"/>
          <w:szCs w:val="20"/>
          <w:lang w:val="es-MX"/>
        </w:rPr>
        <w:t>.</w:t>
      </w:r>
      <w:r w:rsidR="00B44112" w:rsidRPr="00E44260">
        <w:rPr>
          <w:rFonts w:eastAsia="Times" w:cs="Arial"/>
          <w:i w:val="0"/>
          <w:szCs w:val="20"/>
          <w:lang w:val="es-MX"/>
        </w:rPr>
        <w:t xml:space="preserve"> Por su parte, el señor Cabrera Morales fue diagnosticado en octubre de 2001 y comenzó a recibir tratamiento antirretroviral proporcionado por el IGSS a partir de diciembre de 2001. No obstante, la Corte constata que tuvo acceso irregular a antirretrovirales y pruebas de CD4 y carga viral, que no le fueron realizados exámenes de genotipo y fenotipo, y que no ha recibido apoyo social ni psicológico, ni atención familiar, comunitaria y domiciliaria de conformidad con los estándares establecidos en esta Sentencia (</w:t>
      </w:r>
      <w:r w:rsidR="00B44112" w:rsidRPr="00E44260">
        <w:rPr>
          <w:rFonts w:eastAsia="Times" w:cs="Arial"/>
          <w:szCs w:val="20"/>
          <w:lang w:val="es-MX"/>
        </w:rPr>
        <w:t>supra</w:t>
      </w:r>
      <w:r w:rsidR="00B44112" w:rsidRPr="00E44260">
        <w:rPr>
          <w:rFonts w:eastAsia="Times" w:cs="Arial"/>
          <w:i w:val="0"/>
          <w:szCs w:val="20"/>
          <w:lang w:val="es-MX"/>
        </w:rPr>
        <w:t xml:space="preserve"> </w:t>
      </w:r>
      <w:proofErr w:type="spellStart"/>
      <w:r w:rsidR="00B44112" w:rsidRPr="00E44260">
        <w:rPr>
          <w:rFonts w:eastAsia="Times" w:cs="Arial"/>
          <w:i w:val="0"/>
          <w:szCs w:val="20"/>
          <w:lang w:val="es-MX"/>
        </w:rPr>
        <w:t>párrs</w:t>
      </w:r>
      <w:proofErr w:type="spellEnd"/>
      <w:r w:rsidR="00B44112" w:rsidRPr="00E44260">
        <w:rPr>
          <w:rFonts w:eastAsia="Times" w:cs="Arial"/>
          <w:i w:val="0"/>
          <w:szCs w:val="20"/>
          <w:lang w:val="es-MX"/>
        </w:rPr>
        <w:t>. 103 a 114), por lo tanto el tratamiento médico recibido con anterioridad al año 2004 careció de los elementos de disponibilidad, accesibilidad y c</w:t>
      </w:r>
      <w:r w:rsidR="004646A4">
        <w:rPr>
          <w:rFonts w:eastAsia="Times" w:cs="Arial"/>
          <w:i w:val="0"/>
          <w:szCs w:val="20"/>
          <w:lang w:val="es-MX"/>
        </w:rPr>
        <w:t>alidad de la atención en salud.</w:t>
      </w:r>
      <w:r w:rsidR="007C0E70" w:rsidRPr="00E44260">
        <w:rPr>
          <w:rFonts w:eastAsia="Times" w:cs="Arial"/>
          <w:i w:val="0"/>
          <w:szCs w:val="20"/>
          <w:lang w:val="es-MX"/>
        </w:rPr>
        <w:t xml:space="preserve"> En consecuencia, el</w:t>
      </w:r>
      <w:r w:rsidR="00B44112" w:rsidRPr="00E44260">
        <w:rPr>
          <w:rFonts w:eastAsia="Times" w:cs="Arial"/>
          <w:i w:val="0"/>
          <w:szCs w:val="20"/>
          <w:lang w:val="es-MX"/>
        </w:rPr>
        <w:t xml:space="preserve"> Tribunal concluye que el</w:t>
      </w:r>
      <w:r w:rsidR="007C0E70" w:rsidRPr="00E44260">
        <w:rPr>
          <w:rFonts w:eastAsia="Times" w:cs="Arial"/>
          <w:i w:val="0"/>
          <w:szCs w:val="20"/>
          <w:lang w:val="es-MX"/>
        </w:rPr>
        <w:t xml:space="preserve"> Estado es responsable por la violación </w:t>
      </w:r>
      <w:r w:rsidR="00D7239C" w:rsidRPr="00E44260">
        <w:rPr>
          <w:rFonts w:eastAsia="Times" w:cs="Arial"/>
          <w:i w:val="0"/>
          <w:szCs w:val="20"/>
          <w:lang w:val="es-MX"/>
        </w:rPr>
        <w:t>al</w:t>
      </w:r>
      <w:r w:rsidR="00661AFA" w:rsidRPr="00E44260">
        <w:rPr>
          <w:rFonts w:eastAsia="Times" w:cs="Arial"/>
          <w:i w:val="0"/>
          <w:szCs w:val="20"/>
          <w:lang w:val="es-MX"/>
        </w:rPr>
        <w:t xml:space="preserve"> deber de garantía del</w:t>
      </w:r>
      <w:r w:rsidR="007C0E70" w:rsidRPr="00E44260">
        <w:rPr>
          <w:rFonts w:eastAsia="Times" w:cs="Arial"/>
          <w:i w:val="0"/>
          <w:szCs w:val="20"/>
          <w:lang w:val="es-MX"/>
        </w:rPr>
        <w:t xml:space="preserve"> derecho a la salud</w:t>
      </w:r>
      <w:r w:rsidR="00661AFA" w:rsidRPr="00E44260">
        <w:rPr>
          <w:rFonts w:eastAsia="Times" w:cs="Arial"/>
          <w:i w:val="0"/>
          <w:szCs w:val="20"/>
          <w:lang w:val="es-MX"/>
        </w:rPr>
        <w:t>, de conformidad con el artículo 26 de la Convención Americana, en relación con el artículo 1.1 del mismo instrumento, en perjuicio</w:t>
      </w:r>
      <w:r w:rsidR="007C0E70" w:rsidRPr="00E44260">
        <w:rPr>
          <w:rFonts w:eastAsia="Times" w:cs="Arial"/>
          <w:i w:val="0"/>
          <w:szCs w:val="20"/>
          <w:lang w:val="es-MX"/>
        </w:rPr>
        <w:t xml:space="preserve"> </w:t>
      </w:r>
      <w:r w:rsidR="00F65878" w:rsidRPr="00E44260">
        <w:rPr>
          <w:rFonts w:eastAsia="Times" w:cs="Arial"/>
          <w:i w:val="0"/>
          <w:szCs w:val="20"/>
          <w:lang w:val="es-MX"/>
        </w:rPr>
        <w:t>de las 4</w:t>
      </w:r>
      <w:r w:rsidR="00BB100B" w:rsidRPr="00E44260">
        <w:rPr>
          <w:rFonts w:eastAsia="Times" w:cs="Arial"/>
          <w:i w:val="0"/>
          <w:szCs w:val="20"/>
          <w:lang w:val="es-MX"/>
        </w:rPr>
        <w:t>9</w:t>
      </w:r>
      <w:r w:rsidR="004A7002" w:rsidRPr="00E44260">
        <w:rPr>
          <w:rFonts w:eastAsia="Times" w:cs="Arial"/>
          <w:i w:val="0"/>
          <w:szCs w:val="20"/>
          <w:lang w:val="es-MX"/>
        </w:rPr>
        <w:t xml:space="preserve"> </w:t>
      </w:r>
      <w:r w:rsidR="003C6E53" w:rsidRPr="00E44260">
        <w:rPr>
          <w:rFonts w:eastAsia="Times" w:cs="Arial"/>
          <w:i w:val="0"/>
          <w:szCs w:val="20"/>
          <w:lang w:val="es-MX"/>
        </w:rPr>
        <w:t>personas señaladas</w:t>
      </w:r>
      <w:r w:rsidR="00661AFA" w:rsidRPr="00E44260">
        <w:rPr>
          <w:rFonts w:eastAsia="Times" w:cs="Arial"/>
          <w:i w:val="0"/>
          <w:szCs w:val="20"/>
          <w:lang w:val="es-MX"/>
        </w:rPr>
        <w:t xml:space="preserve"> como víctimas</w:t>
      </w:r>
      <w:r w:rsidR="003C6E53" w:rsidRPr="00E44260">
        <w:rPr>
          <w:rFonts w:eastAsia="Times" w:cs="Arial"/>
          <w:i w:val="0"/>
          <w:szCs w:val="20"/>
          <w:lang w:val="es-MX"/>
        </w:rPr>
        <w:t xml:space="preserve"> en el Anexo 2</w:t>
      </w:r>
      <w:r w:rsidR="004A7002" w:rsidRPr="00E44260">
        <w:rPr>
          <w:rFonts w:eastAsia="Times" w:cs="Arial"/>
          <w:i w:val="0"/>
          <w:szCs w:val="20"/>
          <w:lang w:val="es-MX"/>
        </w:rPr>
        <w:t xml:space="preserve"> de la </w:t>
      </w:r>
      <w:r w:rsidR="00661AFA" w:rsidRPr="00E44260">
        <w:rPr>
          <w:rFonts w:eastAsia="Times" w:cs="Arial"/>
          <w:i w:val="0"/>
          <w:szCs w:val="20"/>
          <w:lang w:val="es-MX"/>
        </w:rPr>
        <w:t>presente Sentencia</w:t>
      </w:r>
      <w:r w:rsidR="004A7002" w:rsidRPr="00E44260">
        <w:rPr>
          <w:rFonts w:eastAsia="Times" w:cs="Arial"/>
          <w:i w:val="0"/>
          <w:szCs w:val="20"/>
          <w:lang w:val="es-MX"/>
        </w:rPr>
        <w:t>.</w:t>
      </w:r>
    </w:p>
    <w:p w14:paraId="1BB63B2E" w14:textId="77777777" w:rsidR="00661AFA" w:rsidRDefault="00661AFA" w:rsidP="00661AFA">
      <w:pPr>
        <w:pStyle w:val="Prrafodelista"/>
        <w:rPr>
          <w:rFonts w:eastAsia="Times" w:cs="Arial"/>
          <w:i/>
          <w:szCs w:val="20"/>
          <w:lang w:val="es-MX"/>
        </w:rPr>
      </w:pPr>
    </w:p>
    <w:p w14:paraId="092D058D" w14:textId="23327DD7" w:rsidR="00D0657E"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7C0E70">
        <w:rPr>
          <w:rFonts w:eastAsia="Times" w:cs="Arial"/>
          <w:i w:val="0"/>
          <w:szCs w:val="20"/>
          <w:lang w:val="es-MX"/>
        </w:rPr>
        <w:t>El Tribunal procederá a analizar si el tratamiento médico recibido con posterioridad al año 2004 fue adecuado</w:t>
      </w:r>
      <w:r w:rsidR="004A7002">
        <w:rPr>
          <w:rFonts w:eastAsia="Times" w:cs="Arial"/>
          <w:i w:val="0"/>
          <w:szCs w:val="20"/>
          <w:lang w:val="es-MX"/>
        </w:rPr>
        <w:t xml:space="preserve"> conforme a los estándares relacionados con el derecho a la salud</w:t>
      </w:r>
      <w:r w:rsidRPr="007C0E70">
        <w:rPr>
          <w:rFonts w:eastAsia="Times" w:cs="Arial"/>
          <w:i w:val="0"/>
          <w:szCs w:val="20"/>
          <w:lang w:val="es-MX"/>
        </w:rPr>
        <w:t>.</w:t>
      </w:r>
    </w:p>
    <w:p w14:paraId="1688F54B" w14:textId="77777777" w:rsidR="00E92CA8" w:rsidRPr="007C0E70" w:rsidRDefault="00E92CA8" w:rsidP="00E92CA8">
      <w:pPr>
        <w:pStyle w:val="Estilo1"/>
        <w:tabs>
          <w:tab w:val="left" w:pos="709"/>
          <w:tab w:val="left" w:pos="1134"/>
        </w:tabs>
        <w:spacing w:after="0"/>
        <w:ind w:left="0" w:right="-4" w:firstLine="0"/>
        <w:rPr>
          <w:rFonts w:eastAsia="Times" w:cs="Arial"/>
          <w:i w:val="0"/>
          <w:szCs w:val="20"/>
          <w:lang w:val="es-MX"/>
        </w:rPr>
      </w:pPr>
    </w:p>
    <w:p w14:paraId="6234812B" w14:textId="3AF53C11" w:rsidR="00F46845" w:rsidRDefault="00AC0BEF" w:rsidP="00E92CA8">
      <w:pPr>
        <w:pStyle w:val="Estilo1"/>
        <w:tabs>
          <w:tab w:val="left" w:pos="709"/>
          <w:tab w:val="left" w:pos="1134"/>
        </w:tabs>
        <w:spacing w:after="0"/>
        <w:ind w:left="0" w:right="-4" w:firstLine="0"/>
        <w:rPr>
          <w:rFonts w:eastAsia="Times" w:cs="Arial"/>
          <w:b/>
          <w:szCs w:val="20"/>
          <w:lang w:val="es-MX"/>
        </w:rPr>
      </w:pPr>
      <w:r>
        <w:rPr>
          <w:rFonts w:eastAsia="Times" w:cs="Arial"/>
          <w:i w:val="0"/>
          <w:szCs w:val="20"/>
          <w:lang w:val="es-MX"/>
        </w:rPr>
        <w:tab/>
      </w:r>
      <w:r>
        <w:rPr>
          <w:rFonts w:eastAsia="Times" w:cs="Arial"/>
          <w:i w:val="0"/>
          <w:szCs w:val="20"/>
          <w:lang w:val="es-MX"/>
        </w:rPr>
        <w:tab/>
      </w:r>
      <w:r>
        <w:rPr>
          <w:rFonts w:eastAsia="Times" w:cs="Arial"/>
          <w:i w:val="0"/>
          <w:szCs w:val="20"/>
          <w:lang w:val="es-MX"/>
        </w:rPr>
        <w:tab/>
      </w:r>
      <w:r w:rsidR="00EE1E0E">
        <w:rPr>
          <w:rFonts w:eastAsia="Verdana"/>
          <w:b/>
          <w:bCs/>
          <w:szCs w:val="20"/>
          <w:lang w:val="es-CR" w:eastAsia="x-none"/>
        </w:rPr>
        <w:t>B.4.2</w:t>
      </w:r>
      <w:r w:rsidR="00D0657E" w:rsidRPr="00D0657E">
        <w:rPr>
          <w:rFonts w:eastAsia="Verdana"/>
          <w:b/>
          <w:bCs/>
          <w:szCs w:val="20"/>
          <w:lang w:val="es-CR" w:eastAsia="x-none"/>
        </w:rPr>
        <w:t>.</w:t>
      </w:r>
      <w:r w:rsidR="00F46845" w:rsidRPr="00D0657E">
        <w:rPr>
          <w:rFonts w:eastAsia="Verdana"/>
          <w:b/>
          <w:bCs/>
          <w:szCs w:val="20"/>
          <w:lang w:val="es-CR" w:eastAsia="x-none"/>
        </w:rPr>
        <w:t xml:space="preserve"> </w:t>
      </w:r>
      <w:r w:rsidR="00F46845" w:rsidRPr="00D0657E">
        <w:rPr>
          <w:rFonts w:eastAsia="Times" w:cs="Arial"/>
          <w:b/>
          <w:szCs w:val="20"/>
          <w:lang w:val="es-MX"/>
        </w:rPr>
        <w:t>Análisis respecto al tratamiento médico recibido por las presuntas víctimas con posterioridad al año 2004</w:t>
      </w:r>
    </w:p>
    <w:p w14:paraId="7D492AE5" w14:textId="77777777" w:rsidR="00E92CA8" w:rsidRPr="00E92CA8" w:rsidRDefault="00E92CA8" w:rsidP="00E92CA8">
      <w:pPr>
        <w:pStyle w:val="Estilo1"/>
        <w:tabs>
          <w:tab w:val="left" w:pos="709"/>
          <w:tab w:val="left" w:pos="1134"/>
        </w:tabs>
        <w:spacing w:after="0"/>
        <w:ind w:left="0" w:right="-4" w:firstLine="0"/>
        <w:rPr>
          <w:rFonts w:eastAsia="Times" w:cs="Arial"/>
          <w:i w:val="0"/>
          <w:szCs w:val="20"/>
          <w:lang w:val="es-MX"/>
        </w:rPr>
      </w:pPr>
    </w:p>
    <w:p w14:paraId="397631FD" w14:textId="57E20EA4" w:rsidR="008A3A01" w:rsidRPr="00573C94" w:rsidRDefault="008A3A01" w:rsidP="00E92CA8">
      <w:pPr>
        <w:pStyle w:val="Estilo1"/>
        <w:numPr>
          <w:ilvl w:val="0"/>
          <w:numId w:val="3"/>
        </w:numPr>
        <w:tabs>
          <w:tab w:val="left" w:pos="709"/>
          <w:tab w:val="left" w:pos="1134"/>
        </w:tabs>
        <w:spacing w:after="0"/>
        <w:ind w:left="0" w:right="-4" w:firstLine="0"/>
        <w:rPr>
          <w:rFonts w:eastAsia="Times" w:cs="Arial"/>
          <w:i w:val="0"/>
          <w:lang w:val="es-MX"/>
        </w:rPr>
      </w:pPr>
      <w:r w:rsidRPr="00573C94">
        <w:rPr>
          <w:i w:val="0"/>
          <w:lang w:val="es-MX"/>
        </w:rPr>
        <w:t>En el presente caso,</w:t>
      </w:r>
      <w:r w:rsidR="003C6E53" w:rsidRPr="00573C94">
        <w:rPr>
          <w:i w:val="0"/>
          <w:lang w:val="es-MX"/>
        </w:rPr>
        <w:t xml:space="preserve"> en primer lugar,</w:t>
      </w:r>
      <w:r w:rsidRPr="00573C94">
        <w:rPr>
          <w:i w:val="0"/>
          <w:lang w:val="es-MX"/>
        </w:rPr>
        <w:t xml:space="preserve"> la Corte</w:t>
      </w:r>
      <w:r w:rsidR="00A30A7D" w:rsidRPr="00573C94">
        <w:rPr>
          <w:i w:val="0"/>
          <w:lang w:val="es-MX"/>
        </w:rPr>
        <w:t xml:space="preserve"> recuerda que el tratamiento médico para personas con VIH requiere la disponibilidad de cantidades suficientes de antirretrovirales y otros productos farmacéuticos para el tratamiento de enfermedades oportunistas. Al respecto, d</w:t>
      </w:r>
      <w:r w:rsidR="003C6E53" w:rsidRPr="00573C94">
        <w:rPr>
          <w:i w:val="0"/>
          <w:lang w:val="es-MX"/>
        </w:rPr>
        <w:t>el acervo probatorio, se desprende que</w:t>
      </w:r>
      <w:r w:rsidRPr="00573C94">
        <w:rPr>
          <w:i w:val="0"/>
          <w:lang w:val="es-MX"/>
        </w:rPr>
        <w:t xml:space="preserve"> </w:t>
      </w:r>
      <w:r w:rsidR="00D11875">
        <w:rPr>
          <w:i w:val="0"/>
          <w:lang w:val="es-MX"/>
        </w:rPr>
        <w:t>3</w:t>
      </w:r>
      <w:r w:rsidR="00584421">
        <w:rPr>
          <w:i w:val="0"/>
          <w:lang w:val="es-MX"/>
        </w:rPr>
        <w:t>1</w:t>
      </w:r>
      <w:r w:rsidRPr="00573C94">
        <w:rPr>
          <w:i w:val="0"/>
          <w:lang w:val="es-MX"/>
        </w:rPr>
        <w:t xml:space="preserve"> de las presuntas víctimas tuvieron acceso irregular, nulo o inadecuado a antirretrovirales por parte del Estado. En ese sentido, el T</w:t>
      </w:r>
      <w:r w:rsidR="00D9051D" w:rsidRPr="00573C94">
        <w:rPr>
          <w:i w:val="0"/>
          <w:lang w:val="es-MX"/>
        </w:rPr>
        <w:t xml:space="preserve">ribunal constata lo siguiente: </w:t>
      </w:r>
      <w:r w:rsidRPr="00573C94">
        <w:rPr>
          <w:i w:val="0"/>
          <w:lang w:val="es-MX"/>
        </w:rPr>
        <w:t>i) algunas presuntas víctimas carecieron de acceso a antir</w:t>
      </w:r>
      <w:r w:rsidR="00461BB6">
        <w:rPr>
          <w:i w:val="0"/>
          <w:lang w:val="es-MX"/>
        </w:rPr>
        <w:t>r</w:t>
      </w:r>
      <w:r w:rsidRPr="00573C94">
        <w:rPr>
          <w:i w:val="0"/>
          <w:lang w:val="es-MX"/>
        </w:rPr>
        <w:t xml:space="preserve">etrovirales, </w:t>
      </w:r>
      <w:r w:rsidRPr="00573C94">
        <w:rPr>
          <w:rFonts w:eastAsia="Times"/>
          <w:i w:val="0"/>
          <w:lang w:val="es-MX"/>
        </w:rPr>
        <w:t>ya sea por el prolongado tiempo transcurrido entre el primer diagnóstico de VIH y el inicio del tratamiento,</w:t>
      </w:r>
      <w:r w:rsidRPr="00573C94">
        <w:rPr>
          <w:i w:val="0"/>
          <w:lang w:val="es-MX"/>
        </w:rPr>
        <w:t xml:space="preserve"> o porque el tratamiento fue insuficiente una vez que tuvieron acceso a él</w:t>
      </w:r>
      <w:r w:rsidRPr="00573C94">
        <w:rPr>
          <w:rStyle w:val="Refdenotaalpie"/>
          <w:i w:val="0"/>
          <w:lang w:val="es-MX"/>
        </w:rPr>
        <w:footnoteReference w:id="136"/>
      </w:r>
      <w:r w:rsidR="00D9051D" w:rsidRPr="00573C94">
        <w:rPr>
          <w:i w:val="0"/>
          <w:lang w:val="es-MX"/>
        </w:rPr>
        <w:t xml:space="preserve">; </w:t>
      </w:r>
      <w:r w:rsidRPr="00573C94">
        <w:rPr>
          <w:i w:val="0"/>
          <w:lang w:val="es-MX"/>
        </w:rPr>
        <w:t xml:space="preserve">ii) en otros casos, los </w:t>
      </w:r>
      <w:r w:rsidRPr="00573C94">
        <w:rPr>
          <w:rFonts w:eastAsia="Times" w:cs="Arial"/>
          <w:i w:val="0"/>
          <w:lang w:val="es-MX"/>
        </w:rPr>
        <w:t>pacientes su</w:t>
      </w:r>
      <w:r w:rsidRPr="00573C94">
        <w:rPr>
          <w:i w:val="0"/>
          <w:lang w:val="es-MX"/>
        </w:rPr>
        <w:t>frieron desabastecimiento o falta de periodicidad en el suministro de sus medicamentos</w:t>
      </w:r>
      <w:r w:rsidRPr="00573C94">
        <w:rPr>
          <w:rStyle w:val="Refdenotaalpie"/>
          <w:i w:val="0"/>
          <w:lang w:val="es-MX"/>
        </w:rPr>
        <w:footnoteReference w:id="137"/>
      </w:r>
      <w:r w:rsidR="00D9051D" w:rsidRPr="00573C94">
        <w:rPr>
          <w:i w:val="0"/>
          <w:lang w:val="es-MX"/>
        </w:rPr>
        <w:t xml:space="preserve">; </w:t>
      </w:r>
      <w:r w:rsidRPr="00573C94">
        <w:rPr>
          <w:i w:val="0"/>
          <w:lang w:val="es-MX"/>
        </w:rPr>
        <w:t xml:space="preserve">iii) </w:t>
      </w:r>
      <w:r w:rsidRPr="00573C94">
        <w:rPr>
          <w:rFonts w:eastAsia="Times" w:cs="Arial"/>
          <w:i w:val="0"/>
          <w:lang w:val="es-MX"/>
        </w:rPr>
        <w:t xml:space="preserve">por último, en relación </w:t>
      </w:r>
      <w:r w:rsidR="00281C5D" w:rsidRPr="00573C94">
        <w:rPr>
          <w:rFonts w:eastAsia="Times" w:cs="Arial"/>
          <w:i w:val="0"/>
          <w:lang w:val="es-MX"/>
        </w:rPr>
        <w:t>a algunas personas</w:t>
      </w:r>
      <w:r w:rsidRPr="00573C94">
        <w:rPr>
          <w:rFonts w:eastAsia="Times" w:cs="Arial"/>
          <w:i w:val="0"/>
          <w:lang w:val="es-MX"/>
        </w:rPr>
        <w:t xml:space="preserve"> se detectaron fallas terapéuticas debido a que el tratamiento antirretroviral causó resistencia, o se probó que las</w:t>
      </w:r>
      <w:r w:rsidR="00281C5D" w:rsidRPr="00573C94">
        <w:rPr>
          <w:rFonts w:eastAsia="Times" w:cs="Arial"/>
          <w:i w:val="0"/>
          <w:lang w:val="es-MX"/>
        </w:rPr>
        <w:t xml:space="preserve"> presuntas</w:t>
      </w:r>
      <w:r w:rsidRPr="00573C94">
        <w:rPr>
          <w:rFonts w:eastAsia="Times" w:cs="Arial"/>
          <w:i w:val="0"/>
          <w:lang w:val="es-MX"/>
        </w:rPr>
        <w:t xml:space="preserve"> víctimas requerían un cambio de esquema en su tratamiento, mismo que no fue proporcionado</w:t>
      </w:r>
      <w:r w:rsidRPr="00573C94">
        <w:rPr>
          <w:rStyle w:val="Refdenotaalpie"/>
          <w:i w:val="0"/>
          <w:lang w:val="es-MX"/>
        </w:rPr>
        <w:footnoteReference w:id="138"/>
      </w:r>
      <w:r w:rsidRPr="00573C94">
        <w:rPr>
          <w:rFonts w:eastAsia="Times" w:cs="Arial"/>
          <w:i w:val="0"/>
          <w:lang w:val="es-MX"/>
        </w:rPr>
        <w:t>.</w:t>
      </w:r>
      <w:r w:rsidRPr="00573C94">
        <w:rPr>
          <w:rFonts w:eastAsia="Times"/>
          <w:i w:val="0"/>
          <w:lang w:val="es-MX"/>
        </w:rPr>
        <w:t xml:space="preserve"> </w:t>
      </w:r>
      <w:r w:rsidR="00A90CAC" w:rsidRPr="00573C94">
        <w:rPr>
          <w:i w:val="0"/>
        </w:rPr>
        <w:t xml:space="preserve">En relación con el resto de las presuntas </w:t>
      </w:r>
      <w:r w:rsidR="00A90CAC" w:rsidRPr="00573C94">
        <w:rPr>
          <w:i w:val="0"/>
        </w:rPr>
        <w:lastRenderedPageBreak/>
        <w:t xml:space="preserve">víctimas, </w:t>
      </w:r>
      <w:r w:rsidRPr="00573C94">
        <w:rPr>
          <w:i w:val="0"/>
          <w:color w:val="000000"/>
        </w:rPr>
        <w:t>el Tribunal carece de información suficiente para determinar su situación respecto al tratamiento antirretroviral.</w:t>
      </w:r>
    </w:p>
    <w:p w14:paraId="1BD633D2" w14:textId="77777777" w:rsidR="00E92CA8" w:rsidRPr="00654D86" w:rsidRDefault="00E92CA8" w:rsidP="00E92CA8">
      <w:pPr>
        <w:pStyle w:val="Estilo1"/>
        <w:tabs>
          <w:tab w:val="left" w:pos="709"/>
          <w:tab w:val="left" w:pos="1134"/>
        </w:tabs>
        <w:spacing w:after="0"/>
        <w:ind w:left="0" w:right="-4" w:firstLine="0"/>
        <w:rPr>
          <w:rFonts w:eastAsia="Times" w:cs="Arial"/>
          <w:i w:val="0"/>
          <w:highlight w:val="yellow"/>
          <w:lang w:val="es-MX"/>
        </w:rPr>
      </w:pPr>
    </w:p>
    <w:p w14:paraId="270E3F3A" w14:textId="32F29E8D" w:rsidR="00F46845" w:rsidRPr="00D11875" w:rsidRDefault="003C6E53"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rFonts w:eastAsia="Times" w:cs="Arial"/>
          <w:i w:val="0"/>
          <w:szCs w:val="20"/>
          <w:lang w:val="es-MX"/>
        </w:rPr>
        <w:t>En segundo lugar</w:t>
      </w:r>
      <w:r w:rsidR="00F46845" w:rsidRPr="00D11875">
        <w:rPr>
          <w:rFonts w:eastAsia="Times" w:cs="Arial"/>
          <w:i w:val="0"/>
          <w:szCs w:val="20"/>
          <w:lang w:val="es-MX"/>
        </w:rPr>
        <w:t xml:space="preserve">, el Tribunal </w:t>
      </w:r>
      <w:r w:rsidRPr="00D11875">
        <w:rPr>
          <w:rFonts w:eastAsia="Times" w:cs="Arial"/>
          <w:i w:val="0"/>
          <w:szCs w:val="20"/>
          <w:lang w:val="es-MX"/>
        </w:rPr>
        <w:t>recuerda que</w:t>
      </w:r>
      <w:r w:rsidR="00F46845" w:rsidRPr="00D11875">
        <w:rPr>
          <w:rFonts w:eastAsia="Times" w:cs="Arial"/>
          <w:i w:val="0"/>
          <w:szCs w:val="20"/>
          <w:lang w:val="es-MX"/>
        </w:rPr>
        <w:t xml:space="preserve"> la</w:t>
      </w:r>
      <w:r w:rsidRPr="00D11875">
        <w:rPr>
          <w:rFonts w:eastAsia="Times" w:cs="Arial"/>
          <w:i w:val="0"/>
          <w:szCs w:val="20"/>
          <w:lang w:val="es-MX"/>
        </w:rPr>
        <w:t xml:space="preserve"> obligación del Estado de garantizar el derecho a la salud para personas </w:t>
      </w:r>
      <w:r w:rsidR="00D11875" w:rsidRPr="00D11875">
        <w:rPr>
          <w:rFonts w:eastAsia="Times" w:cs="Arial"/>
          <w:i w:val="0"/>
          <w:szCs w:val="20"/>
          <w:lang w:val="es-MX"/>
        </w:rPr>
        <w:t xml:space="preserve">que viven </w:t>
      </w:r>
      <w:r w:rsidRPr="00D11875">
        <w:rPr>
          <w:rFonts w:eastAsia="Times" w:cs="Arial"/>
          <w:i w:val="0"/>
          <w:szCs w:val="20"/>
          <w:lang w:val="es-MX"/>
        </w:rPr>
        <w:t xml:space="preserve">con </w:t>
      </w:r>
      <w:r w:rsidR="00D11875" w:rsidRPr="00D11875">
        <w:rPr>
          <w:rFonts w:eastAsia="Times" w:cs="Arial"/>
          <w:i w:val="0"/>
          <w:szCs w:val="20"/>
          <w:lang w:val="es-MX"/>
        </w:rPr>
        <w:t xml:space="preserve">el </w:t>
      </w:r>
      <w:r w:rsidRPr="00D11875">
        <w:rPr>
          <w:rFonts w:eastAsia="Times" w:cs="Arial"/>
          <w:i w:val="0"/>
          <w:szCs w:val="20"/>
          <w:lang w:val="es-MX"/>
        </w:rPr>
        <w:t>VIH requiere la</w:t>
      </w:r>
      <w:r w:rsidR="00F46845" w:rsidRPr="00D11875">
        <w:rPr>
          <w:rFonts w:eastAsia="Times" w:cs="Arial"/>
          <w:i w:val="0"/>
          <w:szCs w:val="20"/>
          <w:lang w:val="es-MX"/>
        </w:rPr>
        <w:t xml:space="preserve"> realización de pruebas</w:t>
      </w:r>
      <w:r w:rsidRPr="00D11875">
        <w:rPr>
          <w:rFonts w:eastAsia="Times" w:cs="Arial"/>
          <w:i w:val="0"/>
          <w:szCs w:val="20"/>
          <w:lang w:val="es-MX"/>
        </w:rPr>
        <w:t xml:space="preserve"> diagnósticas para la atención de la infección y de enfermedades oportunistas, las cuales</w:t>
      </w:r>
      <w:r w:rsidR="00F46845" w:rsidRPr="00D11875">
        <w:rPr>
          <w:rFonts w:eastAsia="Times" w:cs="Arial"/>
          <w:i w:val="0"/>
          <w:szCs w:val="20"/>
          <w:lang w:val="es-MX"/>
        </w:rPr>
        <w:t xml:space="preserve"> </w:t>
      </w:r>
      <w:r w:rsidRPr="00D11875">
        <w:rPr>
          <w:rFonts w:eastAsia="Times" w:cs="Arial"/>
          <w:i w:val="0"/>
          <w:szCs w:val="20"/>
          <w:lang w:val="es-MX"/>
        </w:rPr>
        <w:t xml:space="preserve">son </w:t>
      </w:r>
      <w:r w:rsidR="00F46845" w:rsidRPr="00D11875">
        <w:rPr>
          <w:rFonts w:eastAsia="Times" w:cs="Arial"/>
          <w:i w:val="0"/>
          <w:szCs w:val="20"/>
          <w:lang w:val="es-MX"/>
        </w:rPr>
        <w:t>fundamental</w:t>
      </w:r>
      <w:r w:rsidRPr="00D11875">
        <w:rPr>
          <w:rFonts w:eastAsia="Times" w:cs="Arial"/>
          <w:i w:val="0"/>
          <w:szCs w:val="20"/>
          <w:lang w:val="es-MX"/>
        </w:rPr>
        <w:t>es</w:t>
      </w:r>
      <w:r w:rsidR="00F46845" w:rsidRPr="00D11875">
        <w:rPr>
          <w:rFonts w:eastAsia="Times" w:cs="Arial"/>
          <w:i w:val="0"/>
          <w:szCs w:val="20"/>
          <w:lang w:val="es-MX"/>
        </w:rPr>
        <w:t xml:space="preserve"> para prescribir el tratamiento antirretroviral adecuado. De la misma forma, la falta de pruebas periódicas genera un riesgo de </w:t>
      </w:r>
      <w:r w:rsidR="00F46845" w:rsidRPr="00D11875">
        <w:rPr>
          <w:i w:val="0"/>
          <w:szCs w:val="20"/>
          <w:lang w:val="es-MX"/>
        </w:rPr>
        <w:t xml:space="preserve">que el paciente reciba un tratamiento inadecuado o bien que el virus cause resistencia a los medicamentos antirretrovirales aumentando así el riesgo de contagio de enfermedades oportunistas. </w:t>
      </w:r>
      <w:r w:rsidR="00F46845" w:rsidRPr="00D11875">
        <w:rPr>
          <w:rFonts w:eastAsia="Times" w:cs="Arial"/>
          <w:i w:val="0"/>
          <w:szCs w:val="20"/>
          <w:lang w:val="es-MX"/>
        </w:rPr>
        <w:t>En relación con el presente caso, el Tribunal advierte que</w:t>
      </w:r>
      <w:r w:rsidR="00A90CAC" w:rsidRPr="00D11875">
        <w:rPr>
          <w:rFonts w:eastAsia="Times" w:cs="Arial"/>
          <w:i w:val="0"/>
          <w:szCs w:val="20"/>
          <w:lang w:val="es-MX"/>
        </w:rPr>
        <w:t xml:space="preserve"> </w:t>
      </w:r>
      <w:r w:rsidR="00584421">
        <w:rPr>
          <w:rFonts w:eastAsia="Times" w:cs="Arial"/>
          <w:i w:val="0"/>
          <w:szCs w:val="20"/>
          <w:lang w:val="es-MX"/>
        </w:rPr>
        <w:t>39</w:t>
      </w:r>
      <w:r w:rsidR="00F46845" w:rsidRPr="00D11875">
        <w:rPr>
          <w:rFonts w:eastAsia="Times" w:cs="Arial"/>
          <w:i w:val="0"/>
          <w:szCs w:val="20"/>
          <w:lang w:val="es-MX"/>
        </w:rPr>
        <w:t xml:space="preserve"> de las presuntas víctimas no tuvieron acceso a </w:t>
      </w:r>
      <w:r w:rsidR="00A23E98">
        <w:rPr>
          <w:rFonts w:eastAsia="Times" w:cs="Arial"/>
          <w:i w:val="0"/>
          <w:szCs w:val="20"/>
          <w:lang w:val="es-MX"/>
        </w:rPr>
        <w:t xml:space="preserve">pruebas periódicas de </w:t>
      </w:r>
      <w:r w:rsidR="00F46845" w:rsidRPr="00D11875">
        <w:rPr>
          <w:rFonts w:eastAsia="Times" w:cs="Arial"/>
          <w:i w:val="0"/>
          <w:szCs w:val="20"/>
          <w:lang w:val="es-MX"/>
        </w:rPr>
        <w:t>CD4, c</w:t>
      </w:r>
      <w:r w:rsidR="000707C8" w:rsidRPr="00D11875">
        <w:rPr>
          <w:rFonts w:eastAsia="Times" w:cs="Arial"/>
          <w:i w:val="0"/>
          <w:szCs w:val="20"/>
          <w:lang w:val="es-MX"/>
        </w:rPr>
        <w:t>arga viral, fenotipo y genotipo, y en algunos casos</w:t>
      </w:r>
      <w:r w:rsidR="00F46845" w:rsidRPr="00D11875">
        <w:rPr>
          <w:rFonts w:eastAsia="Times" w:cs="Arial"/>
          <w:i w:val="0"/>
          <w:szCs w:val="20"/>
          <w:lang w:val="es-MX"/>
        </w:rPr>
        <w:t xml:space="preserve"> los pacientes carecieron de la realización de todas las pruebas</w:t>
      </w:r>
      <w:r w:rsidR="00F46845" w:rsidRPr="00D11875">
        <w:rPr>
          <w:rStyle w:val="Refdenotaalpie"/>
          <w:rFonts w:eastAsia="Times"/>
          <w:i w:val="0"/>
          <w:lang w:val="es-MX"/>
        </w:rPr>
        <w:footnoteReference w:id="139"/>
      </w:r>
      <w:r w:rsidR="00F46845" w:rsidRPr="00D11875">
        <w:rPr>
          <w:rFonts w:eastAsia="Times" w:cs="Arial"/>
          <w:i w:val="0"/>
          <w:szCs w:val="20"/>
          <w:lang w:val="es-MX"/>
        </w:rPr>
        <w:t>. Específicamente, la Corte constata que en algunos casos no</w:t>
      </w:r>
      <w:r w:rsidR="00A23E98">
        <w:rPr>
          <w:rFonts w:eastAsia="Times" w:cs="Arial"/>
          <w:i w:val="0"/>
          <w:szCs w:val="20"/>
          <w:lang w:val="es-MX"/>
        </w:rPr>
        <w:t xml:space="preserve"> fueron practicadas pruebas de </w:t>
      </w:r>
      <w:r w:rsidR="00F46845" w:rsidRPr="00D11875">
        <w:rPr>
          <w:rFonts w:eastAsia="Times" w:cs="Arial"/>
          <w:i w:val="0"/>
          <w:szCs w:val="20"/>
          <w:lang w:val="es-MX"/>
        </w:rPr>
        <w:t>CD4 y/o carga viral</w:t>
      </w:r>
      <w:r w:rsidR="00F46845" w:rsidRPr="00D11875">
        <w:rPr>
          <w:rStyle w:val="Refdenotaalpie"/>
          <w:rFonts w:eastAsia="Times"/>
          <w:i w:val="0"/>
          <w:lang w:val="es-MX"/>
        </w:rPr>
        <w:footnoteReference w:id="140"/>
      </w:r>
      <w:r w:rsidR="000707C8" w:rsidRPr="00D11875">
        <w:rPr>
          <w:rFonts w:eastAsia="Times" w:cs="Arial"/>
          <w:i w:val="0"/>
          <w:szCs w:val="20"/>
          <w:lang w:val="es-MX"/>
        </w:rPr>
        <w:t>,</w:t>
      </w:r>
      <w:r w:rsidR="00F46845" w:rsidRPr="00D11875">
        <w:rPr>
          <w:rFonts w:eastAsia="Times" w:cs="Arial"/>
          <w:i w:val="0"/>
          <w:szCs w:val="20"/>
          <w:lang w:val="es-MX"/>
        </w:rPr>
        <w:t xml:space="preserve"> en otros casos no se les ha practicado exámenes de genotipo y/o fenotipo</w:t>
      </w:r>
      <w:r w:rsidR="00F46845" w:rsidRPr="00D11875">
        <w:rPr>
          <w:rStyle w:val="Refdenotaalpie"/>
          <w:rFonts w:eastAsia="Times"/>
          <w:i w:val="0"/>
          <w:lang w:val="es-MX"/>
        </w:rPr>
        <w:footnoteReference w:id="141"/>
      </w:r>
      <w:r w:rsidR="00F46845" w:rsidRPr="00D11875">
        <w:rPr>
          <w:rFonts w:eastAsia="Times" w:cs="Arial"/>
          <w:i w:val="0"/>
          <w:szCs w:val="20"/>
          <w:lang w:val="es-MX"/>
        </w:rPr>
        <w:t>, y la mayoría de las víctimas ha carecido de la realización periódica de exámenes</w:t>
      </w:r>
      <w:r w:rsidR="00F46845" w:rsidRPr="00D11875">
        <w:rPr>
          <w:rStyle w:val="Refdenotaalpie"/>
          <w:rFonts w:eastAsia="Times"/>
          <w:i w:val="0"/>
          <w:lang w:val="es-MX"/>
        </w:rPr>
        <w:footnoteReference w:id="142"/>
      </w:r>
      <w:r w:rsidR="00F46845" w:rsidRPr="00D11875">
        <w:rPr>
          <w:rFonts w:eastAsia="Times" w:cs="Arial"/>
          <w:i w:val="0"/>
          <w:szCs w:val="20"/>
          <w:lang w:val="es-MX"/>
        </w:rPr>
        <w:t xml:space="preserve"> en conformidad con los estándares establecidos para la adecuada atención y seguimiento del tratamiento médico integral para las personas que viven con</w:t>
      </w:r>
      <w:r w:rsidR="00D11875">
        <w:rPr>
          <w:rFonts w:eastAsia="Times" w:cs="Arial"/>
          <w:i w:val="0"/>
          <w:szCs w:val="20"/>
          <w:lang w:val="es-MX"/>
        </w:rPr>
        <w:t xml:space="preserve"> el</w:t>
      </w:r>
      <w:r w:rsidR="00F46845" w:rsidRPr="00D11875">
        <w:rPr>
          <w:rFonts w:eastAsia="Times" w:cs="Arial"/>
          <w:i w:val="0"/>
          <w:szCs w:val="20"/>
          <w:lang w:val="es-MX"/>
        </w:rPr>
        <w:t xml:space="preserve"> VIH</w:t>
      </w:r>
      <w:r w:rsidR="008D0B4F">
        <w:rPr>
          <w:rFonts w:eastAsia="Times" w:cs="Arial"/>
          <w:i w:val="0"/>
          <w:szCs w:val="20"/>
          <w:lang w:val="es-MX"/>
        </w:rPr>
        <w:t>,</w:t>
      </w:r>
      <w:r w:rsidR="00F46845" w:rsidRPr="00D11875">
        <w:rPr>
          <w:rFonts w:eastAsia="Times" w:cs="Arial"/>
          <w:i w:val="0"/>
          <w:szCs w:val="20"/>
          <w:lang w:val="es-MX"/>
        </w:rPr>
        <w:t xml:space="preserve"> o bien en algún momento ha tenido que cubrir el costo de los mismos</w:t>
      </w:r>
      <w:r w:rsidR="00F46845" w:rsidRPr="00D11875">
        <w:rPr>
          <w:rStyle w:val="Refdenotaalpie"/>
          <w:rFonts w:eastAsia="Times"/>
          <w:i w:val="0"/>
          <w:lang w:val="es-MX"/>
        </w:rPr>
        <w:footnoteReference w:id="143"/>
      </w:r>
      <w:r w:rsidR="000707C8" w:rsidRPr="00D11875">
        <w:rPr>
          <w:rFonts w:eastAsia="Times" w:cs="Arial"/>
          <w:i w:val="0"/>
          <w:szCs w:val="20"/>
          <w:lang w:val="es-MX"/>
        </w:rPr>
        <w:t>.</w:t>
      </w:r>
      <w:r w:rsidR="00F46845" w:rsidRPr="00D11875">
        <w:rPr>
          <w:rFonts w:eastAsia="Times"/>
          <w:i w:val="0"/>
          <w:lang w:val="es-MX"/>
        </w:rPr>
        <w:t xml:space="preserve"> </w:t>
      </w:r>
      <w:r w:rsidR="00F46845" w:rsidRPr="00D11875">
        <w:rPr>
          <w:rFonts w:eastAsia="Times" w:cs="Arial"/>
          <w:i w:val="0"/>
          <w:szCs w:val="20"/>
          <w:lang w:val="es-MX"/>
        </w:rPr>
        <w:t>Adicionalmente, la Corte constata que, como consecuencia de lo anterior, numerosas víctimas adquirieron enfermedades oportunistas que tampoco fueron atendidas (</w:t>
      </w:r>
      <w:r w:rsidR="00F46845" w:rsidRPr="00D11875">
        <w:rPr>
          <w:rFonts w:eastAsia="Times" w:cs="Arial"/>
          <w:szCs w:val="20"/>
          <w:lang w:val="es-MX"/>
        </w:rPr>
        <w:t>infra</w:t>
      </w:r>
      <w:r w:rsidR="00F46845" w:rsidRPr="00D11875">
        <w:rPr>
          <w:rFonts w:eastAsia="Times" w:cs="Arial"/>
          <w:i w:val="0"/>
          <w:szCs w:val="20"/>
          <w:lang w:val="es-MX"/>
        </w:rPr>
        <w:t xml:space="preserve">, </w:t>
      </w:r>
      <w:proofErr w:type="spellStart"/>
      <w:r w:rsidR="00F46845" w:rsidRPr="00D11875">
        <w:rPr>
          <w:rFonts w:eastAsia="Times" w:cs="Arial"/>
          <w:i w:val="0"/>
          <w:szCs w:val="20"/>
          <w:lang w:val="es-MX"/>
        </w:rPr>
        <w:t>párr</w:t>
      </w:r>
      <w:r w:rsidR="00E52721">
        <w:rPr>
          <w:rFonts w:eastAsia="Times" w:cs="Arial"/>
          <w:i w:val="0"/>
          <w:szCs w:val="20"/>
          <w:lang w:val="es-MX"/>
        </w:rPr>
        <w:t>s</w:t>
      </w:r>
      <w:proofErr w:type="spellEnd"/>
      <w:r w:rsidR="00F46845" w:rsidRPr="00D11875">
        <w:rPr>
          <w:rFonts w:eastAsia="Times" w:cs="Arial"/>
          <w:i w:val="0"/>
          <w:szCs w:val="20"/>
          <w:lang w:val="es-MX"/>
        </w:rPr>
        <w:t>.</w:t>
      </w:r>
      <w:r w:rsidR="00E52721">
        <w:rPr>
          <w:rFonts w:eastAsia="Times" w:cs="Arial"/>
          <w:i w:val="0"/>
          <w:szCs w:val="20"/>
          <w:lang w:val="es-MX"/>
        </w:rPr>
        <w:t xml:space="preserve"> 159 y 164</w:t>
      </w:r>
      <w:r w:rsidR="00F46845" w:rsidRPr="00D11875">
        <w:rPr>
          <w:rFonts w:eastAsia="Times" w:cs="Arial"/>
          <w:i w:val="0"/>
          <w:szCs w:val="20"/>
          <w:lang w:val="es-MX"/>
        </w:rPr>
        <w:t>).</w:t>
      </w:r>
    </w:p>
    <w:p w14:paraId="71D2B18C" w14:textId="77777777" w:rsidR="00E92CA8" w:rsidRPr="00654D86" w:rsidRDefault="00E92CA8" w:rsidP="00E92CA8">
      <w:pPr>
        <w:pStyle w:val="Estilo1"/>
        <w:tabs>
          <w:tab w:val="left" w:pos="709"/>
          <w:tab w:val="left" w:pos="1134"/>
        </w:tabs>
        <w:spacing w:after="0"/>
        <w:ind w:left="0" w:right="-4" w:firstLine="0"/>
        <w:rPr>
          <w:rFonts w:eastAsia="Times" w:cs="Arial"/>
          <w:i w:val="0"/>
          <w:szCs w:val="20"/>
          <w:highlight w:val="yellow"/>
          <w:lang w:val="es-MX"/>
        </w:rPr>
      </w:pPr>
    </w:p>
    <w:p w14:paraId="40A0EBC7" w14:textId="59B7F485" w:rsidR="00D41FD3" w:rsidRPr="00D11875" w:rsidRDefault="003C6E53"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i w:val="0"/>
          <w:szCs w:val="20"/>
          <w:lang w:val="es-MX"/>
        </w:rPr>
        <w:t xml:space="preserve">En tercer lugar, el Tribunal recuerda que la atención de personas </w:t>
      </w:r>
      <w:r w:rsidR="00D11875" w:rsidRPr="00D11875">
        <w:rPr>
          <w:i w:val="0"/>
          <w:szCs w:val="20"/>
          <w:lang w:val="es-MX"/>
        </w:rPr>
        <w:t xml:space="preserve">que viven </w:t>
      </w:r>
      <w:r w:rsidRPr="00D11875">
        <w:rPr>
          <w:i w:val="0"/>
          <w:szCs w:val="20"/>
          <w:lang w:val="es-MX"/>
        </w:rPr>
        <w:t>con</w:t>
      </w:r>
      <w:r w:rsidR="00D11875" w:rsidRPr="00D11875">
        <w:rPr>
          <w:i w:val="0"/>
          <w:szCs w:val="20"/>
          <w:lang w:val="es-MX"/>
        </w:rPr>
        <w:t xml:space="preserve"> el</w:t>
      </w:r>
      <w:r w:rsidRPr="00D11875">
        <w:rPr>
          <w:i w:val="0"/>
          <w:szCs w:val="20"/>
          <w:lang w:val="es-MX"/>
        </w:rPr>
        <w:t xml:space="preserve"> VIH incluye la buena alimentación, el apoyo social y psicológico, así como la atención social y comunitaria y domiciliaria. En ese sentido, e</w:t>
      </w:r>
      <w:r w:rsidR="00B71709" w:rsidRPr="00D11875">
        <w:rPr>
          <w:i w:val="0"/>
          <w:szCs w:val="20"/>
          <w:lang w:val="es-MX"/>
        </w:rPr>
        <w:t xml:space="preserve">n el presente caso, la Corte constata que </w:t>
      </w:r>
      <w:r w:rsidR="00005153">
        <w:rPr>
          <w:i w:val="0"/>
          <w:szCs w:val="20"/>
          <w:lang w:val="es-MX"/>
        </w:rPr>
        <w:t>22</w:t>
      </w:r>
      <w:r w:rsidR="00B71709" w:rsidRPr="00D11875">
        <w:rPr>
          <w:i w:val="0"/>
          <w:szCs w:val="20"/>
          <w:lang w:val="es-MX"/>
        </w:rPr>
        <w:t xml:space="preserve"> de las presuntas víctimas no recibieron apoyo social durante su tratamiento</w:t>
      </w:r>
      <w:r w:rsidR="000707C8" w:rsidRPr="00D11875">
        <w:rPr>
          <w:i w:val="0"/>
          <w:szCs w:val="20"/>
          <w:lang w:val="es-MX"/>
        </w:rPr>
        <w:t xml:space="preserve"> o</w:t>
      </w:r>
      <w:r w:rsidR="00B71709" w:rsidRPr="00D11875">
        <w:rPr>
          <w:i w:val="0"/>
          <w:szCs w:val="20"/>
          <w:lang w:val="es-MX"/>
        </w:rPr>
        <w:t xml:space="preserve"> este fue insuficiente,</w:t>
      </w:r>
      <w:r w:rsidR="00B71709" w:rsidRPr="00D11875">
        <w:rPr>
          <w:rStyle w:val="Refdenotaalpie"/>
          <w:i w:val="0"/>
          <w:lang w:val="es-MX"/>
        </w:rPr>
        <w:footnoteReference w:id="144"/>
      </w:r>
      <w:r w:rsidR="00B71709" w:rsidRPr="00D11875">
        <w:rPr>
          <w:i w:val="0"/>
          <w:szCs w:val="20"/>
          <w:lang w:val="es-MX"/>
        </w:rPr>
        <w:t xml:space="preserve"> o sólo fue brindado por alguna Organización No Gubernamental o grupo de </w:t>
      </w:r>
      <w:r w:rsidR="00B71709" w:rsidRPr="00D11875">
        <w:rPr>
          <w:i w:val="0"/>
          <w:szCs w:val="20"/>
          <w:lang w:val="es-MX"/>
        </w:rPr>
        <w:lastRenderedPageBreak/>
        <w:t>apoyo</w:t>
      </w:r>
      <w:r w:rsidR="00B71709" w:rsidRPr="00D11875">
        <w:rPr>
          <w:rStyle w:val="Refdenotaalpie"/>
          <w:i w:val="0"/>
          <w:lang w:val="es-MX"/>
        </w:rPr>
        <w:footnoteReference w:id="145"/>
      </w:r>
      <w:r w:rsidR="00B71709" w:rsidRPr="00D11875">
        <w:rPr>
          <w:i w:val="0"/>
          <w:szCs w:val="20"/>
          <w:lang w:val="es-MX"/>
        </w:rPr>
        <w:t xml:space="preserve">. Esto incluyó deficiencias en materia de </w:t>
      </w:r>
      <w:r w:rsidR="009F0870" w:rsidRPr="00D11875">
        <w:rPr>
          <w:i w:val="0"/>
          <w:szCs w:val="20"/>
          <w:lang w:val="es-MX"/>
        </w:rPr>
        <w:t xml:space="preserve">apoyo nutricional, psicológico </w:t>
      </w:r>
      <w:r w:rsidR="00B71709" w:rsidRPr="00D11875">
        <w:rPr>
          <w:i w:val="0"/>
          <w:szCs w:val="20"/>
          <w:lang w:val="es-MX"/>
        </w:rPr>
        <w:t>y atención comunitaria y domiciliaria.</w:t>
      </w:r>
      <w:r w:rsidR="00A90CAC" w:rsidRPr="00D11875">
        <w:rPr>
          <w:i w:val="0"/>
          <w:szCs w:val="20"/>
          <w:lang w:val="es-MX"/>
        </w:rPr>
        <w:t xml:space="preserve"> </w:t>
      </w:r>
      <w:r w:rsidR="00A90CAC" w:rsidRPr="00D11875">
        <w:rPr>
          <w:i w:val="0"/>
        </w:rPr>
        <w:t xml:space="preserve">En relación con el resto de las presuntas víctimas, </w:t>
      </w:r>
      <w:r w:rsidR="00A90CAC" w:rsidRPr="00D11875">
        <w:rPr>
          <w:i w:val="0"/>
          <w:color w:val="000000"/>
        </w:rPr>
        <w:t xml:space="preserve">el Tribunal carece de información suficiente para determinar su situación respecto al </w:t>
      </w:r>
      <w:r w:rsidR="00BC5189" w:rsidRPr="00D11875">
        <w:rPr>
          <w:i w:val="0"/>
          <w:color w:val="000000"/>
        </w:rPr>
        <w:t>apoyo social recibido</w:t>
      </w:r>
      <w:r w:rsidR="00A90CAC" w:rsidRPr="00D11875">
        <w:rPr>
          <w:i w:val="0"/>
          <w:color w:val="000000"/>
        </w:rPr>
        <w:t>.</w:t>
      </w:r>
    </w:p>
    <w:p w14:paraId="0329287F" w14:textId="77777777" w:rsidR="00E92CA8" w:rsidRPr="00654D86" w:rsidRDefault="00E92CA8" w:rsidP="00E92CA8">
      <w:pPr>
        <w:pStyle w:val="Estilo1"/>
        <w:tabs>
          <w:tab w:val="left" w:pos="709"/>
          <w:tab w:val="left" w:pos="1134"/>
        </w:tabs>
        <w:spacing w:after="0"/>
        <w:ind w:left="0" w:right="-4" w:firstLine="0"/>
        <w:rPr>
          <w:rFonts w:eastAsia="Times" w:cs="Arial"/>
          <w:i w:val="0"/>
          <w:szCs w:val="20"/>
          <w:highlight w:val="yellow"/>
          <w:lang w:val="es-MX"/>
        </w:rPr>
      </w:pPr>
    </w:p>
    <w:p w14:paraId="089A6D39" w14:textId="5279A27F" w:rsidR="003308DE" w:rsidRPr="00D11875" w:rsidRDefault="00BB45E6"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i w:val="0"/>
          <w:color w:val="000000"/>
        </w:rPr>
        <w:t>En cuarto lugar</w:t>
      </w:r>
      <w:r w:rsidR="00D41FD3" w:rsidRPr="00D11875">
        <w:rPr>
          <w:i w:val="0"/>
          <w:color w:val="000000"/>
        </w:rPr>
        <w:t>,</w:t>
      </w:r>
      <w:r w:rsidR="00D41FD3" w:rsidRPr="00D11875">
        <w:rPr>
          <w:i w:val="0"/>
        </w:rPr>
        <w:t xml:space="preserve"> </w:t>
      </w:r>
      <w:r w:rsidR="003308DE" w:rsidRPr="00D11875">
        <w:rPr>
          <w:rFonts w:eastAsia="Times" w:cs="Arial"/>
          <w:i w:val="0"/>
          <w:szCs w:val="20"/>
          <w:lang w:val="es-MX"/>
        </w:rPr>
        <w:t>la Corte recuerda que el derecho a la salud tiene como uno de sus elementos que los sectores más vulnerables o marginados de la población tengan acceso a los establecimientos, bienes y servicios de salud, los cuales deben estar al alcance geográfico y económico</w:t>
      </w:r>
      <w:r w:rsidR="003A2D1F">
        <w:rPr>
          <w:rFonts w:eastAsia="Times" w:cs="Arial"/>
          <w:i w:val="0"/>
          <w:szCs w:val="20"/>
          <w:lang w:val="es-MX"/>
        </w:rPr>
        <w:t xml:space="preserve"> (</w:t>
      </w:r>
      <w:r w:rsidR="003A2D1F">
        <w:rPr>
          <w:rFonts w:eastAsia="Times" w:cs="Arial"/>
          <w:szCs w:val="20"/>
          <w:lang w:val="es-MX"/>
        </w:rPr>
        <w:t xml:space="preserve">supra </w:t>
      </w:r>
      <w:r w:rsidR="003A2D1F">
        <w:rPr>
          <w:rFonts w:eastAsia="Times" w:cs="Arial"/>
          <w:i w:val="0"/>
          <w:szCs w:val="20"/>
          <w:lang w:val="es-MX"/>
        </w:rPr>
        <w:t>párr. 106)</w:t>
      </w:r>
      <w:r w:rsidR="003308DE" w:rsidRPr="003A2D1F">
        <w:rPr>
          <w:rFonts w:eastAsia="Times" w:cs="Arial"/>
          <w:i w:val="0"/>
          <w:szCs w:val="20"/>
          <w:lang w:val="es-MX"/>
        </w:rPr>
        <w:t>.</w:t>
      </w:r>
      <w:r w:rsidR="003308DE" w:rsidRPr="00D11875">
        <w:rPr>
          <w:rFonts w:eastAsia="Times" w:cs="Arial"/>
          <w:i w:val="0"/>
          <w:szCs w:val="20"/>
          <w:lang w:val="es-MX"/>
        </w:rPr>
        <w:t xml:space="preserve"> </w:t>
      </w:r>
      <w:r w:rsidR="003308DE" w:rsidRPr="00D11875">
        <w:rPr>
          <w:i w:val="0"/>
          <w:szCs w:val="20"/>
          <w:lang w:val="es-MX"/>
        </w:rPr>
        <w:t xml:space="preserve">En el presente caso, la Corte constata i) que </w:t>
      </w:r>
      <w:r w:rsidR="003308DE" w:rsidRPr="00D11875">
        <w:rPr>
          <w:rFonts w:eastAsia="Cambria" w:cs="Cambria"/>
          <w:i w:val="0"/>
          <w:szCs w:val="16"/>
          <w:u w:color="000000"/>
          <w:lang w:eastAsia="es-ES"/>
        </w:rPr>
        <w:t xml:space="preserve">la señora Corina </w:t>
      </w:r>
      <w:proofErr w:type="spellStart"/>
      <w:r w:rsidR="003308DE" w:rsidRPr="00D11875">
        <w:rPr>
          <w:rFonts w:eastAsia="Cambria" w:cs="Cambria"/>
          <w:i w:val="0"/>
          <w:szCs w:val="16"/>
          <w:u w:color="000000"/>
          <w:lang w:eastAsia="es-ES"/>
        </w:rPr>
        <w:t>Dianeth</w:t>
      </w:r>
      <w:proofErr w:type="spellEnd"/>
      <w:r w:rsidR="003308DE" w:rsidRPr="00D11875">
        <w:rPr>
          <w:rFonts w:eastAsia="Cambria" w:cs="Cambria"/>
          <w:i w:val="0"/>
          <w:szCs w:val="16"/>
          <w:u w:color="000000"/>
          <w:lang w:eastAsia="es-ES"/>
        </w:rPr>
        <w:t xml:space="preserve"> Robledo Alvarado tuvo que endeudarse debido a los gastos que generó el traslado de cinco horas de su domicilio a la clínica Roosevelt; ii) la señora </w:t>
      </w:r>
      <w:r w:rsidR="00005153">
        <w:rPr>
          <w:i w:val="0"/>
          <w:szCs w:val="16"/>
        </w:rPr>
        <w:t>Dora Marina Martínez</w:t>
      </w:r>
      <w:r w:rsidR="003308DE" w:rsidRPr="00D11875">
        <w:rPr>
          <w:i w:val="0"/>
          <w:szCs w:val="16"/>
        </w:rPr>
        <w:t xml:space="preserve"> </w:t>
      </w:r>
      <w:proofErr w:type="spellStart"/>
      <w:r w:rsidR="003308DE" w:rsidRPr="00D11875">
        <w:rPr>
          <w:i w:val="0"/>
          <w:szCs w:val="16"/>
        </w:rPr>
        <w:t>Sofoifa</w:t>
      </w:r>
      <w:proofErr w:type="spellEnd"/>
      <w:r w:rsidR="003308DE" w:rsidRPr="00D11875">
        <w:rPr>
          <w:i w:val="0"/>
          <w:szCs w:val="16"/>
        </w:rPr>
        <w:t xml:space="preserve"> tuvo que acudir </w:t>
      </w:r>
      <w:r w:rsidR="006C4154">
        <w:rPr>
          <w:i w:val="0"/>
          <w:szCs w:val="16"/>
        </w:rPr>
        <w:t>a sus citas en la madrugada y esperar junto a la sala de emergencias</w:t>
      </w:r>
      <w:r w:rsidR="003308DE" w:rsidRPr="00D11875">
        <w:rPr>
          <w:i w:val="0"/>
          <w:szCs w:val="16"/>
        </w:rPr>
        <w:t xml:space="preserve"> debido a la distancia, costo y peligros de la zona donde vive hasta la clínica a la cual debe acudir; iii) que el señor </w:t>
      </w:r>
      <w:r w:rsidR="003308DE" w:rsidRPr="00D11875">
        <w:rPr>
          <w:rFonts w:eastAsia="Cambria" w:cs="Cambria"/>
          <w:i w:val="0"/>
          <w:szCs w:val="16"/>
          <w:u w:color="000000"/>
          <w:lang w:eastAsia="es-ES"/>
        </w:rPr>
        <w:t xml:space="preserve">Francisco </w:t>
      </w:r>
      <w:proofErr w:type="spellStart"/>
      <w:r w:rsidR="003308DE" w:rsidRPr="00D11875">
        <w:rPr>
          <w:rFonts w:eastAsia="Cambria" w:cs="Cambria"/>
          <w:i w:val="0"/>
          <w:szCs w:val="16"/>
          <w:u w:color="000000"/>
          <w:lang w:eastAsia="es-ES"/>
        </w:rPr>
        <w:t>Sop</w:t>
      </w:r>
      <w:proofErr w:type="spellEnd"/>
      <w:r w:rsidR="003308DE" w:rsidRPr="00D11875">
        <w:rPr>
          <w:rFonts w:eastAsia="Cambria" w:cs="Cambria"/>
          <w:i w:val="0"/>
          <w:szCs w:val="16"/>
          <w:u w:color="000000"/>
          <w:lang w:eastAsia="es-ES"/>
        </w:rPr>
        <w:t xml:space="preserve"> </w:t>
      </w:r>
      <w:proofErr w:type="spellStart"/>
      <w:r w:rsidR="003308DE" w:rsidRPr="00D11875">
        <w:rPr>
          <w:rFonts w:eastAsia="Cambria" w:cs="Cambria"/>
          <w:i w:val="0"/>
          <w:szCs w:val="16"/>
          <w:u w:color="000000"/>
          <w:lang w:eastAsia="es-ES"/>
        </w:rPr>
        <w:t>Quiej</w:t>
      </w:r>
      <w:proofErr w:type="spellEnd"/>
      <w:r w:rsidR="003308DE" w:rsidRPr="00D11875">
        <w:rPr>
          <w:rFonts w:eastAsia="Cambria" w:cs="Cambria"/>
          <w:i w:val="0"/>
          <w:szCs w:val="16"/>
          <w:u w:color="000000"/>
          <w:lang w:eastAsia="es-ES"/>
        </w:rPr>
        <w:t xml:space="preserve"> declaró </w:t>
      </w:r>
      <w:r w:rsidR="002E10B2">
        <w:rPr>
          <w:rFonts w:eastAsia="Cambria" w:cs="Cambria"/>
          <w:i w:val="0"/>
          <w:szCs w:val="16"/>
          <w:u w:color="000000"/>
          <w:lang w:eastAsia="es-ES"/>
        </w:rPr>
        <w:t xml:space="preserve">que </w:t>
      </w:r>
      <w:r w:rsidR="003308DE" w:rsidRPr="00D11875">
        <w:rPr>
          <w:rFonts w:eastAsia="Cambria" w:cs="Cambria"/>
          <w:i w:val="0"/>
          <w:szCs w:val="16"/>
          <w:u w:color="000000"/>
          <w:lang w:eastAsia="es-ES"/>
        </w:rPr>
        <w:t>ha debido recurrir a préstamos con familiares y amigos para cubrir su traslado a la clínica puesto que demora dos horas de camino, gasta 60 quetzales por viaje y no siempre puede costearlo; iv) que Zoila Marina Pérez</w:t>
      </w:r>
      <w:r w:rsidR="00E12992">
        <w:rPr>
          <w:rFonts w:eastAsia="Cambria" w:cs="Cambria"/>
          <w:i w:val="0"/>
          <w:szCs w:val="16"/>
          <w:u w:color="000000"/>
          <w:lang w:eastAsia="es-ES"/>
        </w:rPr>
        <w:t xml:space="preserve"> Ruí</w:t>
      </w:r>
      <w:r w:rsidR="00005153">
        <w:rPr>
          <w:rFonts w:eastAsia="Cambria" w:cs="Cambria"/>
          <w:i w:val="0"/>
          <w:szCs w:val="16"/>
          <w:u w:color="000000"/>
          <w:lang w:eastAsia="es-ES"/>
        </w:rPr>
        <w:t>z</w:t>
      </w:r>
      <w:r w:rsidR="003308DE" w:rsidRPr="00D11875">
        <w:rPr>
          <w:rFonts w:eastAsia="Cambria" w:cs="Cambria"/>
          <w:i w:val="0"/>
          <w:szCs w:val="16"/>
          <w:u w:color="000000"/>
          <w:lang w:eastAsia="es-ES"/>
        </w:rPr>
        <w:t xml:space="preserve"> tiene que viajar 5 horas para atenderse, razón por la cual dejó de asistir a las terapias por falta de recursos económicos; y v) que el señor Miguel Lucas </w:t>
      </w:r>
      <w:proofErr w:type="spellStart"/>
      <w:r w:rsidR="003308DE" w:rsidRPr="00D11875">
        <w:rPr>
          <w:rFonts w:eastAsia="Cambria" w:cs="Cambria"/>
          <w:i w:val="0"/>
          <w:szCs w:val="16"/>
          <w:u w:color="000000"/>
          <w:lang w:eastAsia="es-ES"/>
        </w:rPr>
        <w:t>Vaíl</w:t>
      </w:r>
      <w:proofErr w:type="spellEnd"/>
      <w:r w:rsidR="003308DE" w:rsidRPr="00D11875">
        <w:rPr>
          <w:rFonts w:eastAsia="Cambria" w:cs="Cambria"/>
          <w:i w:val="0"/>
          <w:szCs w:val="16"/>
          <w:u w:color="000000"/>
          <w:lang w:eastAsia="es-ES"/>
        </w:rPr>
        <w:t xml:space="preserve"> debe realizar un gasto de 150 quetzales para acudir a la clínica y además demora 5 horas en llegar.</w:t>
      </w:r>
    </w:p>
    <w:p w14:paraId="5A49BA81" w14:textId="77777777" w:rsidR="00E92CA8" w:rsidRPr="00654D86" w:rsidRDefault="00E92CA8" w:rsidP="00E92CA8">
      <w:pPr>
        <w:pStyle w:val="Estilo1"/>
        <w:tabs>
          <w:tab w:val="left" w:pos="709"/>
          <w:tab w:val="left" w:pos="1134"/>
        </w:tabs>
        <w:spacing w:after="0"/>
        <w:ind w:left="0" w:right="-4" w:firstLine="0"/>
        <w:rPr>
          <w:rFonts w:eastAsia="Times" w:cs="Arial"/>
          <w:i w:val="0"/>
          <w:szCs w:val="20"/>
          <w:highlight w:val="yellow"/>
          <w:lang w:val="es-MX"/>
        </w:rPr>
      </w:pPr>
    </w:p>
    <w:p w14:paraId="569D9472" w14:textId="0AB0CD91" w:rsidR="00BB45E6" w:rsidRPr="00D11875" w:rsidRDefault="003308DE"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i w:val="0"/>
          <w:szCs w:val="20"/>
          <w:lang w:val="es-MX"/>
        </w:rPr>
        <w:t xml:space="preserve">La Corte considera que la distancia entre el centro de salud y la precaria condición económica de 5 presuntas víctimas constituyó un obstáculo para desplazarse a los centros de salud, lo cual impactó su posibilidad para recibir atención médica, y por lo tanto sus posibilidades de iniciar o continuar su tratamiento de manera adecuada. </w:t>
      </w:r>
      <w:r w:rsidRPr="00D11875">
        <w:rPr>
          <w:rFonts w:eastAsia="Times" w:cs="Arial"/>
          <w:i w:val="0"/>
          <w:szCs w:val="20"/>
          <w:lang w:val="es-MX"/>
        </w:rPr>
        <w:t>En este sentido</w:t>
      </w:r>
      <w:r w:rsidR="002E10B2">
        <w:rPr>
          <w:rFonts w:eastAsia="Times" w:cs="Arial"/>
          <w:i w:val="0"/>
          <w:szCs w:val="20"/>
          <w:lang w:val="es-MX"/>
        </w:rPr>
        <w:t>,</w:t>
      </w:r>
      <w:r w:rsidRPr="00D11875">
        <w:rPr>
          <w:rFonts w:eastAsia="Times" w:cs="Arial"/>
          <w:i w:val="0"/>
          <w:szCs w:val="20"/>
          <w:lang w:val="es-MX"/>
        </w:rPr>
        <w:t xml:space="preserve"> el Tribunal advierte que la </w:t>
      </w:r>
      <w:r w:rsidR="00F860AF" w:rsidRPr="00D11875">
        <w:rPr>
          <w:rFonts w:eastAsia="Times" w:cs="Arial"/>
          <w:i w:val="0"/>
          <w:szCs w:val="20"/>
          <w:lang w:val="es-MX"/>
        </w:rPr>
        <w:t>condición económica</w:t>
      </w:r>
      <w:r w:rsidRPr="00D11875">
        <w:rPr>
          <w:rFonts w:eastAsia="Times" w:cs="Arial"/>
          <w:i w:val="0"/>
          <w:szCs w:val="20"/>
          <w:lang w:val="es-MX"/>
        </w:rPr>
        <w:t xml:space="preserve"> en que viven las presuntas víctimas fue un factor determinante en su posibilidad de acceder a los establecimientos, bienes y servicios de salud, y que el Estado no realizó ninguna acción destinada a mitigar este impacto. En consecuencia, la Corte considera que las señoras </w:t>
      </w:r>
      <w:r w:rsidRPr="00D11875">
        <w:rPr>
          <w:rFonts w:eastAsia="Cambria" w:cs="Cambria"/>
          <w:i w:val="0"/>
          <w:szCs w:val="16"/>
          <w:u w:color="000000"/>
          <w:lang w:eastAsia="es-ES"/>
        </w:rPr>
        <w:t xml:space="preserve">Corina </w:t>
      </w:r>
      <w:proofErr w:type="spellStart"/>
      <w:r w:rsidRPr="00D11875">
        <w:rPr>
          <w:rFonts w:eastAsia="Cambria" w:cs="Cambria"/>
          <w:i w:val="0"/>
          <w:szCs w:val="16"/>
          <w:u w:color="000000"/>
          <w:lang w:eastAsia="es-ES"/>
        </w:rPr>
        <w:t>Dianeth</w:t>
      </w:r>
      <w:proofErr w:type="spellEnd"/>
      <w:r w:rsidRPr="00D11875">
        <w:rPr>
          <w:rFonts w:eastAsia="Cambria" w:cs="Cambria"/>
          <w:i w:val="0"/>
          <w:szCs w:val="16"/>
          <w:u w:color="000000"/>
          <w:lang w:eastAsia="es-ES"/>
        </w:rPr>
        <w:t xml:space="preserve"> Robledo Alvarado, </w:t>
      </w:r>
      <w:r w:rsidR="00005153">
        <w:rPr>
          <w:i w:val="0"/>
          <w:szCs w:val="16"/>
        </w:rPr>
        <w:t>Dora Marina Martínez</w:t>
      </w:r>
      <w:r w:rsidRPr="00D11875">
        <w:rPr>
          <w:i w:val="0"/>
          <w:szCs w:val="16"/>
        </w:rPr>
        <w:t xml:space="preserve"> </w:t>
      </w:r>
      <w:proofErr w:type="spellStart"/>
      <w:r w:rsidRPr="00D11875">
        <w:rPr>
          <w:i w:val="0"/>
          <w:szCs w:val="16"/>
        </w:rPr>
        <w:t>Sofoifa</w:t>
      </w:r>
      <w:proofErr w:type="spellEnd"/>
      <w:r w:rsidRPr="00D11875">
        <w:rPr>
          <w:i w:val="0"/>
          <w:szCs w:val="16"/>
        </w:rPr>
        <w:t xml:space="preserve"> y </w:t>
      </w:r>
      <w:r w:rsidRPr="00D11875">
        <w:rPr>
          <w:rFonts w:eastAsia="Cambria" w:cs="Cambria"/>
          <w:i w:val="0"/>
          <w:szCs w:val="16"/>
          <w:u w:color="000000"/>
          <w:lang w:eastAsia="es-ES"/>
        </w:rPr>
        <w:t>Zoila Marina Pérez</w:t>
      </w:r>
      <w:r w:rsidR="004E2664">
        <w:rPr>
          <w:rFonts w:eastAsia="Cambria" w:cs="Cambria"/>
          <w:i w:val="0"/>
          <w:szCs w:val="16"/>
          <w:u w:color="000000"/>
          <w:lang w:eastAsia="es-ES"/>
        </w:rPr>
        <w:t xml:space="preserve"> Ruí</w:t>
      </w:r>
      <w:r w:rsidR="00005153">
        <w:rPr>
          <w:rFonts w:eastAsia="Cambria" w:cs="Cambria"/>
          <w:i w:val="0"/>
          <w:szCs w:val="16"/>
          <w:u w:color="000000"/>
          <w:lang w:eastAsia="es-ES"/>
        </w:rPr>
        <w:t>z</w:t>
      </w:r>
      <w:r w:rsidRPr="00D11875">
        <w:rPr>
          <w:rFonts w:eastAsia="Cambria" w:cs="Cambria"/>
          <w:i w:val="0"/>
          <w:szCs w:val="16"/>
          <w:u w:color="000000"/>
          <w:lang w:eastAsia="es-ES"/>
        </w:rPr>
        <w:t>,</w:t>
      </w:r>
      <w:r w:rsidRPr="00D11875">
        <w:rPr>
          <w:i w:val="0"/>
          <w:szCs w:val="16"/>
        </w:rPr>
        <w:t xml:space="preserve"> así como los señores </w:t>
      </w:r>
      <w:r w:rsidRPr="00D11875">
        <w:rPr>
          <w:rFonts w:eastAsia="Cambria" w:cs="Cambria"/>
          <w:i w:val="0"/>
          <w:szCs w:val="16"/>
          <w:u w:color="000000"/>
          <w:lang w:eastAsia="es-ES"/>
        </w:rPr>
        <w:t xml:space="preserve">Francisco </w:t>
      </w:r>
      <w:proofErr w:type="spellStart"/>
      <w:r w:rsidRPr="00D11875">
        <w:rPr>
          <w:rFonts w:eastAsia="Cambria" w:cs="Cambria"/>
          <w:i w:val="0"/>
          <w:szCs w:val="16"/>
          <w:u w:color="000000"/>
          <w:lang w:eastAsia="es-ES"/>
        </w:rPr>
        <w:t>Sop</w:t>
      </w:r>
      <w:proofErr w:type="spellEnd"/>
      <w:r w:rsidRPr="00D11875">
        <w:rPr>
          <w:rFonts w:eastAsia="Cambria" w:cs="Cambria"/>
          <w:i w:val="0"/>
          <w:szCs w:val="16"/>
          <w:u w:color="000000"/>
          <w:lang w:eastAsia="es-ES"/>
        </w:rPr>
        <w:t xml:space="preserve"> </w:t>
      </w:r>
      <w:proofErr w:type="spellStart"/>
      <w:r w:rsidRPr="00D11875">
        <w:rPr>
          <w:rFonts w:eastAsia="Cambria" w:cs="Cambria"/>
          <w:i w:val="0"/>
          <w:szCs w:val="16"/>
          <w:u w:color="000000"/>
          <w:lang w:eastAsia="es-ES"/>
        </w:rPr>
        <w:t>Quiej</w:t>
      </w:r>
      <w:proofErr w:type="spellEnd"/>
      <w:r w:rsidRPr="00D11875">
        <w:rPr>
          <w:rFonts w:eastAsia="Cambria" w:cs="Cambria"/>
          <w:i w:val="0"/>
          <w:szCs w:val="16"/>
          <w:u w:color="000000"/>
          <w:lang w:eastAsia="es-ES"/>
        </w:rPr>
        <w:t xml:space="preserve"> y Miguel Lucas </w:t>
      </w:r>
      <w:proofErr w:type="spellStart"/>
      <w:r w:rsidRPr="00D11875">
        <w:rPr>
          <w:rFonts w:eastAsia="Cambria" w:cs="Cambria"/>
          <w:i w:val="0"/>
          <w:szCs w:val="16"/>
          <w:u w:color="000000"/>
          <w:lang w:eastAsia="es-ES"/>
        </w:rPr>
        <w:t>Vaíl</w:t>
      </w:r>
      <w:proofErr w:type="spellEnd"/>
      <w:r w:rsidRPr="00D11875">
        <w:rPr>
          <w:rFonts w:eastAsia="Cambria" w:cs="Cambria"/>
          <w:i w:val="0"/>
          <w:szCs w:val="16"/>
          <w:u w:color="000000"/>
          <w:lang w:eastAsia="es-ES"/>
        </w:rPr>
        <w:t xml:space="preserve"> no tuvieron un acceso adecuado a la atención médica debido a su posición económica y la lejanía de su residencia. </w:t>
      </w:r>
      <w:r w:rsidRPr="00D11875">
        <w:rPr>
          <w:i w:val="0"/>
        </w:rPr>
        <w:t xml:space="preserve">En relación con el resto de las presuntas víctimas, </w:t>
      </w:r>
      <w:r w:rsidRPr="00D11875">
        <w:rPr>
          <w:i w:val="0"/>
          <w:color w:val="000000"/>
        </w:rPr>
        <w:t>el Tribunal carece de información suficiente para determinar si su situación económica o la ubicación geográfica de su domicilio constituyeron obstáculos para recibir atención médica.</w:t>
      </w:r>
    </w:p>
    <w:p w14:paraId="531787F6" w14:textId="77777777" w:rsidR="00E92CA8" w:rsidRPr="00654D86" w:rsidRDefault="00E92CA8" w:rsidP="00E92CA8">
      <w:pPr>
        <w:pStyle w:val="Estilo1"/>
        <w:tabs>
          <w:tab w:val="left" w:pos="709"/>
          <w:tab w:val="left" w:pos="1134"/>
        </w:tabs>
        <w:spacing w:after="0"/>
        <w:ind w:left="0" w:right="-4" w:firstLine="0"/>
        <w:rPr>
          <w:rFonts w:eastAsia="Times" w:cs="Arial"/>
          <w:i w:val="0"/>
          <w:szCs w:val="20"/>
          <w:highlight w:val="yellow"/>
          <w:lang w:val="es-MX"/>
        </w:rPr>
      </w:pPr>
    </w:p>
    <w:p w14:paraId="3FBFB6E3" w14:textId="5B27C560" w:rsidR="003308DE" w:rsidRPr="00D11875" w:rsidRDefault="00A549A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rFonts w:eastAsia="Times" w:cs="Arial"/>
          <w:i w:val="0"/>
          <w:szCs w:val="20"/>
          <w:lang w:val="es-MX"/>
        </w:rPr>
        <w:t xml:space="preserve">Al respecto, la Corte considera que al haber </w:t>
      </w:r>
      <w:r w:rsidR="004646A4">
        <w:rPr>
          <w:rFonts w:eastAsia="Times" w:cs="Arial"/>
          <w:i w:val="0"/>
          <w:szCs w:val="20"/>
          <w:lang w:val="es-MX"/>
        </w:rPr>
        <w:t>sido acreditado</w:t>
      </w:r>
      <w:r w:rsidRPr="00D11875">
        <w:rPr>
          <w:rFonts w:eastAsia="Times" w:cs="Arial"/>
          <w:i w:val="0"/>
          <w:szCs w:val="20"/>
          <w:lang w:val="es-MX"/>
        </w:rPr>
        <w:t xml:space="preserve"> </w:t>
      </w:r>
      <w:r w:rsidR="004478B0">
        <w:rPr>
          <w:rFonts w:eastAsia="Times" w:cs="Arial"/>
          <w:i w:val="0"/>
          <w:szCs w:val="20"/>
          <w:lang w:val="es-MX"/>
        </w:rPr>
        <w:t>el</w:t>
      </w:r>
      <w:r w:rsidRPr="00D11875">
        <w:rPr>
          <w:rFonts w:eastAsia="Times" w:cs="Arial"/>
          <w:i w:val="0"/>
          <w:szCs w:val="20"/>
          <w:lang w:val="es-MX"/>
        </w:rPr>
        <w:t xml:space="preserve"> acceso irregular, nulo e inadecuado a antirretrovirales</w:t>
      </w:r>
      <w:r w:rsidR="00F67F0E" w:rsidRPr="00D11875">
        <w:rPr>
          <w:rFonts w:eastAsia="Times" w:cs="Arial"/>
          <w:i w:val="0"/>
          <w:szCs w:val="20"/>
          <w:lang w:val="es-MX"/>
        </w:rPr>
        <w:t xml:space="preserve"> (</w:t>
      </w:r>
      <w:r w:rsidR="00F67F0E" w:rsidRPr="00F4229A">
        <w:rPr>
          <w:rFonts w:eastAsia="Times" w:cs="Arial"/>
          <w:szCs w:val="20"/>
          <w:lang w:val="es-MX"/>
        </w:rPr>
        <w:t>supra</w:t>
      </w:r>
      <w:r w:rsidR="00F67F0E" w:rsidRPr="00F4229A">
        <w:rPr>
          <w:rFonts w:eastAsia="Times" w:cs="Arial"/>
          <w:i w:val="0"/>
          <w:szCs w:val="20"/>
          <w:lang w:val="es-MX"/>
        </w:rPr>
        <w:t xml:space="preserve"> párr.</w:t>
      </w:r>
      <w:r w:rsidR="00F4229A" w:rsidRPr="00F4229A">
        <w:rPr>
          <w:rFonts w:eastAsia="Times" w:cs="Arial"/>
          <w:i w:val="0"/>
          <w:szCs w:val="20"/>
          <w:lang w:val="es-MX"/>
        </w:rPr>
        <w:t xml:space="preserve"> 121</w:t>
      </w:r>
      <w:r w:rsidR="00F67F0E" w:rsidRPr="00F4229A">
        <w:rPr>
          <w:rFonts w:eastAsia="Times" w:cs="Arial"/>
          <w:i w:val="0"/>
          <w:szCs w:val="20"/>
          <w:lang w:val="es-MX"/>
        </w:rPr>
        <w:t>)</w:t>
      </w:r>
      <w:r w:rsidRPr="00F4229A">
        <w:rPr>
          <w:rFonts w:eastAsia="Times" w:cs="Arial"/>
          <w:i w:val="0"/>
          <w:szCs w:val="20"/>
          <w:lang w:val="es-MX"/>
        </w:rPr>
        <w:t>,</w:t>
      </w:r>
      <w:r w:rsidRPr="00D11875">
        <w:rPr>
          <w:rFonts w:eastAsia="Times" w:cs="Arial"/>
          <w:i w:val="0"/>
          <w:szCs w:val="20"/>
          <w:lang w:val="es-MX"/>
        </w:rPr>
        <w:t xml:space="preserve"> la falta de </w:t>
      </w:r>
      <w:r w:rsidR="009B7E53">
        <w:rPr>
          <w:rFonts w:eastAsia="Times" w:cs="Arial"/>
          <w:i w:val="0"/>
          <w:szCs w:val="20"/>
          <w:lang w:val="es-MX"/>
        </w:rPr>
        <w:t xml:space="preserve">acceso a pruebas periódicas de </w:t>
      </w:r>
      <w:r w:rsidRPr="00D11875">
        <w:rPr>
          <w:rFonts w:eastAsia="Times" w:cs="Arial"/>
          <w:i w:val="0"/>
          <w:szCs w:val="20"/>
          <w:lang w:val="es-MX"/>
        </w:rPr>
        <w:t>CD4, carga viral, fenotipo y genotipo</w:t>
      </w:r>
      <w:r w:rsidR="00F67F0E" w:rsidRPr="00D11875">
        <w:rPr>
          <w:rFonts w:eastAsia="Times" w:cs="Arial"/>
          <w:i w:val="0"/>
          <w:szCs w:val="20"/>
          <w:lang w:val="es-MX"/>
        </w:rPr>
        <w:t xml:space="preserve"> (</w:t>
      </w:r>
      <w:r w:rsidR="00F67F0E" w:rsidRPr="002B191E">
        <w:rPr>
          <w:rFonts w:eastAsia="Times" w:cs="Arial"/>
          <w:szCs w:val="20"/>
          <w:lang w:val="es-MX"/>
        </w:rPr>
        <w:t>supra</w:t>
      </w:r>
      <w:r w:rsidR="00F67F0E" w:rsidRPr="00D11875">
        <w:rPr>
          <w:rFonts w:eastAsia="Times" w:cs="Arial"/>
          <w:i w:val="0"/>
          <w:szCs w:val="20"/>
          <w:lang w:val="es-MX"/>
        </w:rPr>
        <w:t xml:space="preserve"> </w:t>
      </w:r>
      <w:r w:rsidR="00F67F0E" w:rsidRPr="00F4229A">
        <w:rPr>
          <w:rFonts w:eastAsia="Times" w:cs="Arial"/>
          <w:i w:val="0"/>
          <w:szCs w:val="20"/>
          <w:lang w:val="es-MX"/>
        </w:rPr>
        <w:t>párr.</w:t>
      </w:r>
      <w:r w:rsidR="00F4229A" w:rsidRPr="00F4229A">
        <w:rPr>
          <w:rFonts w:eastAsia="Times" w:cs="Arial"/>
          <w:i w:val="0"/>
          <w:szCs w:val="20"/>
          <w:lang w:val="es-MX"/>
        </w:rPr>
        <w:t xml:space="preserve"> 122</w:t>
      </w:r>
      <w:r w:rsidR="00F67F0E" w:rsidRPr="00F4229A">
        <w:rPr>
          <w:rFonts w:eastAsia="Times" w:cs="Arial"/>
          <w:i w:val="0"/>
          <w:szCs w:val="20"/>
          <w:lang w:val="es-MX"/>
        </w:rPr>
        <w:t>)</w:t>
      </w:r>
      <w:r w:rsidRPr="00F4229A">
        <w:rPr>
          <w:rFonts w:eastAsia="Times" w:cs="Arial"/>
          <w:i w:val="0"/>
          <w:szCs w:val="20"/>
          <w:lang w:val="es-MX"/>
        </w:rPr>
        <w:t>,</w:t>
      </w:r>
      <w:r w:rsidRPr="00D11875">
        <w:rPr>
          <w:rFonts w:eastAsia="Times" w:cs="Arial"/>
          <w:i w:val="0"/>
          <w:szCs w:val="20"/>
          <w:lang w:val="es-MX"/>
        </w:rPr>
        <w:t xml:space="preserve"> </w:t>
      </w:r>
      <w:r w:rsidR="00F67F0E" w:rsidRPr="00D11875">
        <w:rPr>
          <w:rFonts w:eastAsia="Times" w:cs="Arial"/>
          <w:i w:val="0"/>
          <w:szCs w:val="20"/>
          <w:lang w:val="es-MX"/>
        </w:rPr>
        <w:t>el inadecuado o nulo apoyo social (</w:t>
      </w:r>
      <w:r w:rsidR="00F67F0E" w:rsidRPr="002B191E">
        <w:rPr>
          <w:rFonts w:eastAsia="Times" w:cs="Arial"/>
          <w:szCs w:val="20"/>
          <w:lang w:val="es-MX"/>
        </w:rPr>
        <w:t>supra</w:t>
      </w:r>
      <w:r w:rsidR="00F67F0E" w:rsidRPr="00F4229A">
        <w:rPr>
          <w:rFonts w:eastAsia="Times" w:cs="Arial"/>
          <w:i w:val="0"/>
          <w:szCs w:val="20"/>
          <w:lang w:val="es-MX"/>
        </w:rPr>
        <w:t xml:space="preserve"> párr.</w:t>
      </w:r>
      <w:r w:rsidR="00F4229A" w:rsidRPr="00F4229A">
        <w:rPr>
          <w:rFonts w:eastAsia="Times" w:cs="Arial"/>
          <w:i w:val="0"/>
          <w:szCs w:val="20"/>
          <w:lang w:val="es-MX"/>
        </w:rPr>
        <w:t xml:space="preserve"> 123</w:t>
      </w:r>
      <w:r w:rsidR="00F67F0E" w:rsidRPr="00F4229A">
        <w:rPr>
          <w:rFonts w:eastAsia="Times" w:cs="Arial"/>
          <w:i w:val="0"/>
          <w:szCs w:val="20"/>
          <w:lang w:val="es-MX"/>
        </w:rPr>
        <w:t>),</w:t>
      </w:r>
      <w:r w:rsidR="00F67F0E" w:rsidRPr="00D11875">
        <w:rPr>
          <w:rFonts w:eastAsia="Times" w:cs="Arial"/>
          <w:i w:val="0"/>
          <w:szCs w:val="20"/>
          <w:lang w:val="es-MX"/>
        </w:rPr>
        <w:t xml:space="preserve"> y la imposibilidad de acceso a los centros de salud </w:t>
      </w:r>
      <w:r w:rsidR="0007262B" w:rsidRPr="00D11875">
        <w:rPr>
          <w:rFonts w:eastAsia="Times" w:cs="Arial"/>
          <w:i w:val="0"/>
          <w:szCs w:val="20"/>
          <w:lang w:val="es-MX"/>
        </w:rPr>
        <w:t>por razones económicas o de ubicación de los domicilios de</w:t>
      </w:r>
      <w:r w:rsidR="00F67F0E" w:rsidRPr="00D11875">
        <w:rPr>
          <w:rFonts w:eastAsia="Times" w:cs="Arial"/>
          <w:i w:val="0"/>
          <w:szCs w:val="20"/>
          <w:lang w:val="es-MX"/>
        </w:rPr>
        <w:t xml:space="preserve"> algunas de las presuntas víctimas del caso</w:t>
      </w:r>
      <w:r w:rsidR="00F4229A">
        <w:rPr>
          <w:rFonts w:eastAsia="Times" w:cs="Arial"/>
          <w:i w:val="0"/>
          <w:szCs w:val="20"/>
          <w:lang w:val="es-MX"/>
        </w:rPr>
        <w:t xml:space="preserve"> (</w:t>
      </w:r>
      <w:r w:rsidR="00F4229A">
        <w:rPr>
          <w:rFonts w:eastAsia="Times" w:cs="Arial"/>
          <w:szCs w:val="20"/>
          <w:lang w:val="es-MX"/>
        </w:rPr>
        <w:t xml:space="preserve">supra </w:t>
      </w:r>
      <w:r w:rsidR="00F4229A">
        <w:rPr>
          <w:rFonts w:eastAsia="Times" w:cs="Arial"/>
          <w:i w:val="0"/>
          <w:szCs w:val="20"/>
          <w:lang w:val="es-MX"/>
        </w:rPr>
        <w:t>párr. 125)</w:t>
      </w:r>
      <w:r w:rsidR="00F67F0E" w:rsidRPr="00D11875">
        <w:rPr>
          <w:rFonts w:eastAsia="Times" w:cs="Arial"/>
          <w:i w:val="0"/>
          <w:szCs w:val="20"/>
          <w:lang w:val="es-MX"/>
        </w:rPr>
        <w:t>, el Estado incumplió con su deber de garantía del derecho a la salud en tanto sus omisiones son incompatibles con l</w:t>
      </w:r>
      <w:r w:rsidR="0007262B" w:rsidRPr="00D11875">
        <w:rPr>
          <w:rFonts w:eastAsia="Times" w:cs="Arial"/>
          <w:i w:val="0"/>
          <w:szCs w:val="20"/>
          <w:lang w:val="es-MX"/>
        </w:rPr>
        <w:t>os elementos de disponibilidad, accesibilidad y</w:t>
      </w:r>
      <w:r w:rsidR="00F67F0E" w:rsidRPr="00D11875">
        <w:rPr>
          <w:rFonts w:eastAsia="Times" w:cs="Arial"/>
          <w:i w:val="0"/>
          <w:szCs w:val="20"/>
          <w:lang w:val="es-MX"/>
        </w:rPr>
        <w:t xml:space="preserve"> calidad de la atención a la salud</w:t>
      </w:r>
      <w:r w:rsidR="00F67F0E" w:rsidRPr="00F4229A">
        <w:rPr>
          <w:rFonts w:eastAsia="Times" w:cs="Arial"/>
          <w:i w:val="0"/>
          <w:szCs w:val="20"/>
          <w:lang w:val="es-MX"/>
        </w:rPr>
        <w:t>.</w:t>
      </w:r>
      <w:r w:rsidR="00F67F0E" w:rsidRPr="00D11875">
        <w:rPr>
          <w:rFonts w:eastAsia="Times" w:cs="Arial"/>
          <w:i w:val="0"/>
          <w:szCs w:val="20"/>
          <w:lang w:val="es-MX"/>
        </w:rPr>
        <w:t xml:space="preserve"> </w:t>
      </w:r>
      <w:r w:rsidR="0007262B" w:rsidRPr="00D11875">
        <w:rPr>
          <w:rFonts w:eastAsia="Times" w:cs="Arial"/>
          <w:i w:val="0"/>
          <w:szCs w:val="20"/>
          <w:lang w:val="es-MX"/>
        </w:rPr>
        <w:t>Los</w:t>
      </w:r>
      <w:r w:rsidR="00F67F0E" w:rsidRPr="00D11875">
        <w:rPr>
          <w:rFonts w:eastAsia="Times" w:cs="Arial"/>
          <w:i w:val="0"/>
          <w:szCs w:val="20"/>
          <w:lang w:val="es-MX"/>
        </w:rPr>
        <w:t xml:space="preserve"> elementos</w:t>
      </w:r>
      <w:r w:rsidR="0007262B" w:rsidRPr="00D11875">
        <w:rPr>
          <w:rFonts w:eastAsia="Times" w:cs="Arial"/>
          <w:i w:val="0"/>
          <w:szCs w:val="20"/>
          <w:lang w:val="es-MX"/>
        </w:rPr>
        <w:t xml:space="preserve"> de disponibilidad y calidad</w:t>
      </w:r>
      <w:r w:rsidR="00F67F0E" w:rsidRPr="00D11875">
        <w:rPr>
          <w:rFonts w:eastAsia="Times" w:cs="Arial"/>
          <w:i w:val="0"/>
          <w:szCs w:val="20"/>
          <w:lang w:val="es-MX"/>
        </w:rPr>
        <w:t xml:space="preserve"> requieren que exista un número suficiente de bienes, servicios y medicamentos necesarios para la atención a la salud, los cuales además deben ser apropiados desde el punto de vista médico y de buena calidad, lo cual no ocurrió en el presente caso.</w:t>
      </w:r>
      <w:r w:rsidR="0007262B" w:rsidRPr="00D11875">
        <w:rPr>
          <w:rFonts w:eastAsia="Times" w:cs="Arial"/>
          <w:i w:val="0"/>
          <w:szCs w:val="20"/>
          <w:lang w:val="es-MX"/>
        </w:rPr>
        <w:t xml:space="preserve"> El elemento de accesibilidad requiere que los establecimientos, bienes y servicios de salud sean accesibles de hecho y de derecho para los sectores más vulnerables y marginados, y que estén a una distancia geográfica razonable, situación que tampoco ocurrió en el presente caso.</w:t>
      </w:r>
    </w:p>
    <w:p w14:paraId="43B1067A" w14:textId="77777777" w:rsidR="00E92CA8" w:rsidRPr="00654D86" w:rsidRDefault="00E92CA8" w:rsidP="00E92CA8">
      <w:pPr>
        <w:pStyle w:val="Estilo1"/>
        <w:tabs>
          <w:tab w:val="left" w:pos="709"/>
          <w:tab w:val="left" w:pos="1134"/>
        </w:tabs>
        <w:spacing w:after="0"/>
        <w:ind w:left="0" w:right="-4" w:firstLine="0"/>
        <w:rPr>
          <w:rFonts w:eastAsia="Times" w:cs="Arial"/>
          <w:i w:val="0"/>
          <w:szCs w:val="20"/>
          <w:highlight w:val="yellow"/>
          <w:lang w:val="es-MX"/>
        </w:rPr>
      </w:pPr>
    </w:p>
    <w:p w14:paraId="6110F28E" w14:textId="2137990C" w:rsidR="00661AFA" w:rsidRPr="00661AFA" w:rsidRDefault="00DF28F8" w:rsidP="00661AFA">
      <w:pPr>
        <w:pStyle w:val="Estilo1"/>
        <w:numPr>
          <w:ilvl w:val="0"/>
          <w:numId w:val="3"/>
        </w:numPr>
        <w:tabs>
          <w:tab w:val="left" w:pos="709"/>
          <w:tab w:val="left" w:pos="1134"/>
        </w:tabs>
        <w:spacing w:after="0"/>
        <w:ind w:left="0" w:right="-4" w:firstLine="0"/>
        <w:rPr>
          <w:rFonts w:eastAsia="Times" w:cs="Arial"/>
          <w:i w:val="0"/>
          <w:szCs w:val="20"/>
          <w:lang w:val="es-MX"/>
        </w:rPr>
      </w:pPr>
      <w:r w:rsidRPr="00D11875">
        <w:rPr>
          <w:rFonts w:eastAsia="Times" w:cs="Arial"/>
          <w:i w:val="0"/>
          <w:szCs w:val="20"/>
          <w:lang w:val="es-MX"/>
        </w:rPr>
        <w:lastRenderedPageBreak/>
        <w:t xml:space="preserve">En consecuencia, la Corte concluye que el Estado no garantizó el derecho a la salud de </w:t>
      </w:r>
      <w:r w:rsidR="00155670" w:rsidRPr="00D11875">
        <w:rPr>
          <w:rFonts w:cs="Arial"/>
          <w:i w:val="0"/>
        </w:rPr>
        <w:t>Rita Mariana Dubón Orozco, Luis Edwin Cruz Grama</w:t>
      </w:r>
      <w:r w:rsidR="00005153">
        <w:rPr>
          <w:rFonts w:cs="Arial"/>
          <w:i w:val="0"/>
        </w:rPr>
        <w:t>jo</w:t>
      </w:r>
      <w:r w:rsidR="00155670" w:rsidRPr="00D11875">
        <w:rPr>
          <w:rFonts w:cs="Arial"/>
          <w:i w:val="0"/>
        </w:rPr>
        <w:t>,</w:t>
      </w:r>
      <w:r w:rsidR="00005153">
        <w:rPr>
          <w:rFonts w:cs="Arial"/>
          <w:i w:val="0"/>
        </w:rPr>
        <w:t xml:space="preserve"> Petrona López Robledo</w:t>
      </w:r>
      <w:r w:rsidR="002E10B2">
        <w:rPr>
          <w:rFonts w:cs="Arial"/>
          <w:i w:val="0"/>
        </w:rPr>
        <w:t>,</w:t>
      </w:r>
      <w:r w:rsidR="007E6FEA">
        <w:rPr>
          <w:rFonts w:cs="Arial"/>
          <w:i w:val="0"/>
        </w:rPr>
        <w:t xml:space="preserve"> </w:t>
      </w:r>
      <w:proofErr w:type="spellStart"/>
      <w:r w:rsidR="007E6FEA">
        <w:rPr>
          <w:rFonts w:cs="Arial"/>
          <w:i w:val="0"/>
        </w:rPr>
        <w:t>Maria</w:t>
      </w:r>
      <w:proofErr w:type="spellEnd"/>
      <w:r w:rsidR="007E6FEA">
        <w:rPr>
          <w:rFonts w:cs="Arial"/>
          <w:i w:val="0"/>
        </w:rPr>
        <w:t xml:space="preserve"> Blanca </w:t>
      </w:r>
      <w:proofErr w:type="spellStart"/>
      <w:r w:rsidR="007E6FEA">
        <w:rPr>
          <w:rFonts w:cs="Arial"/>
          <w:i w:val="0"/>
        </w:rPr>
        <w:t>Vaíl</w:t>
      </w:r>
      <w:proofErr w:type="spellEnd"/>
      <w:r w:rsidR="007E6FEA">
        <w:rPr>
          <w:rFonts w:cs="Arial"/>
          <w:i w:val="0"/>
        </w:rPr>
        <w:t xml:space="preserve"> López, Guadalupe Herminia </w:t>
      </w:r>
      <w:proofErr w:type="spellStart"/>
      <w:r w:rsidR="007E6FEA">
        <w:rPr>
          <w:rFonts w:cs="Arial"/>
          <w:i w:val="0"/>
        </w:rPr>
        <w:t>Cayaxo</w:t>
      </w:r>
      <w:r w:rsidR="00155670" w:rsidRPr="00D11875">
        <w:rPr>
          <w:rFonts w:cs="Arial"/>
          <w:i w:val="0"/>
        </w:rPr>
        <w:t>n</w:t>
      </w:r>
      <w:proofErr w:type="spellEnd"/>
      <w:r w:rsidR="00155670" w:rsidRPr="00D11875">
        <w:rPr>
          <w:rFonts w:cs="Arial"/>
          <w:i w:val="0"/>
        </w:rPr>
        <w:t xml:space="preserve"> García, José Rubén Delgad</w:t>
      </w:r>
      <w:r w:rsidR="007E6FEA">
        <w:rPr>
          <w:rFonts w:cs="Arial"/>
          <w:i w:val="0"/>
        </w:rPr>
        <w:t>o López, Elsa Miriam Estrada Ruí</w:t>
      </w:r>
      <w:r w:rsidR="00155670" w:rsidRPr="00D11875">
        <w:rPr>
          <w:rFonts w:cs="Arial"/>
          <w:i w:val="0"/>
        </w:rPr>
        <w:t>z, Silvia Mirtala Álvarez Villatoro, J</w:t>
      </w:r>
      <w:r w:rsidR="007E6FEA">
        <w:rPr>
          <w:rFonts w:cs="Arial"/>
          <w:i w:val="0"/>
        </w:rPr>
        <w:t xml:space="preserve">uana Aguilar, Melvin </w:t>
      </w:r>
      <w:proofErr w:type="spellStart"/>
      <w:r w:rsidR="007E6FEA">
        <w:rPr>
          <w:rFonts w:cs="Arial"/>
          <w:i w:val="0"/>
        </w:rPr>
        <w:t>Yovani</w:t>
      </w:r>
      <w:proofErr w:type="spellEnd"/>
      <w:r w:rsidR="007E6FEA">
        <w:rPr>
          <w:rFonts w:cs="Arial"/>
          <w:i w:val="0"/>
        </w:rPr>
        <w:t xml:space="preserve"> Ajtu</w:t>
      </w:r>
      <w:r w:rsidR="00155670" w:rsidRPr="00D11875">
        <w:rPr>
          <w:rFonts w:cs="Arial"/>
          <w:i w:val="0"/>
        </w:rPr>
        <w:t xml:space="preserve">n Escobar, José Cupertino Ramírez, Sebastián Emilio Dueñas, Julia Aguilar, Felipe </w:t>
      </w:r>
      <w:proofErr w:type="spellStart"/>
      <w:r w:rsidR="00155670" w:rsidRPr="00D11875">
        <w:rPr>
          <w:rFonts w:cs="Arial"/>
          <w:i w:val="0"/>
        </w:rPr>
        <w:t>Tebal</w:t>
      </w:r>
      <w:r w:rsidR="007E6FEA">
        <w:rPr>
          <w:rFonts w:cs="Arial"/>
          <w:i w:val="0"/>
        </w:rPr>
        <w:t>an</w:t>
      </w:r>
      <w:proofErr w:type="spellEnd"/>
      <w:r w:rsidR="007E6FEA">
        <w:rPr>
          <w:rFonts w:cs="Arial"/>
          <w:i w:val="0"/>
        </w:rPr>
        <w:t xml:space="preserve"> Ordoñez, Martina Candelaria A</w:t>
      </w:r>
      <w:r w:rsidR="00155670" w:rsidRPr="00D11875">
        <w:rPr>
          <w:rFonts w:cs="Arial"/>
          <w:i w:val="0"/>
        </w:rPr>
        <w:t>lva</w:t>
      </w:r>
      <w:r w:rsidR="007E6FEA">
        <w:rPr>
          <w:rFonts w:cs="Arial"/>
          <w:i w:val="0"/>
        </w:rPr>
        <w:t xml:space="preserve">rez Estrada, Luis Rubén Isabel </w:t>
      </w:r>
      <w:proofErr w:type="spellStart"/>
      <w:r w:rsidR="007E6FEA">
        <w:rPr>
          <w:rFonts w:cs="Arial"/>
          <w:i w:val="0"/>
        </w:rPr>
        <w:t>A</w:t>
      </w:r>
      <w:r w:rsidR="00155670" w:rsidRPr="00D11875">
        <w:rPr>
          <w:rFonts w:cs="Arial"/>
          <w:i w:val="0"/>
        </w:rPr>
        <w:t>lvarez</w:t>
      </w:r>
      <w:proofErr w:type="spellEnd"/>
      <w:r w:rsidR="00155670" w:rsidRPr="00D11875">
        <w:rPr>
          <w:rFonts w:cs="Arial"/>
          <w:i w:val="0"/>
        </w:rPr>
        <w:t xml:space="preserve"> Flores, </w:t>
      </w:r>
      <w:proofErr w:type="spellStart"/>
      <w:r w:rsidR="00155670" w:rsidRPr="00D11875">
        <w:rPr>
          <w:rFonts w:cs="Arial"/>
          <w:i w:val="0"/>
        </w:rPr>
        <w:t>Saira</w:t>
      </w:r>
      <w:proofErr w:type="spellEnd"/>
      <w:r w:rsidR="00155670" w:rsidRPr="00D11875">
        <w:rPr>
          <w:rFonts w:cs="Arial"/>
          <w:i w:val="0"/>
        </w:rPr>
        <w:t xml:space="preserve"> Elisa Barrios, </w:t>
      </w:r>
      <w:proofErr w:type="spellStart"/>
      <w:r w:rsidR="00155670" w:rsidRPr="00D11875">
        <w:rPr>
          <w:rFonts w:cs="Arial"/>
          <w:i w:val="0"/>
        </w:rPr>
        <w:t>F</w:t>
      </w:r>
      <w:r w:rsidR="007E6FEA">
        <w:rPr>
          <w:rFonts w:cs="Arial"/>
          <w:i w:val="0"/>
        </w:rPr>
        <w:t>elix</w:t>
      </w:r>
      <w:proofErr w:type="spellEnd"/>
      <w:r w:rsidR="007E6FEA">
        <w:rPr>
          <w:rFonts w:cs="Arial"/>
          <w:i w:val="0"/>
        </w:rPr>
        <w:t xml:space="preserve"> de Jesús Cabrera Morales, Cé</w:t>
      </w:r>
      <w:r w:rsidR="00155670" w:rsidRPr="00D11875">
        <w:rPr>
          <w:rFonts w:cs="Arial"/>
          <w:i w:val="0"/>
        </w:rPr>
        <w:t xml:space="preserve">sar Noé Cancinos Gómez, Aracely Cinto, Luis Rolando </w:t>
      </w:r>
      <w:proofErr w:type="spellStart"/>
      <w:r w:rsidR="00155670" w:rsidRPr="00D11875">
        <w:rPr>
          <w:rFonts w:cs="Arial"/>
          <w:i w:val="0"/>
        </w:rPr>
        <w:t>Cuscul</w:t>
      </w:r>
      <w:proofErr w:type="spellEnd"/>
      <w:r w:rsidR="00155670" w:rsidRPr="00D11875">
        <w:rPr>
          <w:rFonts w:cs="Arial"/>
          <w:i w:val="0"/>
        </w:rPr>
        <w:t xml:space="preserve"> Pivaral, María Felipe Pérez, </w:t>
      </w:r>
      <w:proofErr w:type="spellStart"/>
      <w:r w:rsidR="00155670" w:rsidRPr="00D11875">
        <w:rPr>
          <w:rFonts w:cs="Arial"/>
          <w:i w:val="0"/>
        </w:rPr>
        <w:t>Ismerai</w:t>
      </w:r>
      <w:proofErr w:type="spellEnd"/>
      <w:r w:rsidR="00155670" w:rsidRPr="00D11875">
        <w:rPr>
          <w:rFonts w:cs="Arial"/>
          <w:i w:val="0"/>
        </w:rPr>
        <w:t xml:space="preserve"> </w:t>
      </w:r>
      <w:proofErr w:type="spellStart"/>
      <w:r w:rsidR="00155670" w:rsidRPr="00D11875">
        <w:rPr>
          <w:rFonts w:cs="Arial"/>
          <w:i w:val="0"/>
        </w:rPr>
        <w:t>Olibia</w:t>
      </w:r>
      <w:proofErr w:type="spellEnd"/>
      <w:r w:rsidR="00155670" w:rsidRPr="00D11875">
        <w:rPr>
          <w:rFonts w:cs="Arial"/>
          <w:i w:val="0"/>
        </w:rPr>
        <w:t xml:space="preserve"> García </w:t>
      </w:r>
      <w:proofErr w:type="spellStart"/>
      <w:r w:rsidR="00155670" w:rsidRPr="00D11875">
        <w:rPr>
          <w:rFonts w:cs="Arial"/>
          <w:i w:val="0"/>
        </w:rPr>
        <w:t>Castañon</w:t>
      </w:r>
      <w:proofErr w:type="spellEnd"/>
      <w:r w:rsidR="00155670" w:rsidRPr="00D11875">
        <w:rPr>
          <w:rFonts w:cs="Arial"/>
          <w:i w:val="0"/>
        </w:rPr>
        <w:t xml:space="preserve">, Santos </w:t>
      </w:r>
      <w:proofErr w:type="spellStart"/>
      <w:r w:rsidR="00155670" w:rsidRPr="00D11875">
        <w:rPr>
          <w:rFonts w:cs="Arial"/>
          <w:i w:val="0"/>
        </w:rPr>
        <w:t>Isacar</w:t>
      </w:r>
      <w:proofErr w:type="spellEnd"/>
      <w:r w:rsidR="00155670" w:rsidRPr="00D11875">
        <w:rPr>
          <w:rFonts w:cs="Arial"/>
          <w:i w:val="0"/>
        </w:rPr>
        <w:t xml:space="preserve"> Vásquez Barrios, </w:t>
      </w:r>
      <w:proofErr w:type="spellStart"/>
      <w:r w:rsidR="00155670" w:rsidRPr="00D11875">
        <w:rPr>
          <w:rFonts w:cs="Arial"/>
          <w:i w:val="0"/>
        </w:rPr>
        <w:t>Mardo</w:t>
      </w:r>
      <w:proofErr w:type="spellEnd"/>
      <w:r w:rsidR="00155670" w:rsidRPr="00D11875">
        <w:rPr>
          <w:rFonts w:cs="Arial"/>
          <w:i w:val="0"/>
        </w:rPr>
        <w:t xml:space="preserve"> Luis Hernández y Hernández, Luis Armando Linares Ruano, Marta Alicia Maldonado Paz, Dora Marina Martínez </w:t>
      </w:r>
      <w:proofErr w:type="spellStart"/>
      <w:r w:rsidR="00155670" w:rsidRPr="00D11875">
        <w:rPr>
          <w:rFonts w:cs="Arial"/>
          <w:i w:val="0"/>
        </w:rPr>
        <w:t>Sofoifa</w:t>
      </w:r>
      <w:proofErr w:type="spellEnd"/>
      <w:r w:rsidR="00155670" w:rsidRPr="00D11875">
        <w:rPr>
          <w:rFonts w:cs="Arial"/>
          <w:i w:val="0"/>
        </w:rPr>
        <w:t>, Pascuala de Jesús Mérida Rodríguez, Darine</w:t>
      </w:r>
      <w:r w:rsidR="007E6FEA">
        <w:rPr>
          <w:rFonts w:cs="Arial"/>
          <w:i w:val="0"/>
        </w:rPr>
        <w:t xml:space="preserve">l López Montes de Oca, Israel </w:t>
      </w:r>
      <w:proofErr w:type="spellStart"/>
      <w:r w:rsidR="007E6FEA">
        <w:rPr>
          <w:rFonts w:cs="Arial"/>
          <w:i w:val="0"/>
        </w:rPr>
        <w:t>Pe</w:t>
      </w:r>
      <w:r w:rsidR="00155670" w:rsidRPr="00D11875">
        <w:rPr>
          <w:rFonts w:cs="Arial"/>
          <w:i w:val="0"/>
        </w:rPr>
        <w:t>rez</w:t>
      </w:r>
      <w:proofErr w:type="spellEnd"/>
      <w:r w:rsidR="00155670" w:rsidRPr="00D11875">
        <w:rPr>
          <w:rFonts w:cs="Arial"/>
          <w:i w:val="0"/>
        </w:rPr>
        <w:t xml:space="preserve"> Charal, Corina </w:t>
      </w:r>
      <w:proofErr w:type="spellStart"/>
      <w:r w:rsidR="00155670" w:rsidRPr="00D11875">
        <w:rPr>
          <w:rFonts w:cs="Arial"/>
          <w:i w:val="0"/>
        </w:rPr>
        <w:t>Dianeth</w:t>
      </w:r>
      <w:proofErr w:type="spellEnd"/>
      <w:r w:rsidR="00155670" w:rsidRPr="00D11875">
        <w:rPr>
          <w:rFonts w:cs="Arial"/>
          <w:i w:val="0"/>
        </w:rPr>
        <w:t xml:space="preserve"> Robledo Alvarado, </w:t>
      </w:r>
      <w:proofErr w:type="spellStart"/>
      <w:r w:rsidR="00155670" w:rsidRPr="00D11875">
        <w:rPr>
          <w:rFonts w:cs="Arial"/>
          <w:i w:val="0"/>
        </w:rPr>
        <w:t>Audencio</w:t>
      </w:r>
      <w:proofErr w:type="spellEnd"/>
      <w:r w:rsidR="00155670" w:rsidRPr="00D11875">
        <w:rPr>
          <w:rFonts w:cs="Arial"/>
          <w:i w:val="0"/>
        </w:rPr>
        <w:t xml:space="preserve"> Rodas R</w:t>
      </w:r>
      <w:r w:rsidR="007E6FEA">
        <w:rPr>
          <w:rFonts w:cs="Arial"/>
          <w:i w:val="0"/>
        </w:rPr>
        <w:t>odríguez, Zoila Marina Pérez Ruí</w:t>
      </w:r>
      <w:r w:rsidR="00155670" w:rsidRPr="00D11875">
        <w:rPr>
          <w:rFonts w:cs="Arial"/>
          <w:i w:val="0"/>
        </w:rPr>
        <w:t xml:space="preserve">z, Santiago Francisco </w:t>
      </w:r>
      <w:proofErr w:type="spellStart"/>
      <w:r w:rsidR="00155670" w:rsidRPr="00D11875">
        <w:rPr>
          <w:rFonts w:cs="Arial"/>
          <w:i w:val="0"/>
        </w:rPr>
        <w:t>Valdéz</w:t>
      </w:r>
      <w:proofErr w:type="spellEnd"/>
      <w:r w:rsidR="00155670" w:rsidRPr="00D11875">
        <w:rPr>
          <w:rFonts w:cs="Arial"/>
          <w:i w:val="0"/>
        </w:rPr>
        <w:t xml:space="preserve"> Aguilar, Teresa Magdalena Ramírez Castro, Karen Judith Samayoa Vásquez, Francisco </w:t>
      </w:r>
      <w:proofErr w:type="spellStart"/>
      <w:r w:rsidR="00155670" w:rsidRPr="00D11875">
        <w:rPr>
          <w:rFonts w:cs="Arial"/>
          <w:i w:val="0"/>
        </w:rPr>
        <w:t>Sop</w:t>
      </w:r>
      <w:proofErr w:type="spellEnd"/>
      <w:r w:rsidR="00155670" w:rsidRPr="00D11875">
        <w:rPr>
          <w:rFonts w:cs="Arial"/>
          <w:i w:val="0"/>
        </w:rPr>
        <w:t xml:space="preserve"> </w:t>
      </w:r>
      <w:proofErr w:type="spellStart"/>
      <w:r w:rsidR="00155670" w:rsidRPr="00D11875">
        <w:rPr>
          <w:rFonts w:cs="Arial"/>
          <w:i w:val="0"/>
        </w:rPr>
        <w:t>Quiej</w:t>
      </w:r>
      <w:proofErr w:type="spellEnd"/>
      <w:r w:rsidR="00155670" w:rsidRPr="00D11875">
        <w:rPr>
          <w:rFonts w:cs="Arial"/>
          <w:i w:val="0"/>
        </w:rPr>
        <w:t>,</w:t>
      </w:r>
      <w:r w:rsidR="007E6FEA">
        <w:rPr>
          <w:rFonts w:cs="Arial"/>
          <w:i w:val="0"/>
        </w:rPr>
        <w:t xml:space="preserve"> </w:t>
      </w:r>
      <w:r w:rsidR="00155670" w:rsidRPr="00D11875">
        <w:rPr>
          <w:rFonts w:cs="Arial"/>
          <w:i w:val="0"/>
        </w:rPr>
        <w:t xml:space="preserve">Jorge Armando Tavares Barreno, Miguel Lucas </w:t>
      </w:r>
      <w:proofErr w:type="spellStart"/>
      <w:r w:rsidR="00155670" w:rsidRPr="00D11875">
        <w:rPr>
          <w:rFonts w:cs="Arial"/>
          <w:i w:val="0"/>
        </w:rPr>
        <w:t>Vaíl</w:t>
      </w:r>
      <w:proofErr w:type="spellEnd"/>
      <w:r w:rsidR="00155670" w:rsidRPr="00D11875">
        <w:rPr>
          <w:rFonts w:cs="Arial"/>
          <w:i w:val="0"/>
        </w:rPr>
        <w:t>, Santos Vásquez Oliv</w:t>
      </w:r>
      <w:r w:rsidR="007E6FEA">
        <w:rPr>
          <w:rFonts w:cs="Arial"/>
          <w:i w:val="0"/>
        </w:rPr>
        <w:t>eros, Iris Carolina Vicente Ba</w:t>
      </w:r>
      <w:r w:rsidR="00573F6B">
        <w:rPr>
          <w:rFonts w:cs="Arial"/>
          <w:i w:val="0"/>
        </w:rPr>
        <w:t>ri</w:t>
      </w:r>
      <w:r w:rsidR="00155670" w:rsidRPr="00D11875">
        <w:rPr>
          <w:rFonts w:cs="Arial"/>
          <w:i w:val="0"/>
        </w:rPr>
        <w:t>llas y Sandra Lisbeth Zepeda Herrera</w:t>
      </w:r>
      <w:r w:rsidR="00155670" w:rsidRPr="00D11875">
        <w:rPr>
          <w:rFonts w:cs="Arial"/>
        </w:rPr>
        <w:t>.</w:t>
      </w:r>
      <w:r w:rsidRPr="00D11875">
        <w:rPr>
          <w:rFonts w:eastAsia="Times" w:cs="Arial"/>
          <w:i w:val="0"/>
          <w:szCs w:val="20"/>
          <w:lang w:val="es-MX"/>
        </w:rPr>
        <w:t xml:space="preserve"> Por tanto,</w:t>
      </w:r>
      <w:r w:rsidR="00661AFA">
        <w:rPr>
          <w:rFonts w:eastAsia="Times" w:cs="Arial"/>
          <w:i w:val="0"/>
          <w:szCs w:val="20"/>
          <w:lang w:val="es-MX"/>
        </w:rPr>
        <w:t xml:space="preserve"> </w:t>
      </w:r>
      <w:r w:rsidR="00661AFA" w:rsidRPr="00F65878">
        <w:rPr>
          <w:rFonts w:eastAsia="Times" w:cs="Arial"/>
          <w:i w:val="0"/>
          <w:szCs w:val="20"/>
          <w:lang w:val="es-MX"/>
        </w:rPr>
        <w:t xml:space="preserve">el Estado es responsable por la </w:t>
      </w:r>
      <w:r w:rsidR="00661AFA" w:rsidRPr="00D7239C">
        <w:rPr>
          <w:rFonts w:eastAsia="Times" w:cs="Arial"/>
          <w:i w:val="0"/>
          <w:szCs w:val="20"/>
          <w:lang w:val="es-MX"/>
        </w:rPr>
        <w:t>violación al</w:t>
      </w:r>
      <w:r w:rsidR="00661AFA">
        <w:rPr>
          <w:rFonts w:eastAsia="Times" w:cs="Arial"/>
          <w:i w:val="0"/>
          <w:szCs w:val="20"/>
          <w:lang w:val="es-MX"/>
        </w:rPr>
        <w:t xml:space="preserve"> deber de garantía del</w:t>
      </w:r>
      <w:r w:rsidR="00661AFA" w:rsidRPr="00D7239C">
        <w:rPr>
          <w:rFonts w:eastAsia="Times" w:cs="Arial"/>
          <w:i w:val="0"/>
          <w:szCs w:val="20"/>
          <w:lang w:val="es-MX"/>
        </w:rPr>
        <w:t xml:space="preserve"> derecho a la salud</w:t>
      </w:r>
      <w:r w:rsidR="00661AFA">
        <w:rPr>
          <w:rFonts w:eastAsia="Times" w:cs="Arial"/>
          <w:i w:val="0"/>
          <w:szCs w:val="20"/>
          <w:lang w:val="es-MX"/>
        </w:rPr>
        <w:t>, de conformidad con el artículo 26 de la Convención Americana, en relación con el artículo 1.1 del mismo instrumento.</w:t>
      </w:r>
    </w:p>
    <w:p w14:paraId="6548BFBB" w14:textId="77777777" w:rsidR="00E92CA8" w:rsidRPr="00E55B9D" w:rsidRDefault="00E92CA8" w:rsidP="00E92CA8">
      <w:pPr>
        <w:pStyle w:val="Estilo1"/>
        <w:tabs>
          <w:tab w:val="left" w:pos="709"/>
          <w:tab w:val="left" w:pos="1134"/>
        </w:tabs>
        <w:spacing w:after="0"/>
        <w:ind w:left="0" w:right="-4" w:firstLine="0"/>
        <w:rPr>
          <w:rFonts w:eastAsia="Times" w:cs="Arial"/>
          <w:i w:val="0"/>
          <w:szCs w:val="20"/>
          <w:lang w:val="es-MX"/>
        </w:rPr>
      </w:pPr>
    </w:p>
    <w:p w14:paraId="3A490EEC" w14:textId="201540F5" w:rsidR="00F46845"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EE1E0E" w:rsidRPr="00AC0BEF">
        <w:rPr>
          <w:rFonts w:eastAsia="Times" w:cs="Arial"/>
          <w:b/>
          <w:szCs w:val="20"/>
          <w:lang w:val="es-MX"/>
        </w:rPr>
        <w:t>B.4.3</w:t>
      </w:r>
      <w:r w:rsidR="00F46845" w:rsidRPr="00AC0BEF">
        <w:rPr>
          <w:rFonts w:eastAsia="Times" w:cs="Arial"/>
          <w:b/>
          <w:szCs w:val="20"/>
          <w:lang w:val="es-MX"/>
        </w:rPr>
        <w:t>. Análisis respecto a los alcances de la discriminación ocurrida en el presente caso</w:t>
      </w:r>
    </w:p>
    <w:p w14:paraId="21186310" w14:textId="77777777" w:rsidR="00E92CA8" w:rsidRPr="00E92CA8" w:rsidRDefault="00E92CA8" w:rsidP="00E92CA8">
      <w:pPr>
        <w:widowControl w:val="0"/>
        <w:autoSpaceDE w:val="0"/>
        <w:autoSpaceDN w:val="0"/>
        <w:adjustRightInd w:val="0"/>
        <w:textAlignment w:val="baseline"/>
        <w:rPr>
          <w:rFonts w:eastAsia="Verdana"/>
          <w:bCs/>
          <w:szCs w:val="20"/>
          <w:lang w:val="es-CR" w:eastAsia="x-none"/>
        </w:rPr>
      </w:pPr>
    </w:p>
    <w:p w14:paraId="486EB2FB" w14:textId="3813C07F"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7B3E9B">
        <w:rPr>
          <w:rFonts w:eastAsia="Times" w:cs="Arial"/>
          <w:i w:val="0"/>
          <w:szCs w:val="20"/>
          <w:lang w:val="es-MX"/>
        </w:rPr>
        <w:t>Los representantes alegaron que el Estado discriminó a las presuntas víctimas del caso al no garantizarles una atención integral, accesible, aceptable y de calidad, tomando en cuenta las diversas situaciones de vulnerabilidad que enfrentaron.</w:t>
      </w:r>
      <w:r w:rsidR="00020A75" w:rsidRPr="007B3E9B">
        <w:rPr>
          <w:rFonts w:eastAsia="Times" w:cs="Arial"/>
          <w:i w:val="0"/>
          <w:szCs w:val="20"/>
          <w:lang w:val="es-MX"/>
        </w:rPr>
        <w:t xml:space="preserve"> Asimismo, alegaron que el Estado no adoptó medidas de atención integral para las presuntas víctimas que tomaran en cuenta los diversos factores de vulnerabilidad que confluyeron y generaron una forma específica de discriminación resultante en la intersección de dichos factores</w:t>
      </w:r>
      <w:r w:rsidR="007B3E9B" w:rsidRPr="007B3E9B">
        <w:rPr>
          <w:rFonts w:eastAsia="Times" w:cs="Arial"/>
          <w:i w:val="0"/>
          <w:szCs w:val="20"/>
          <w:lang w:val="es-MX"/>
        </w:rPr>
        <w:t xml:space="preserve">. </w:t>
      </w:r>
      <w:r w:rsidR="00682ADD">
        <w:rPr>
          <w:rFonts w:eastAsia="Times" w:cs="Arial"/>
          <w:i w:val="0"/>
          <w:szCs w:val="20"/>
          <w:lang w:val="es-MX"/>
        </w:rPr>
        <w:t>En razón de ello, l</w:t>
      </w:r>
      <w:r w:rsidR="007B3E9B" w:rsidRPr="00A939C7">
        <w:rPr>
          <w:rFonts w:eastAsia="Times" w:cs="Arial"/>
          <w:i w:val="0"/>
          <w:szCs w:val="20"/>
          <w:lang w:val="es-MX"/>
        </w:rPr>
        <w:t xml:space="preserve">a Corte analizará </w:t>
      </w:r>
      <w:r w:rsidR="00683E2D">
        <w:rPr>
          <w:rFonts w:eastAsia="Times" w:cs="Arial"/>
          <w:i w:val="0"/>
          <w:szCs w:val="20"/>
          <w:lang w:val="es-MX"/>
        </w:rPr>
        <w:t>si existió discriminación en el presente caso</w:t>
      </w:r>
      <w:r w:rsidR="007B3E9B" w:rsidRPr="00A939C7">
        <w:rPr>
          <w:rFonts w:eastAsia="Times" w:cs="Arial"/>
          <w:i w:val="0"/>
          <w:szCs w:val="20"/>
          <w:lang w:val="es-MX"/>
        </w:rPr>
        <w:t xml:space="preserve">. De la misma forma, </w:t>
      </w:r>
      <w:r w:rsidR="007B3E9B" w:rsidRPr="00A939C7">
        <w:rPr>
          <w:i w:val="0"/>
        </w:rPr>
        <w:t>teniendo en cuenta que en este caso se alega que varias personas fueron víctimas de discriminación por motivos coincidentes, este Tribunal realizará</w:t>
      </w:r>
      <w:r w:rsidR="00A939C7">
        <w:rPr>
          <w:i w:val="0"/>
        </w:rPr>
        <w:t>, en lo pertinente,</w:t>
      </w:r>
      <w:r w:rsidR="007B3E9B" w:rsidRPr="00A939C7">
        <w:rPr>
          <w:i w:val="0"/>
        </w:rPr>
        <w:t xml:space="preserve"> un análisis de cada uno de los motivos presuntamente discriminatorios de manera separada. Lo anterior sin perjuicio de que la Corte comprende que la confluencia de factores de discriminación de manera </w:t>
      </w:r>
      <w:proofErr w:type="spellStart"/>
      <w:r w:rsidR="007B3E9B" w:rsidRPr="00A939C7">
        <w:rPr>
          <w:i w:val="0"/>
        </w:rPr>
        <w:t>interseccional</w:t>
      </w:r>
      <w:proofErr w:type="spellEnd"/>
      <w:r w:rsidR="007B3E9B" w:rsidRPr="00A939C7">
        <w:rPr>
          <w:i w:val="0"/>
        </w:rPr>
        <w:t xml:space="preserve"> resulta en una experiencia discriminatoria que se diferencia de la simple acumulación</w:t>
      </w:r>
      <w:r w:rsidR="003C1B66">
        <w:rPr>
          <w:i w:val="0"/>
        </w:rPr>
        <w:t>,</w:t>
      </w:r>
      <w:r w:rsidR="007B3E9B" w:rsidRPr="00A939C7">
        <w:rPr>
          <w:i w:val="0"/>
        </w:rPr>
        <w:t xml:space="preserve"> en contra de una persona</w:t>
      </w:r>
      <w:r w:rsidR="003C1B66">
        <w:rPr>
          <w:i w:val="0"/>
        </w:rPr>
        <w:t>, de distinta</w:t>
      </w:r>
      <w:r w:rsidR="007B3E9B" w:rsidRPr="00A939C7">
        <w:rPr>
          <w:i w:val="0"/>
        </w:rPr>
        <w:t>s causas discriminación</w:t>
      </w:r>
      <w:r w:rsidR="007B3E9B">
        <w:rPr>
          <w:rStyle w:val="Refdenotaalpie"/>
          <w:i w:val="0"/>
        </w:rPr>
        <w:footnoteReference w:id="146"/>
      </w:r>
      <w:r w:rsidR="007B3E9B" w:rsidRPr="00A939C7">
        <w:rPr>
          <w:i w:val="0"/>
        </w:rPr>
        <w:t>.</w:t>
      </w:r>
    </w:p>
    <w:p w14:paraId="190F2CF2" w14:textId="77777777" w:rsidR="00E92CA8" w:rsidRPr="00683E2D" w:rsidRDefault="00E92CA8" w:rsidP="00E92CA8">
      <w:pPr>
        <w:pStyle w:val="Estilo1"/>
        <w:tabs>
          <w:tab w:val="left" w:pos="709"/>
          <w:tab w:val="left" w:pos="1134"/>
        </w:tabs>
        <w:spacing w:after="0"/>
        <w:ind w:left="0" w:right="-4" w:firstLine="0"/>
        <w:rPr>
          <w:rFonts w:eastAsia="Times" w:cs="Arial"/>
          <w:i w:val="0"/>
          <w:szCs w:val="20"/>
          <w:lang w:val="es-MX"/>
        </w:rPr>
      </w:pPr>
    </w:p>
    <w:p w14:paraId="2EFDC407" w14:textId="490BD4FF" w:rsidR="00683E2D" w:rsidRPr="00E92CA8" w:rsidRDefault="00683E2D" w:rsidP="00E92CA8">
      <w:pPr>
        <w:pStyle w:val="Estilo1"/>
        <w:numPr>
          <w:ilvl w:val="0"/>
          <w:numId w:val="3"/>
        </w:numPr>
        <w:tabs>
          <w:tab w:val="left" w:pos="709"/>
          <w:tab w:val="left" w:pos="1134"/>
        </w:tabs>
        <w:spacing w:after="0"/>
        <w:ind w:left="0" w:right="-4" w:firstLine="0"/>
        <w:rPr>
          <w:rFonts w:eastAsia="Calibri"/>
          <w:i w:val="0"/>
          <w:szCs w:val="20"/>
          <w:lang w:val="es-MX"/>
        </w:rPr>
      </w:pPr>
      <w:r>
        <w:rPr>
          <w:rFonts w:eastAsia="Calibri"/>
          <w:i w:val="0"/>
          <w:szCs w:val="20"/>
          <w:lang w:val="es-MX"/>
        </w:rPr>
        <w:t>Al respecto, l</w:t>
      </w:r>
      <w:r w:rsidRPr="0060216C">
        <w:rPr>
          <w:rFonts w:eastAsia="Calibri"/>
          <w:i w:val="0"/>
          <w:szCs w:val="20"/>
          <w:lang w:val="es-MX"/>
        </w:rPr>
        <w:t>a Corte recuerda que</w:t>
      </w:r>
      <w:r w:rsidR="003C1B66">
        <w:rPr>
          <w:rFonts w:eastAsia="Calibri"/>
          <w:i w:val="0"/>
          <w:szCs w:val="20"/>
          <w:lang w:val="es-MX"/>
        </w:rPr>
        <w:t>,</w:t>
      </w:r>
      <w:r w:rsidRPr="0060216C">
        <w:rPr>
          <w:rFonts w:eastAsia="Calibri"/>
          <w:i w:val="0"/>
          <w:szCs w:val="20"/>
          <w:lang w:val="es-MX"/>
        </w:rPr>
        <w:t xml:space="preserve"> como condición transversal de la accesibilidad a los servicios de salud</w:t>
      </w:r>
      <w:r w:rsidRPr="0060216C">
        <w:rPr>
          <w:rStyle w:val="Refdenotaalpie"/>
          <w:rFonts w:eastAsia="Calibri"/>
          <w:i w:val="0"/>
          <w:lang w:val="es-MX"/>
        </w:rPr>
        <w:footnoteReference w:id="147"/>
      </w:r>
      <w:r w:rsidRPr="0060216C">
        <w:rPr>
          <w:rFonts w:eastAsia="Calibri"/>
          <w:i w:val="0"/>
          <w:szCs w:val="20"/>
          <w:lang w:val="es-MX"/>
        </w:rPr>
        <w:t xml:space="preserve">, </w:t>
      </w:r>
      <w:r w:rsidRPr="0060216C">
        <w:rPr>
          <w:rFonts w:eastAsia="Calibri"/>
          <w:i w:val="0"/>
          <w:szCs w:val="20"/>
          <w:lang w:val="es-HN"/>
        </w:rPr>
        <w:t>el Estado está obligado a garantizar un trato igualitario a todas las personas. De esta forma, de conformidad con el artículo 1.1 de la Convención Americana no son permitidos tratos discriminatorios</w:t>
      </w:r>
      <w:r w:rsidRPr="0060216C">
        <w:rPr>
          <w:i w:val="0"/>
          <w:szCs w:val="20"/>
          <w:vertAlign w:val="superscript"/>
          <w:lang w:val="es-HN"/>
        </w:rPr>
        <w:footnoteReference w:id="148"/>
      </w:r>
      <w:r w:rsidRPr="0060216C">
        <w:rPr>
          <w:rFonts w:eastAsia="Calibri"/>
          <w:i w:val="0"/>
          <w:szCs w:val="20"/>
          <w:lang w:val="es-HN"/>
        </w:rPr>
        <w:t xml:space="preserve">, “por motivos de raza, color, sexo, […] posición </w:t>
      </w:r>
      <w:r w:rsidRPr="0060216C">
        <w:rPr>
          <w:rFonts w:eastAsia="Calibri"/>
          <w:i w:val="0"/>
          <w:szCs w:val="20"/>
          <w:lang w:val="es-HN"/>
        </w:rPr>
        <w:lastRenderedPageBreak/>
        <w:t>económica, nacimiento o cualquier otra condición social”</w:t>
      </w:r>
      <w:r w:rsidRPr="0060216C">
        <w:rPr>
          <w:rStyle w:val="Refdenotaalpie"/>
          <w:rFonts w:eastAsia="Calibri"/>
          <w:i w:val="0"/>
          <w:lang w:val="es-HN"/>
        </w:rPr>
        <w:footnoteReference w:id="149"/>
      </w:r>
      <w:r w:rsidRPr="0060216C">
        <w:rPr>
          <w:rFonts w:eastAsia="Calibri"/>
          <w:i w:val="0"/>
          <w:szCs w:val="20"/>
          <w:lang w:val="es-HN"/>
        </w:rPr>
        <w:t xml:space="preserve">. </w:t>
      </w:r>
      <w:r w:rsidR="003C1B66">
        <w:rPr>
          <w:rFonts w:eastAsia="Calibri"/>
          <w:i w:val="0"/>
          <w:szCs w:val="20"/>
        </w:rPr>
        <w:t>E</w:t>
      </w:r>
      <w:r w:rsidRPr="0060216C">
        <w:rPr>
          <w:rFonts w:eastAsia="Calibri"/>
          <w:i w:val="0"/>
          <w:szCs w:val="20"/>
        </w:rPr>
        <w:t xml:space="preserve">l Tribunal recuerda que </w:t>
      </w:r>
      <w:r w:rsidRPr="0060216C">
        <w:rPr>
          <w:i w:val="0"/>
          <w:szCs w:val="20"/>
          <w:lang w:val="es-AR"/>
        </w:rPr>
        <w:t>los criterios específicos 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w:t>
      </w:r>
      <w:r w:rsidR="003C1B66">
        <w:rPr>
          <w:i w:val="0"/>
          <w:szCs w:val="20"/>
          <w:lang w:val="es-AR"/>
        </w:rPr>
        <w:t>n sido explícitamente indicadas</w:t>
      </w:r>
      <w:r w:rsidRPr="0060216C">
        <w:rPr>
          <w:rStyle w:val="Refdenotaalpie"/>
          <w:rFonts w:eastAsia="Calibri"/>
          <w:i w:val="0"/>
          <w:lang w:val="es-HN"/>
        </w:rPr>
        <w:footnoteReference w:id="150"/>
      </w:r>
      <w:r w:rsidRPr="0060216C">
        <w:rPr>
          <w:i w:val="0"/>
          <w:szCs w:val="20"/>
          <w:lang w:val="es-AR"/>
        </w:rPr>
        <w:t>.</w:t>
      </w:r>
    </w:p>
    <w:p w14:paraId="63ACE868" w14:textId="77777777" w:rsidR="00E92CA8" w:rsidRPr="0060216C" w:rsidRDefault="00E92CA8" w:rsidP="00E92CA8">
      <w:pPr>
        <w:pStyle w:val="Estilo1"/>
        <w:tabs>
          <w:tab w:val="left" w:pos="709"/>
          <w:tab w:val="left" w:pos="1134"/>
        </w:tabs>
        <w:spacing w:after="0"/>
        <w:ind w:left="0" w:right="-4" w:firstLine="0"/>
        <w:rPr>
          <w:rFonts w:eastAsia="Calibri"/>
          <w:i w:val="0"/>
          <w:szCs w:val="20"/>
          <w:lang w:val="es-MX"/>
        </w:rPr>
      </w:pPr>
    </w:p>
    <w:p w14:paraId="58561DD4" w14:textId="0591851C" w:rsidR="00683E2D" w:rsidRPr="00E92CA8" w:rsidRDefault="00683E2D" w:rsidP="00E92CA8">
      <w:pPr>
        <w:pStyle w:val="Estilo1"/>
        <w:numPr>
          <w:ilvl w:val="0"/>
          <w:numId w:val="3"/>
        </w:numPr>
        <w:tabs>
          <w:tab w:val="left" w:pos="709"/>
          <w:tab w:val="left" w:pos="1134"/>
        </w:tabs>
        <w:spacing w:after="0"/>
        <w:ind w:left="0" w:right="-4" w:firstLine="0"/>
        <w:rPr>
          <w:rFonts w:eastAsia="Calibri"/>
          <w:i w:val="0"/>
          <w:szCs w:val="20"/>
          <w:lang w:val="es-MX"/>
        </w:rPr>
      </w:pPr>
      <w:r w:rsidRPr="0060216C">
        <w:rPr>
          <w:rFonts w:eastAsia="Calibri"/>
          <w:i w:val="0"/>
          <w:szCs w:val="20"/>
          <w:lang w:val="es-MX"/>
        </w:rPr>
        <w:t>En ese sentido, la Corte señala que, en la esfera de protección de la Convención, el VIH es un motivo por el cual está prohibida la discriminación en el marco del término “otra condición social” establecido en el artículo 1.1 de la Convención</w:t>
      </w:r>
      <w:r w:rsidRPr="0060216C">
        <w:rPr>
          <w:rStyle w:val="Refdenotaalpie"/>
          <w:i w:val="0"/>
          <w:snapToGrid w:val="0"/>
          <w:lang w:val="es-CO"/>
        </w:rPr>
        <w:footnoteReference w:id="151"/>
      </w:r>
      <w:r w:rsidRPr="0060216C">
        <w:rPr>
          <w:rFonts w:cs="Arial"/>
          <w:i w:val="0"/>
          <w:snapToGrid w:val="0"/>
          <w:szCs w:val="20"/>
          <w:lang w:val="es-CO"/>
        </w:rPr>
        <w:t xml:space="preserve">. </w:t>
      </w:r>
      <w:r w:rsidRPr="0060216C">
        <w:rPr>
          <w:rFonts w:cs="Arial"/>
          <w:i w:val="0"/>
          <w:szCs w:val="20"/>
          <w:lang w:val="es-CR"/>
        </w:rPr>
        <w:t xml:space="preserve">La Corte resalta que el </w:t>
      </w:r>
      <w:r w:rsidRPr="0060216C">
        <w:rPr>
          <w:rFonts w:eastAsia="Calibri"/>
          <w:i w:val="0"/>
          <w:szCs w:val="20"/>
          <w:lang w:val="es-AR"/>
        </w:rPr>
        <w:t>derecho a la igualdad y no discriminación abarca dos concepciones: una negativa relacionada con la prohibición de diferencias de trato arbitrarias, y una positiva relacionada con la obligación de los Estados de crear condiciones de igualdad real frente a grupos que han sido históricamente excluidos o que se encuentran en mayor riesgo de ser discriminados</w:t>
      </w:r>
      <w:r w:rsidRPr="0060216C">
        <w:rPr>
          <w:i w:val="0"/>
          <w:szCs w:val="20"/>
          <w:vertAlign w:val="superscript"/>
          <w:lang w:val="es-AR"/>
        </w:rPr>
        <w:footnoteReference w:id="152"/>
      </w:r>
      <w:r w:rsidRPr="0060216C">
        <w:rPr>
          <w:rFonts w:eastAsia="Calibri"/>
          <w:i w:val="0"/>
          <w:szCs w:val="20"/>
          <w:lang w:val="es-AR"/>
        </w:rPr>
        <w:t xml:space="preserve">, como es el caso de las personas </w:t>
      </w:r>
      <w:r w:rsidR="003C1B66">
        <w:rPr>
          <w:rFonts w:eastAsia="Calibri"/>
          <w:i w:val="0"/>
          <w:szCs w:val="20"/>
          <w:lang w:val="es-AR"/>
        </w:rPr>
        <w:t xml:space="preserve">que viven </w:t>
      </w:r>
      <w:r w:rsidRPr="0060216C">
        <w:rPr>
          <w:rFonts w:eastAsia="Calibri"/>
          <w:i w:val="0"/>
          <w:szCs w:val="20"/>
          <w:lang w:val="es-AR"/>
        </w:rPr>
        <w:t>con</w:t>
      </w:r>
      <w:r w:rsidR="003C1B66">
        <w:rPr>
          <w:rFonts w:eastAsia="Calibri"/>
          <w:i w:val="0"/>
          <w:szCs w:val="20"/>
          <w:lang w:val="es-AR"/>
        </w:rPr>
        <w:t xml:space="preserve"> el</w:t>
      </w:r>
      <w:r w:rsidRPr="0060216C">
        <w:rPr>
          <w:rFonts w:eastAsia="Calibri"/>
          <w:i w:val="0"/>
          <w:szCs w:val="20"/>
          <w:lang w:val="es-AR"/>
        </w:rPr>
        <w:t xml:space="preserve"> VIH</w:t>
      </w:r>
      <w:r w:rsidRPr="0060216C">
        <w:rPr>
          <w:rStyle w:val="Refdenotaalpie"/>
          <w:rFonts w:eastAsia="Calibri"/>
          <w:i w:val="0"/>
          <w:lang w:val="es-AR"/>
        </w:rPr>
        <w:footnoteReference w:id="153"/>
      </w:r>
      <w:r w:rsidRPr="0060216C">
        <w:rPr>
          <w:rFonts w:eastAsia="Calibri"/>
          <w:i w:val="0"/>
          <w:szCs w:val="20"/>
          <w:lang w:val="es-AR"/>
        </w:rPr>
        <w:t>.</w:t>
      </w:r>
      <w:r w:rsidRPr="0060216C">
        <w:rPr>
          <w:rFonts w:eastAsia="Calibri"/>
          <w:i w:val="0"/>
          <w:szCs w:val="20"/>
        </w:rPr>
        <w:t xml:space="preserve"> L</w:t>
      </w:r>
      <w:r w:rsidRPr="0060216C">
        <w:rPr>
          <w:rFonts w:eastAsia="Calibri"/>
          <w:i w:val="0"/>
          <w:szCs w:val="20"/>
          <w:lang w:val="es-AR"/>
        </w:rPr>
        <w:t>a adopción de medidas positivas se acentúa en relación con la protección de personas en situación de vulnerabilidad o en situación de riesgo, quienes deben tener garantizado el acceso a los servicios médicos de salud en vía de igualdad</w:t>
      </w:r>
      <w:r w:rsidRPr="0060216C">
        <w:rPr>
          <w:rStyle w:val="Refdenotaalpie"/>
          <w:rFonts w:eastAsia="Calibri"/>
          <w:i w:val="0"/>
          <w:lang w:val="es-AR"/>
        </w:rPr>
        <w:footnoteReference w:id="154"/>
      </w:r>
      <w:r w:rsidR="00E92CA8">
        <w:rPr>
          <w:rFonts w:eastAsia="Calibri"/>
          <w:i w:val="0"/>
          <w:szCs w:val="20"/>
          <w:lang w:val="es-AR"/>
        </w:rPr>
        <w:t>.</w:t>
      </w:r>
    </w:p>
    <w:p w14:paraId="794FE3D2" w14:textId="77777777" w:rsidR="00E92CA8" w:rsidRPr="0060216C" w:rsidRDefault="00E92CA8" w:rsidP="00E92CA8">
      <w:pPr>
        <w:pStyle w:val="Estilo1"/>
        <w:tabs>
          <w:tab w:val="left" w:pos="709"/>
          <w:tab w:val="left" w:pos="1134"/>
        </w:tabs>
        <w:spacing w:after="0"/>
        <w:ind w:left="0" w:right="-4" w:firstLine="0"/>
        <w:rPr>
          <w:rFonts w:eastAsia="Calibri"/>
          <w:i w:val="0"/>
          <w:szCs w:val="20"/>
          <w:lang w:val="es-MX"/>
        </w:rPr>
      </w:pPr>
    </w:p>
    <w:p w14:paraId="5C086E92" w14:textId="311C936C" w:rsidR="00683E2D" w:rsidRPr="00E92CA8" w:rsidRDefault="00683E2D"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Calibri"/>
          <w:i w:val="0"/>
          <w:szCs w:val="20"/>
          <w:lang w:val="es-AR"/>
        </w:rPr>
        <w:t>De esta forma, la obligación de los Estados en el respeto y garantía del derecho a la salud adquiere una dimensión especial en materia de protección a personas en situación de vulnerabilidad. La Corte reconoce que las personas que viven en una situación de pobreza a menudo tienen un acceso inequitativo a los servicios e información en materia de salud, lo que los expone a un mayor riesgo de infección y de recibir una atención médica inadecuada o incompleta</w:t>
      </w:r>
      <w:r w:rsidRPr="0060216C">
        <w:rPr>
          <w:rStyle w:val="Refdenotaalpie"/>
          <w:rFonts w:eastAsia="Calibri"/>
          <w:i w:val="0"/>
          <w:lang w:val="es-AR"/>
        </w:rPr>
        <w:footnoteReference w:id="155"/>
      </w:r>
      <w:r w:rsidRPr="0060216C">
        <w:rPr>
          <w:rFonts w:eastAsia="Calibri"/>
          <w:i w:val="0"/>
          <w:szCs w:val="20"/>
          <w:lang w:val="es-AR"/>
        </w:rPr>
        <w:t xml:space="preserve">. El Tribunal también advierte la situación de vulnerabilidad en la que se encuentran mujeres </w:t>
      </w:r>
      <w:r w:rsidR="003C1B66">
        <w:rPr>
          <w:rFonts w:eastAsia="Calibri"/>
          <w:i w:val="0"/>
          <w:szCs w:val="20"/>
          <w:lang w:val="es-AR"/>
        </w:rPr>
        <w:t xml:space="preserve">que viven </w:t>
      </w:r>
      <w:r w:rsidRPr="0060216C">
        <w:rPr>
          <w:rFonts w:eastAsia="Calibri"/>
          <w:i w:val="0"/>
          <w:szCs w:val="20"/>
          <w:lang w:val="es-AR"/>
        </w:rPr>
        <w:t>con</w:t>
      </w:r>
      <w:r w:rsidR="003C1B66">
        <w:rPr>
          <w:rFonts w:eastAsia="Calibri"/>
          <w:i w:val="0"/>
          <w:szCs w:val="20"/>
          <w:lang w:val="es-AR"/>
        </w:rPr>
        <w:t xml:space="preserve"> el</w:t>
      </w:r>
      <w:r w:rsidRPr="0060216C">
        <w:rPr>
          <w:rFonts w:eastAsia="Calibri"/>
          <w:i w:val="0"/>
          <w:szCs w:val="20"/>
          <w:lang w:val="es-AR"/>
        </w:rPr>
        <w:t xml:space="preserve"> VIH, sobre todo aquellas que se encuentran en edad reproductiva. </w:t>
      </w:r>
    </w:p>
    <w:p w14:paraId="76A18312" w14:textId="77777777" w:rsidR="00E92CA8" w:rsidRPr="003E745F" w:rsidRDefault="00E92CA8" w:rsidP="00E92CA8">
      <w:pPr>
        <w:pStyle w:val="Estilo1"/>
        <w:tabs>
          <w:tab w:val="left" w:pos="709"/>
          <w:tab w:val="left" w:pos="1134"/>
        </w:tabs>
        <w:spacing w:after="0"/>
        <w:ind w:left="0" w:right="-4" w:firstLine="0"/>
        <w:rPr>
          <w:rFonts w:eastAsia="Times" w:cs="Arial"/>
          <w:i w:val="0"/>
          <w:szCs w:val="20"/>
          <w:lang w:val="es-MX"/>
        </w:rPr>
      </w:pPr>
    </w:p>
    <w:p w14:paraId="777AC5FE" w14:textId="77777777"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 xml:space="preserve">Por otro lado, el Tribunal ha señalado que la extrema pobreza y la falta adecuada de atención médica a mujeres en estado de embarazo o post-embarazo son causas de alta mortalidad y morbilidad materna, por lo que los Estados deben brindar políticas de salud adecuadas que permitan ofrecer asistencia con personal entrenado adecuadamente para la atención de los nacimientos, políticas de prevención de la mortalidad materna a través de controles pre-natales y post-parto adecuados, e instrumentos legales y administrativos en políticas de salud que permitan documentar adecuadamente los casos de mortalidad </w:t>
      </w:r>
      <w:r w:rsidRPr="0060216C">
        <w:rPr>
          <w:rFonts w:eastAsia="Times" w:cs="Arial"/>
          <w:i w:val="0"/>
          <w:szCs w:val="20"/>
          <w:lang w:val="es-MX"/>
        </w:rPr>
        <w:lastRenderedPageBreak/>
        <w:t>materna</w:t>
      </w:r>
      <w:r w:rsidRPr="0060216C">
        <w:rPr>
          <w:rStyle w:val="Refdenotaalpie"/>
          <w:rFonts w:eastAsia="Times"/>
          <w:i w:val="0"/>
          <w:lang w:val="es-MX"/>
        </w:rPr>
        <w:footnoteReference w:id="156"/>
      </w:r>
      <w:r w:rsidRPr="0060216C">
        <w:rPr>
          <w:rFonts w:eastAsia="Times" w:cs="Arial"/>
          <w:i w:val="0"/>
          <w:szCs w:val="20"/>
          <w:lang w:val="es-MX"/>
        </w:rPr>
        <w:t>. Asimismo, la Corte ha reconocido que, en virtud del artículo 19 de la Convención, el Estado debe asumir una posición especial de garante con mayor cuidado y responsabilidad, y debe tomar medidas especiales orientadas en el principio del interés superior del niño</w:t>
      </w:r>
      <w:r w:rsidRPr="0060216C">
        <w:rPr>
          <w:rStyle w:val="Refdenotaalpie"/>
          <w:rFonts w:eastAsia="Times"/>
          <w:i w:val="0"/>
          <w:lang w:val="es-MX"/>
        </w:rPr>
        <w:footnoteReference w:id="157"/>
      </w:r>
      <w:r w:rsidRPr="0060216C">
        <w:rPr>
          <w:rFonts w:eastAsia="Times" w:cs="Arial"/>
          <w:i w:val="0"/>
          <w:szCs w:val="20"/>
          <w:lang w:val="es-MX"/>
        </w:rPr>
        <w:t>.</w:t>
      </w:r>
    </w:p>
    <w:p w14:paraId="302F8AAB"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7EA819A6" w14:textId="7A53A05D"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En el mismo sentido, el Tribunal advierte que el Comité para la Eliminación de la Discriminación contra la Mujer recomendó que en los programas de lucha contra el SIDA se prest</w:t>
      </w:r>
      <w:r w:rsidR="00F6076B">
        <w:rPr>
          <w:rFonts w:eastAsia="Times" w:cs="Arial"/>
          <w:i w:val="0"/>
          <w:szCs w:val="20"/>
          <w:lang w:val="es-MX"/>
        </w:rPr>
        <w:t>e</w:t>
      </w:r>
      <w:r w:rsidRPr="0060216C">
        <w:rPr>
          <w:rFonts w:eastAsia="Times" w:cs="Arial"/>
          <w:i w:val="0"/>
          <w:szCs w:val="20"/>
          <w:lang w:val="es-MX"/>
        </w:rPr>
        <w:t xml:space="preserve"> especial atención a los derechos y necesidades de las mujeres y los niños y a los factores que se relacionan con la función de reproducción de la mujer y su posición subordinada en algunas sociedades, lo que la hace especialmente vulnerable al contagio del VIH</w:t>
      </w:r>
      <w:r w:rsidRPr="0060216C">
        <w:rPr>
          <w:rStyle w:val="Refdenotaalpie"/>
          <w:rFonts w:eastAsia="Times"/>
          <w:i w:val="0"/>
          <w:lang w:val="es-MX"/>
        </w:rPr>
        <w:footnoteReference w:id="158"/>
      </w:r>
      <w:r w:rsidRPr="0060216C">
        <w:rPr>
          <w:rFonts w:eastAsia="Times" w:cs="Arial"/>
          <w:i w:val="0"/>
          <w:szCs w:val="20"/>
          <w:lang w:val="es-MX"/>
        </w:rPr>
        <w:t>. Asimismo, el Comité DESC ha señalado que los Estados deben tener como objetivo asegurar el acceso universal sin discriminación a todas las personas, entre ellas a las que pertenezcan a grupos desfavorecidos y marginados, a toda una serie de servicios de atención de la salud sexual y reproductiva, incluyendo la atención de la salud materna y la prevención, el diagnóstico y el tratamiento de las infecciones de transmisión sexual y el VIH/SIDA</w:t>
      </w:r>
      <w:r w:rsidRPr="0060216C">
        <w:rPr>
          <w:rStyle w:val="Refdenotaalpie"/>
          <w:rFonts w:eastAsia="Times"/>
          <w:i w:val="0"/>
          <w:lang w:val="es-MX"/>
        </w:rPr>
        <w:footnoteReference w:id="159"/>
      </w:r>
      <w:r w:rsidRPr="0060216C">
        <w:rPr>
          <w:rFonts w:eastAsia="Times" w:cs="Arial"/>
          <w:i w:val="0"/>
          <w:szCs w:val="20"/>
          <w:lang w:val="es-MX"/>
        </w:rPr>
        <w:t>.</w:t>
      </w:r>
    </w:p>
    <w:p w14:paraId="1F362B44"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4C67D8F8" w14:textId="694CA2E9" w:rsidR="00F46845" w:rsidRPr="00E92CA8"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 xml:space="preserve">De igual forma, la Corte advierte que </w:t>
      </w:r>
      <w:r w:rsidRPr="0060216C">
        <w:rPr>
          <w:i w:val="0"/>
          <w:szCs w:val="20"/>
          <w:lang w:val="es-CR"/>
        </w:rPr>
        <w:t>OACNUD</w:t>
      </w:r>
      <w:r w:rsidR="005F2741">
        <w:rPr>
          <w:i w:val="0"/>
          <w:szCs w:val="20"/>
          <w:lang w:val="es-CR"/>
        </w:rPr>
        <w:t>H y ONUSIDA han señalado en la octava d</w:t>
      </w:r>
      <w:r w:rsidRPr="0060216C">
        <w:rPr>
          <w:i w:val="0"/>
          <w:szCs w:val="20"/>
          <w:lang w:val="es-CR"/>
        </w:rPr>
        <w:t xml:space="preserve">irectriz </w:t>
      </w:r>
      <w:r w:rsidRPr="0060216C">
        <w:rPr>
          <w:i w:val="0"/>
          <w:iCs/>
          <w:szCs w:val="20"/>
          <w:lang w:val="es-CR"/>
        </w:rPr>
        <w:t>internacional sobre el VIH/SIDA y los derechos humanos</w:t>
      </w:r>
      <w:r w:rsidRPr="0060216C">
        <w:rPr>
          <w:i w:val="0"/>
          <w:szCs w:val="20"/>
          <w:lang w:val="es-CR"/>
        </w:rPr>
        <w:t xml:space="preserve"> que los Estados deben fomentar un entorno protector y habilitante para las mujeres, los niños y otros grupos vulnerables, combatiendo los prejuicios y desigualdades causantes de esa vulnerabilidad</w:t>
      </w:r>
      <w:r w:rsidR="00F159FA">
        <w:rPr>
          <w:rStyle w:val="Refdenotaalpie"/>
          <w:i w:val="0"/>
          <w:lang w:val="es-CR"/>
        </w:rPr>
        <w:footnoteReference w:id="160"/>
      </w:r>
      <w:r w:rsidR="003C1B66">
        <w:rPr>
          <w:i w:val="0"/>
          <w:szCs w:val="20"/>
          <w:lang w:val="es-CR"/>
        </w:rPr>
        <w:t>. Esta d</w:t>
      </w:r>
      <w:r w:rsidRPr="0060216C">
        <w:rPr>
          <w:i w:val="0"/>
          <w:szCs w:val="20"/>
          <w:lang w:val="es-CR"/>
        </w:rPr>
        <w:t xml:space="preserve">irectriz ha sido interpretada en el sentido que los Estados deben apoyar los servicios adecuados, accesibles y eficaces para la prevención y atención en materia de VIH, diseñados </w:t>
      </w:r>
      <w:r w:rsidR="003C1B66">
        <w:rPr>
          <w:i w:val="0"/>
          <w:szCs w:val="20"/>
          <w:lang w:val="es-CR"/>
        </w:rPr>
        <w:t xml:space="preserve">por y </w:t>
      </w:r>
      <w:r w:rsidRPr="0060216C">
        <w:rPr>
          <w:i w:val="0"/>
          <w:szCs w:val="20"/>
          <w:lang w:val="es-CR"/>
        </w:rPr>
        <w:t xml:space="preserve">para las poblaciones de mayor riesgo, así como que deben velar </w:t>
      </w:r>
      <w:r w:rsidR="003C1B66">
        <w:rPr>
          <w:i w:val="0"/>
          <w:szCs w:val="20"/>
          <w:lang w:val="es-CR"/>
        </w:rPr>
        <w:t>porque</w:t>
      </w:r>
      <w:r w:rsidRPr="0060216C">
        <w:rPr>
          <w:i w:val="0"/>
          <w:szCs w:val="20"/>
          <w:lang w:val="es-CR"/>
        </w:rPr>
        <w:t xml:space="preserve"> todas las mujeres en edad fecunda tengan acceso a la información y asesoramiento preciso y amplio sobre la prevención de la transmisión del VIH y el riesgo de transmisión vertical de éste, así como los recursos disponibles para minimizar ese riesgo</w:t>
      </w:r>
      <w:r w:rsidRPr="0060216C">
        <w:rPr>
          <w:rStyle w:val="Refdenotaalpie"/>
          <w:i w:val="0"/>
          <w:lang w:val="es-CR"/>
        </w:rPr>
        <w:footnoteReference w:id="161"/>
      </w:r>
      <w:r w:rsidR="00E92CA8">
        <w:rPr>
          <w:i w:val="0"/>
          <w:szCs w:val="20"/>
          <w:lang w:val="es-CR"/>
        </w:rPr>
        <w:t>.</w:t>
      </w:r>
    </w:p>
    <w:p w14:paraId="1359EF54" w14:textId="77777777" w:rsidR="00E92CA8" w:rsidRPr="0060216C" w:rsidRDefault="00E92CA8" w:rsidP="00E92CA8">
      <w:pPr>
        <w:pStyle w:val="Estilo1"/>
        <w:tabs>
          <w:tab w:val="left" w:pos="709"/>
          <w:tab w:val="left" w:pos="1134"/>
        </w:tabs>
        <w:spacing w:after="0"/>
        <w:ind w:left="0" w:right="-4" w:firstLine="0"/>
        <w:rPr>
          <w:rFonts w:eastAsia="Times" w:cs="Arial"/>
          <w:i w:val="0"/>
          <w:szCs w:val="20"/>
          <w:lang w:val="es-MX"/>
        </w:rPr>
      </w:pPr>
    </w:p>
    <w:p w14:paraId="00A734DC" w14:textId="77777777" w:rsidR="003C1B66" w:rsidRPr="003C1B66"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En relación con lo anterior, la Corte advierte que 25 de las presuntas víctimas de este caso son mujeres, de las cuales 5 estaban embarazadas al momento de ser diagnosticadas con</w:t>
      </w:r>
      <w:r w:rsidR="003C1B66">
        <w:rPr>
          <w:i w:val="0"/>
          <w:szCs w:val="20"/>
          <w:lang w:val="es-CR"/>
        </w:rPr>
        <w:t xml:space="preserve"> el</w:t>
      </w:r>
      <w:r w:rsidRPr="0060216C">
        <w:rPr>
          <w:i w:val="0"/>
          <w:szCs w:val="20"/>
          <w:lang w:val="es-CR"/>
        </w:rPr>
        <w:t xml:space="preserve"> VIH</w:t>
      </w:r>
      <w:r w:rsidR="00FA1882">
        <w:rPr>
          <w:i w:val="0"/>
          <w:szCs w:val="20"/>
          <w:lang w:val="es-CR"/>
        </w:rPr>
        <w:t>,</w:t>
      </w:r>
      <w:r w:rsidRPr="0060216C">
        <w:rPr>
          <w:i w:val="0"/>
          <w:szCs w:val="20"/>
          <w:lang w:val="es-CR"/>
        </w:rPr>
        <w:t xml:space="preserve"> o estuvieron embarazadas con posterioridad a su diagnóstico</w:t>
      </w:r>
      <w:r w:rsidRPr="0060216C">
        <w:rPr>
          <w:rStyle w:val="Refdenotaalpie"/>
          <w:i w:val="0"/>
          <w:lang w:val="es-CR"/>
        </w:rPr>
        <w:footnoteReference w:id="162"/>
      </w:r>
      <w:r w:rsidRPr="0060216C">
        <w:rPr>
          <w:i w:val="0"/>
          <w:szCs w:val="20"/>
          <w:lang w:val="es-CR"/>
        </w:rPr>
        <w:t>.</w:t>
      </w:r>
    </w:p>
    <w:p w14:paraId="37E57BF9" w14:textId="2FCA88C7" w:rsidR="00F46845" w:rsidRPr="0060216C" w:rsidRDefault="00F46845" w:rsidP="003C1B66">
      <w:pPr>
        <w:pStyle w:val="Estilo1"/>
        <w:tabs>
          <w:tab w:val="left" w:pos="709"/>
          <w:tab w:val="left" w:pos="1134"/>
        </w:tabs>
        <w:spacing w:after="0"/>
        <w:ind w:left="0" w:right="-4" w:firstLine="0"/>
        <w:rPr>
          <w:rFonts w:eastAsia="Times" w:cs="Arial"/>
          <w:i w:val="0"/>
          <w:szCs w:val="20"/>
          <w:lang w:val="es-MX"/>
        </w:rPr>
      </w:pPr>
    </w:p>
    <w:p w14:paraId="00C0FED9" w14:textId="4B1D784C" w:rsidR="00F46845" w:rsidRPr="008E387F"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CR"/>
        </w:rPr>
        <w:t xml:space="preserve">Al respecto, la Corte constata lo siguiente: i) que la señora Sandra Lisbeth Zepeda Herrera fue diagnosticada con VIH cuando tenía 7 meses de embarazo, sin embargo no recibió tratamiento adecuado para evitar la transmisión vertical del virus, lo cual efectivamente </w:t>
      </w:r>
      <w:r w:rsidRPr="0060216C">
        <w:rPr>
          <w:i w:val="0"/>
          <w:szCs w:val="20"/>
          <w:lang w:val="es-CR"/>
        </w:rPr>
        <w:lastRenderedPageBreak/>
        <w:t>ocurrió</w:t>
      </w:r>
      <w:r w:rsidRPr="0060216C">
        <w:rPr>
          <w:rStyle w:val="Refdenotaalpie"/>
          <w:i w:val="0"/>
          <w:lang w:val="es-CR"/>
        </w:rPr>
        <w:footnoteReference w:id="163"/>
      </w:r>
      <w:r w:rsidRPr="0060216C">
        <w:rPr>
          <w:i w:val="0"/>
          <w:szCs w:val="20"/>
          <w:lang w:val="es-CR"/>
        </w:rPr>
        <w:t>; ii) que la señora Pascuala de Jesús Mérida</w:t>
      </w:r>
      <w:r w:rsidR="007E6FEA">
        <w:rPr>
          <w:i w:val="0"/>
          <w:szCs w:val="20"/>
          <w:lang w:val="es-CR"/>
        </w:rPr>
        <w:t xml:space="preserve"> Rodríguez</w:t>
      </w:r>
      <w:r w:rsidRPr="0060216C">
        <w:rPr>
          <w:i w:val="0"/>
          <w:szCs w:val="20"/>
          <w:lang w:val="es-CR"/>
        </w:rPr>
        <w:t xml:space="preserve"> tenía 5 meses de embarazo cuando fue diagnosticada con</w:t>
      </w:r>
      <w:r w:rsidR="003C1B66">
        <w:rPr>
          <w:i w:val="0"/>
          <w:szCs w:val="20"/>
          <w:lang w:val="es-CR"/>
        </w:rPr>
        <w:t xml:space="preserve"> el</w:t>
      </w:r>
      <w:r w:rsidRPr="0060216C">
        <w:rPr>
          <w:i w:val="0"/>
          <w:szCs w:val="20"/>
          <w:lang w:val="es-CR"/>
        </w:rPr>
        <w:t xml:space="preserve"> VIH, y que aun cuando recibió tratamiento antirretroviral por parte de MSF durante su embarazo, el personal médico del hospital donde dio a luz a su hijo se negó a practicarle una cesárea programada, lo cual puso en riesgo de transmisión vertical a su hijo</w:t>
      </w:r>
      <w:r w:rsidRPr="0060216C">
        <w:rPr>
          <w:rStyle w:val="Refdenotaalpie"/>
          <w:i w:val="0"/>
          <w:lang w:val="es-CR"/>
        </w:rPr>
        <w:footnoteReference w:id="164"/>
      </w:r>
      <w:r w:rsidRPr="0060216C">
        <w:rPr>
          <w:i w:val="0"/>
          <w:szCs w:val="20"/>
          <w:lang w:val="es-CR"/>
        </w:rPr>
        <w:t>; y iii) que en lo que respecta a la atenc</w:t>
      </w:r>
      <w:r w:rsidR="002E10B2">
        <w:rPr>
          <w:i w:val="0"/>
          <w:szCs w:val="20"/>
          <w:lang w:val="es-CR"/>
        </w:rPr>
        <w:t xml:space="preserve">ión recibida por las señoras </w:t>
      </w:r>
      <w:proofErr w:type="spellStart"/>
      <w:r w:rsidR="002E10B2">
        <w:rPr>
          <w:i w:val="0"/>
          <w:szCs w:val="20"/>
          <w:lang w:val="es-CR"/>
        </w:rPr>
        <w:t>Sai</w:t>
      </w:r>
      <w:r w:rsidRPr="0060216C">
        <w:rPr>
          <w:i w:val="0"/>
          <w:szCs w:val="20"/>
          <w:lang w:val="es-CR"/>
        </w:rPr>
        <w:t>ra</w:t>
      </w:r>
      <w:proofErr w:type="spellEnd"/>
      <w:r w:rsidRPr="0060216C">
        <w:rPr>
          <w:i w:val="0"/>
          <w:szCs w:val="20"/>
          <w:lang w:val="es-CR"/>
        </w:rPr>
        <w:t xml:space="preserve"> Elisa Barrios, Corina </w:t>
      </w:r>
      <w:proofErr w:type="spellStart"/>
      <w:r w:rsidRPr="0060216C">
        <w:rPr>
          <w:i w:val="0"/>
          <w:szCs w:val="20"/>
          <w:lang w:val="es-CR"/>
        </w:rPr>
        <w:t>Dianeth</w:t>
      </w:r>
      <w:proofErr w:type="spellEnd"/>
      <w:r w:rsidRPr="0060216C">
        <w:rPr>
          <w:i w:val="0"/>
          <w:szCs w:val="20"/>
          <w:lang w:val="es-CR"/>
        </w:rPr>
        <w:t xml:space="preserve"> Robledo</w:t>
      </w:r>
      <w:r w:rsidR="00413D58">
        <w:rPr>
          <w:i w:val="0"/>
          <w:szCs w:val="20"/>
          <w:lang w:val="es-CR"/>
        </w:rPr>
        <w:t xml:space="preserve"> Alvarado</w:t>
      </w:r>
      <w:r w:rsidRPr="0060216C">
        <w:rPr>
          <w:i w:val="0"/>
          <w:szCs w:val="20"/>
          <w:lang w:val="es-CR"/>
        </w:rPr>
        <w:t xml:space="preserve"> y Dora Marina Martínez</w:t>
      </w:r>
      <w:r w:rsidR="00413D58">
        <w:rPr>
          <w:i w:val="0"/>
          <w:szCs w:val="20"/>
          <w:lang w:val="es-CR"/>
        </w:rPr>
        <w:t xml:space="preserve"> </w:t>
      </w:r>
      <w:proofErr w:type="spellStart"/>
      <w:r w:rsidR="00413D58">
        <w:rPr>
          <w:i w:val="0"/>
          <w:szCs w:val="20"/>
          <w:lang w:val="es-CR"/>
        </w:rPr>
        <w:t>Sofoifa</w:t>
      </w:r>
      <w:proofErr w:type="spellEnd"/>
      <w:r w:rsidRPr="0060216C">
        <w:rPr>
          <w:i w:val="0"/>
          <w:szCs w:val="20"/>
          <w:lang w:val="es-CR"/>
        </w:rPr>
        <w:t>, la Corte no cuenta con suficientes elementos que permitan determinar acciones u omisiones estatales relacionadas con su atención como mujeres embarazadas</w:t>
      </w:r>
      <w:r w:rsidR="003C1B66">
        <w:rPr>
          <w:i w:val="0"/>
          <w:szCs w:val="20"/>
          <w:lang w:val="es-CR"/>
        </w:rPr>
        <w:t xml:space="preserve"> que viven</w:t>
      </w:r>
      <w:r w:rsidRPr="0060216C">
        <w:rPr>
          <w:i w:val="0"/>
          <w:szCs w:val="20"/>
          <w:lang w:val="es-CR"/>
        </w:rPr>
        <w:t xml:space="preserve"> con</w:t>
      </w:r>
      <w:r w:rsidR="003C1B66">
        <w:rPr>
          <w:i w:val="0"/>
          <w:szCs w:val="20"/>
          <w:lang w:val="es-CR"/>
        </w:rPr>
        <w:t xml:space="preserve"> el</w:t>
      </w:r>
      <w:r w:rsidRPr="0060216C">
        <w:rPr>
          <w:i w:val="0"/>
          <w:szCs w:val="20"/>
          <w:lang w:val="es-CR"/>
        </w:rPr>
        <w:t xml:space="preserve"> VIH.</w:t>
      </w:r>
    </w:p>
    <w:p w14:paraId="1BFA2FD8" w14:textId="77777777" w:rsidR="008E387F" w:rsidRPr="0060216C" w:rsidRDefault="008E387F" w:rsidP="008E387F">
      <w:pPr>
        <w:pStyle w:val="Estilo1"/>
        <w:tabs>
          <w:tab w:val="left" w:pos="709"/>
          <w:tab w:val="left" w:pos="1134"/>
        </w:tabs>
        <w:spacing w:after="0"/>
        <w:ind w:left="0" w:right="-4" w:firstLine="0"/>
        <w:rPr>
          <w:rFonts w:eastAsia="Times" w:cs="Arial"/>
          <w:i w:val="0"/>
          <w:szCs w:val="20"/>
          <w:lang w:val="es-MX"/>
        </w:rPr>
      </w:pPr>
    </w:p>
    <w:p w14:paraId="464AE9B7" w14:textId="39225BA9" w:rsidR="00F46845" w:rsidRPr="008E387F"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i w:val="0"/>
          <w:szCs w:val="20"/>
          <w:lang w:val="es-MX"/>
        </w:rPr>
        <w:t>En consecuencia</w:t>
      </w:r>
      <w:r w:rsidR="003373E6">
        <w:rPr>
          <w:i w:val="0"/>
          <w:szCs w:val="20"/>
          <w:lang w:val="es-CR"/>
        </w:rPr>
        <w:t xml:space="preserve">, el Tribunal considera que </w:t>
      </w:r>
      <w:r w:rsidRPr="0060216C">
        <w:rPr>
          <w:i w:val="0"/>
          <w:szCs w:val="20"/>
          <w:lang w:val="es-CR"/>
        </w:rPr>
        <w:t>no otorgar tratamiento antirretroviral a la señora Zepeda Herrer</w:t>
      </w:r>
      <w:r w:rsidR="003373E6">
        <w:rPr>
          <w:i w:val="0"/>
          <w:szCs w:val="20"/>
          <w:lang w:val="es-CR"/>
        </w:rPr>
        <w:t>a cuando estaba embarazada, y</w:t>
      </w:r>
      <w:r w:rsidRPr="0060216C">
        <w:rPr>
          <w:i w:val="0"/>
          <w:szCs w:val="20"/>
          <w:lang w:val="es-CR"/>
        </w:rPr>
        <w:t xml:space="preserve"> no haber practicado un parto por cesárea a la señora Jesús Mérida, cuando esta estaba programada como una medida preventiva, </w:t>
      </w:r>
      <w:r w:rsidR="003373E6">
        <w:rPr>
          <w:i w:val="0"/>
          <w:szCs w:val="20"/>
          <w:lang w:val="es-CR"/>
        </w:rPr>
        <w:t xml:space="preserve">constituyó </w:t>
      </w:r>
      <w:r w:rsidR="00F1143E">
        <w:rPr>
          <w:i w:val="0"/>
          <w:szCs w:val="20"/>
          <w:lang w:val="es-CR"/>
        </w:rPr>
        <w:t xml:space="preserve">una forma de discriminación basada en género, pues el Estado </w:t>
      </w:r>
      <w:r w:rsidR="0008786B">
        <w:rPr>
          <w:i w:val="0"/>
          <w:szCs w:val="20"/>
          <w:lang w:val="es-CR"/>
        </w:rPr>
        <w:t>omitió</w:t>
      </w:r>
      <w:r w:rsidR="00F1143E" w:rsidRPr="0060216C">
        <w:rPr>
          <w:i w:val="0"/>
          <w:szCs w:val="20"/>
          <w:lang w:val="es-CR"/>
        </w:rPr>
        <w:t xml:space="preserve"> brindar una adecuada atención médica a mujeres </w:t>
      </w:r>
      <w:r w:rsidR="003C1B66">
        <w:rPr>
          <w:i w:val="0"/>
          <w:szCs w:val="20"/>
          <w:lang w:val="es-CR"/>
        </w:rPr>
        <w:t xml:space="preserve">que viven </w:t>
      </w:r>
      <w:r w:rsidR="00F1143E" w:rsidRPr="0060216C">
        <w:rPr>
          <w:i w:val="0"/>
          <w:szCs w:val="20"/>
          <w:lang w:val="es-CR"/>
        </w:rPr>
        <w:t>con</w:t>
      </w:r>
      <w:r w:rsidR="003C1B66">
        <w:rPr>
          <w:i w:val="0"/>
          <w:szCs w:val="20"/>
          <w:lang w:val="es-CR"/>
        </w:rPr>
        <w:t xml:space="preserve"> el</w:t>
      </w:r>
      <w:r w:rsidR="00F1143E" w:rsidRPr="0060216C">
        <w:rPr>
          <w:i w:val="0"/>
          <w:szCs w:val="20"/>
          <w:lang w:val="es-CR"/>
        </w:rPr>
        <w:t xml:space="preserve"> VIH en estado de embarazo</w:t>
      </w:r>
      <w:r w:rsidR="0008786B">
        <w:rPr>
          <w:i w:val="0"/>
          <w:szCs w:val="20"/>
          <w:lang w:val="es-CR"/>
        </w:rPr>
        <w:t>, lo cual tuvo un impacto diferenciado y generó un riesgo</w:t>
      </w:r>
      <w:r w:rsidR="00F1143E" w:rsidRPr="0060216C">
        <w:rPr>
          <w:i w:val="0"/>
          <w:szCs w:val="20"/>
          <w:lang w:val="es-CR"/>
        </w:rPr>
        <w:t xml:space="preserve"> </w:t>
      </w:r>
      <w:r w:rsidR="0008786B">
        <w:rPr>
          <w:i w:val="0"/>
          <w:szCs w:val="20"/>
          <w:lang w:val="es-CR"/>
        </w:rPr>
        <w:t>de</w:t>
      </w:r>
      <w:r w:rsidR="00F1143E" w:rsidRPr="0060216C">
        <w:rPr>
          <w:i w:val="0"/>
          <w:szCs w:val="20"/>
          <w:lang w:val="es-CR"/>
        </w:rPr>
        <w:t xml:space="preserve"> transmisión vertical del VIH</w:t>
      </w:r>
      <w:r w:rsidR="00957E66">
        <w:rPr>
          <w:i w:val="0"/>
          <w:szCs w:val="20"/>
          <w:lang w:val="es-CR"/>
        </w:rPr>
        <w:t xml:space="preserve"> a sus hijos</w:t>
      </w:r>
      <w:r w:rsidR="0008786B">
        <w:rPr>
          <w:i w:val="0"/>
          <w:szCs w:val="20"/>
          <w:lang w:val="es-CR"/>
        </w:rPr>
        <w:t xml:space="preserve">. </w:t>
      </w:r>
      <w:r w:rsidRPr="0060216C">
        <w:rPr>
          <w:i w:val="0"/>
          <w:szCs w:val="20"/>
          <w:lang w:val="es-CR"/>
        </w:rPr>
        <w:t>La Corte advierte que, según información presentada ante este Tribunal por el perito Oscar Cabrera, la transmisión del VIH materno-infantil es una prioridad para eliminar el VIH en los niños, pues más del 90% de los niños con VIH se infectan a través de su madre durante el embarazo, el trabajo de parto, el parto y la lactancia, y que sin intervención más de la mitad de los niños con VIH morirán en los primeros dos años de vida</w:t>
      </w:r>
      <w:r w:rsidRPr="0060216C">
        <w:rPr>
          <w:rStyle w:val="Refdenotaalpie"/>
          <w:i w:val="0"/>
          <w:lang w:val="es-CR"/>
        </w:rPr>
        <w:footnoteReference w:id="165"/>
      </w:r>
      <w:r w:rsidRPr="0060216C">
        <w:rPr>
          <w:i w:val="0"/>
          <w:szCs w:val="20"/>
          <w:lang w:val="es-CR"/>
        </w:rPr>
        <w:t>.</w:t>
      </w:r>
    </w:p>
    <w:p w14:paraId="61A36C18" w14:textId="77777777" w:rsidR="008E387F" w:rsidRPr="0008786B" w:rsidRDefault="008E387F" w:rsidP="008E387F">
      <w:pPr>
        <w:pStyle w:val="Estilo1"/>
        <w:tabs>
          <w:tab w:val="left" w:pos="709"/>
          <w:tab w:val="left" w:pos="1134"/>
        </w:tabs>
        <w:spacing w:after="0"/>
        <w:ind w:left="0" w:right="-4" w:firstLine="0"/>
        <w:rPr>
          <w:rFonts w:eastAsia="Times" w:cs="Arial"/>
          <w:i w:val="0"/>
          <w:szCs w:val="20"/>
          <w:lang w:val="es-MX"/>
        </w:rPr>
      </w:pPr>
    </w:p>
    <w:p w14:paraId="0534BD05" w14:textId="75A82D3F" w:rsidR="0008786B" w:rsidRDefault="00957E66"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E55B9D">
        <w:rPr>
          <w:rFonts w:eastAsia="Times" w:cs="Arial"/>
          <w:i w:val="0"/>
          <w:szCs w:val="20"/>
          <w:lang w:val="es-MX"/>
        </w:rPr>
        <w:t xml:space="preserve">Además, el Tribunal considera que </w:t>
      </w:r>
      <w:r w:rsidR="00CE05E8">
        <w:rPr>
          <w:rFonts w:eastAsia="Times" w:cs="Arial"/>
          <w:i w:val="0"/>
          <w:szCs w:val="20"/>
          <w:lang w:val="es-MX"/>
        </w:rPr>
        <w:t>las condiciones</w:t>
      </w:r>
      <w:r w:rsidRPr="00E55B9D">
        <w:rPr>
          <w:rFonts w:eastAsia="Times" w:cs="Arial"/>
          <w:i w:val="0"/>
          <w:szCs w:val="20"/>
          <w:lang w:val="es-MX"/>
        </w:rPr>
        <w:t xml:space="preserve"> de mujeres </w:t>
      </w:r>
      <w:r w:rsidR="00CE05E8">
        <w:rPr>
          <w:rFonts w:eastAsia="Times" w:cs="Arial"/>
          <w:i w:val="0"/>
          <w:szCs w:val="20"/>
          <w:lang w:val="es-MX"/>
        </w:rPr>
        <w:t xml:space="preserve">que viven </w:t>
      </w:r>
      <w:r w:rsidRPr="00E55B9D">
        <w:rPr>
          <w:rFonts w:eastAsia="Times" w:cs="Arial"/>
          <w:i w:val="0"/>
          <w:szCs w:val="20"/>
          <w:lang w:val="es-MX"/>
        </w:rPr>
        <w:t>con</w:t>
      </w:r>
      <w:r w:rsidR="00CE05E8">
        <w:rPr>
          <w:rFonts w:eastAsia="Times" w:cs="Arial"/>
          <w:i w:val="0"/>
          <w:szCs w:val="20"/>
          <w:lang w:val="es-MX"/>
        </w:rPr>
        <w:t xml:space="preserve"> el</w:t>
      </w:r>
      <w:r w:rsidRPr="00E55B9D">
        <w:rPr>
          <w:rFonts w:eastAsia="Times" w:cs="Arial"/>
          <w:i w:val="0"/>
          <w:szCs w:val="20"/>
          <w:lang w:val="es-MX"/>
        </w:rPr>
        <w:t xml:space="preserve"> VIH, y en situación de embarazo, confluyeron de manera </w:t>
      </w:r>
      <w:proofErr w:type="spellStart"/>
      <w:r w:rsidRPr="00E55B9D">
        <w:rPr>
          <w:rFonts w:eastAsia="Times" w:cs="Arial"/>
          <w:i w:val="0"/>
          <w:szCs w:val="20"/>
          <w:lang w:val="es-MX"/>
        </w:rPr>
        <w:t>interseccional</w:t>
      </w:r>
      <w:proofErr w:type="spellEnd"/>
      <w:r w:rsidRPr="00E55B9D">
        <w:rPr>
          <w:rFonts w:eastAsia="Times" w:cs="Arial"/>
          <w:i w:val="0"/>
          <w:szCs w:val="20"/>
          <w:lang w:val="es-MX"/>
        </w:rPr>
        <w:t xml:space="preserve"> en las señoras Zepeda Herrera y Jesús Mérida, quienes por sus condiciones formaban parte de un grupo vulnerable por lo que su discriminación fue el producto de varios factores que </w:t>
      </w:r>
      <w:proofErr w:type="spellStart"/>
      <w:r w:rsidR="00CE05E8">
        <w:rPr>
          <w:rFonts w:eastAsia="Times" w:cs="Arial"/>
          <w:i w:val="0"/>
          <w:szCs w:val="20"/>
          <w:lang w:val="es-MX"/>
        </w:rPr>
        <w:t>interseccionaron</w:t>
      </w:r>
      <w:proofErr w:type="spellEnd"/>
      <w:r w:rsidR="00CE05E8">
        <w:rPr>
          <w:rFonts w:eastAsia="Times" w:cs="Arial"/>
          <w:i w:val="0"/>
          <w:szCs w:val="20"/>
          <w:lang w:val="es-MX"/>
        </w:rPr>
        <w:t xml:space="preserve"> y que se condicionaron</w:t>
      </w:r>
      <w:r w:rsidRPr="00E55B9D">
        <w:rPr>
          <w:rFonts w:eastAsia="Times" w:cs="Arial"/>
          <w:i w:val="0"/>
          <w:szCs w:val="20"/>
          <w:lang w:val="es-MX"/>
        </w:rPr>
        <w:t xml:space="preserve"> entre sí. En ese sentido, la Corte recuerda que la discriminación </w:t>
      </w:r>
      <w:proofErr w:type="spellStart"/>
      <w:r w:rsidRPr="00E55B9D">
        <w:rPr>
          <w:rFonts w:eastAsia="Times" w:cs="Arial"/>
          <w:i w:val="0"/>
          <w:szCs w:val="20"/>
          <w:lang w:val="es-MX"/>
        </w:rPr>
        <w:t>interseccional</w:t>
      </w:r>
      <w:proofErr w:type="spellEnd"/>
      <w:r w:rsidRPr="00E55B9D">
        <w:rPr>
          <w:rFonts w:eastAsia="Times" w:cs="Arial"/>
          <w:i w:val="0"/>
          <w:szCs w:val="20"/>
          <w:lang w:val="es-MX"/>
        </w:rPr>
        <w:t xml:space="preserve"> es resultado de la confluencia de distintos factores de vulnerabilidad o fuentes de discriminación asociados a ciertas condiciones de una persona. En ese sentido, tal y como lo ha señalado el Tribunal, la discriminación de la mujer </w:t>
      </w:r>
      <w:r w:rsidR="00CE05E8">
        <w:rPr>
          <w:rFonts w:eastAsia="Times" w:cs="Arial"/>
          <w:i w:val="0"/>
          <w:szCs w:val="20"/>
          <w:lang w:val="es-MX"/>
        </w:rPr>
        <w:t>por motivos de sexo y</w:t>
      </w:r>
      <w:r w:rsidR="00603BE7" w:rsidRPr="00E55B9D">
        <w:rPr>
          <w:rFonts w:eastAsia="Times" w:cs="Arial"/>
          <w:i w:val="0"/>
          <w:szCs w:val="20"/>
          <w:lang w:val="es-MX"/>
        </w:rPr>
        <w:t xml:space="preserve"> género está unida de manera indivisible a otros factores que afectan a la mujer, y que este tipo de discriminación puede afectar a las mujeres de algunos grupos de diferente medida o forma que a los hombres. De esta forma, los Estados deben reconocer y prohibir en sus instrumentos jurídicos estas formas entrecruzadas de discriminación y su impacto negativo combinado en las mujeres afectadas</w:t>
      </w:r>
      <w:r w:rsidR="00CE05E8">
        <w:rPr>
          <w:rFonts w:eastAsia="Times" w:cs="Arial"/>
          <w:i w:val="0"/>
          <w:szCs w:val="20"/>
          <w:lang w:val="es-MX"/>
        </w:rPr>
        <w:t>,</w:t>
      </w:r>
      <w:r w:rsidR="00603BE7" w:rsidRPr="00E55B9D">
        <w:rPr>
          <w:rFonts w:eastAsia="Times" w:cs="Arial"/>
          <w:i w:val="0"/>
          <w:szCs w:val="20"/>
          <w:lang w:val="es-MX"/>
        </w:rPr>
        <w:t xml:space="preserve"> así como aprobar y poner en práctica políticas y programas para eliminar estas situaciones</w:t>
      </w:r>
      <w:r w:rsidR="00603BE7" w:rsidRPr="00E55B9D">
        <w:rPr>
          <w:rStyle w:val="Refdenotaalpie"/>
          <w:rFonts w:eastAsia="Times"/>
          <w:i w:val="0"/>
          <w:lang w:val="es-MX"/>
        </w:rPr>
        <w:footnoteReference w:id="166"/>
      </w:r>
      <w:r w:rsidR="00603BE7" w:rsidRPr="00E55B9D">
        <w:rPr>
          <w:rFonts w:eastAsia="Times" w:cs="Arial"/>
          <w:i w:val="0"/>
          <w:szCs w:val="20"/>
          <w:lang w:val="es-MX"/>
        </w:rPr>
        <w:t>.</w:t>
      </w:r>
    </w:p>
    <w:p w14:paraId="7C5D9B6C" w14:textId="77777777" w:rsidR="008E387F" w:rsidRPr="00E55B9D" w:rsidRDefault="008E387F" w:rsidP="008E387F">
      <w:pPr>
        <w:pStyle w:val="Estilo1"/>
        <w:tabs>
          <w:tab w:val="left" w:pos="709"/>
          <w:tab w:val="left" w:pos="1134"/>
        </w:tabs>
        <w:spacing w:after="0"/>
        <w:ind w:left="0" w:right="-4" w:firstLine="0"/>
        <w:rPr>
          <w:rFonts w:eastAsia="Times" w:cs="Arial"/>
          <w:i w:val="0"/>
          <w:szCs w:val="20"/>
          <w:lang w:val="es-MX"/>
        </w:rPr>
      </w:pPr>
    </w:p>
    <w:p w14:paraId="007C5746" w14:textId="449CAE18" w:rsidR="00975B9D" w:rsidRPr="008E387F" w:rsidRDefault="001F2110"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975B9D">
        <w:rPr>
          <w:i w:val="0"/>
        </w:rPr>
        <w:t xml:space="preserve">En consecuencia, la Corte concluye que el Estado es responsable por la violación de la prohibición de discriminación en relación con la obligación de garantizar el derecho a la salud, consagrado en el artículo 26 de la Convención, en relación con el artículo 1.1, en perjuicio de las señoras </w:t>
      </w:r>
      <w:r w:rsidRPr="00975B9D">
        <w:rPr>
          <w:i w:val="0"/>
          <w:szCs w:val="20"/>
          <w:lang w:val="es-CR"/>
        </w:rPr>
        <w:t>Sandra Lisbeth Zepeda Herrera y de Pascuala de Jesús Mérida</w:t>
      </w:r>
      <w:r w:rsidR="00413D58">
        <w:rPr>
          <w:i w:val="0"/>
          <w:szCs w:val="20"/>
          <w:lang w:val="es-CR"/>
        </w:rPr>
        <w:t xml:space="preserve"> Rodríguez</w:t>
      </w:r>
      <w:r w:rsidRPr="00975B9D">
        <w:rPr>
          <w:i w:val="0"/>
        </w:rPr>
        <w:t>.</w:t>
      </w:r>
      <w:bookmarkStart w:id="82" w:name="_Ref512160371"/>
      <w:bookmarkStart w:id="83" w:name="_Ref512872301"/>
    </w:p>
    <w:p w14:paraId="3DDFD0B9" w14:textId="77777777" w:rsidR="008E387F" w:rsidRPr="00975B9D" w:rsidRDefault="008E387F" w:rsidP="008E387F">
      <w:pPr>
        <w:pStyle w:val="Estilo1"/>
        <w:tabs>
          <w:tab w:val="left" w:pos="709"/>
          <w:tab w:val="left" w:pos="1134"/>
        </w:tabs>
        <w:spacing w:after="0"/>
        <w:ind w:left="0" w:right="-4" w:firstLine="0"/>
        <w:rPr>
          <w:rFonts w:eastAsia="Times" w:cs="Arial"/>
          <w:i w:val="0"/>
          <w:szCs w:val="20"/>
          <w:lang w:val="es-MX"/>
        </w:rPr>
      </w:pPr>
    </w:p>
    <w:p w14:paraId="77C2D058" w14:textId="5E7F7465" w:rsidR="003B481F"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3B481F" w:rsidRPr="00AC0BEF">
        <w:rPr>
          <w:rFonts w:eastAsia="Times" w:cs="Arial"/>
          <w:b/>
          <w:szCs w:val="20"/>
          <w:lang w:val="es-MX"/>
        </w:rPr>
        <w:t>B.4.4. La violación al principio de progresividad en materia de derecho a la salud</w:t>
      </w:r>
    </w:p>
    <w:p w14:paraId="7B184A03" w14:textId="0B88744D" w:rsidR="008E387F" w:rsidRPr="008E387F" w:rsidRDefault="008E387F" w:rsidP="008E387F"/>
    <w:p w14:paraId="07BFC5F2" w14:textId="087B1081"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 xml:space="preserve">La Corte recuerda que una de las controversias del presente caso se refiere a si el Estado violó el principio de progresividad contenido en el artículo 26 de la Convención, por las alegadas medidas regresivas que habría adoptado en detrimento a la plena realización del derecho a la salud para personas </w:t>
      </w:r>
      <w:r w:rsidR="004C391D">
        <w:rPr>
          <w:rFonts w:eastAsia="Times" w:cs="Arial"/>
          <w:i w:val="0"/>
          <w:szCs w:val="20"/>
          <w:lang w:val="es-CR"/>
        </w:rPr>
        <w:t xml:space="preserve">que viven </w:t>
      </w:r>
      <w:r w:rsidRPr="0086240C">
        <w:rPr>
          <w:rFonts w:eastAsia="Times" w:cs="Arial"/>
          <w:i w:val="0"/>
          <w:szCs w:val="20"/>
          <w:lang w:val="es-CR"/>
        </w:rPr>
        <w:t>con</w:t>
      </w:r>
      <w:r w:rsidR="00D92087">
        <w:rPr>
          <w:rFonts w:eastAsia="Times" w:cs="Arial"/>
          <w:i w:val="0"/>
          <w:szCs w:val="20"/>
          <w:lang w:val="es-CR"/>
        </w:rPr>
        <w:t xml:space="preserve"> el</w:t>
      </w:r>
      <w:r w:rsidRPr="0086240C">
        <w:rPr>
          <w:rFonts w:eastAsia="Times" w:cs="Arial"/>
          <w:i w:val="0"/>
          <w:szCs w:val="20"/>
          <w:lang w:val="es-CR"/>
        </w:rPr>
        <w:t xml:space="preserve"> VIH en Guatemala. En ese sentido, los representantes sostuvieron que el Estado, a pesar de tener conocimiento de la existencia de una epidemia de VIH en su territorio, adoptó medidas regresivas y no dispuso del máximo de sus recursos disponibles para prevenir la propagación del virus y garantizar el derecho a la salud. Específicamente, los representantes se refirieron a las barreras legales en materia de patentes que han impedido el abastecimiento permanente de medicamentos de bajo costo por parte del sistema de salud público. De igual forma, los representantes se refirieron a obstáculos en materia de contratación administrativa y a actos de corrupción.</w:t>
      </w:r>
    </w:p>
    <w:p w14:paraId="56D450CC" w14:textId="77777777" w:rsidR="008E387F" w:rsidRDefault="008E387F" w:rsidP="008E387F">
      <w:pPr>
        <w:pStyle w:val="Estilo1"/>
        <w:tabs>
          <w:tab w:val="left" w:pos="709"/>
          <w:tab w:val="left" w:pos="1134"/>
        </w:tabs>
        <w:spacing w:after="0"/>
        <w:ind w:left="0" w:right="-4" w:firstLine="0"/>
        <w:rPr>
          <w:rFonts w:eastAsia="Times" w:cs="Arial"/>
          <w:i w:val="0"/>
          <w:szCs w:val="20"/>
          <w:lang w:val="es-CR"/>
        </w:rPr>
      </w:pPr>
    </w:p>
    <w:p w14:paraId="128A97DB" w14:textId="16050FAC" w:rsidR="00455930"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455930" w:rsidRPr="00AC0BEF">
        <w:rPr>
          <w:rFonts w:eastAsia="Times" w:cs="Arial"/>
          <w:b/>
          <w:szCs w:val="20"/>
          <w:lang w:val="es-MX"/>
        </w:rPr>
        <w:t xml:space="preserve">B.4.1.1. Estándares sobre el derecho a </w:t>
      </w:r>
      <w:r w:rsidR="0056206E" w:rsidRPr="00AC0BEF">
        <w:rPr>
          <w:rFonts w:eastAsia="Times" w:cs="Arial"/>
          <w:b/>
          <w:szCs w:val="20"/>
          <w:lang w:val="es-MX"/>
        </w:rPr>
        <w:t>la salud aplicable</w:t>
      </w:r>
      <w:r w:rsidR="00455930" w:rsidRPr="00AC0BEF">
        <w:rPr>
          <w:rFonts w:eastAsia="Times" w:cs="Arial"/>
          <w:b/>
          <w:szCs w:val="20"/>
          <w:lang w:val="es-MX"/>
        </w:rPr>
        <w:t xml:space="preserve"> en relación con el principio de progresividad</w:t>
      </w:r>
    </w:p>
    <w:p w14:paraId="35518D02" w14:textId="77777777" w:rsidR="008E387F" w:rsidRPr="008E387F" w:rsidRDefault="008E387F" w:rsidP="008E387F">
      <w:pPr>
        <w:pStyle w:val="Estilo1"/>
        <w:tabs>
          <w:tab w:val="left" w:pos="709"/>
          <w:tab w:val="left" w:pos="1134"/>
        </w:tabs>
        <w:spacing w:after="0"/>
        <w:ind w:left="0" w:right="-4" w:firstLine="0"/>
        <w:rPr>
          <w:rFonts w:eastAsia="Times" w:cs="Arial"/>
          <w:i w:val="0"/>
          <w:szCs w:val="20"/>
          <w:lang w:val="es-CR"/>
        </w:rPr>
      </w:pPr>
    </w:p>
    <w:p w14:paraId="63197FB2" w14:textId="350C2707" w:rsidR="003B481F" w:rsidRDefault="004C391D" w:rsidP="00E92CA8">
      <w:pPr>
        <w:pStyle w:val="Estilo1"/>
        <w:numPr>
          <w:ilvl w:val="0"/>
          <w:numId w:val="3"/>
        </w:numPr>
        <w:tabs>
          <w:tab w:val="left" w:pos="709"/>
          <w:tab w:val="left" w:pos="1134"/>
        </w:tabs>
        <w:spacing w:after="0"/>
        <w:ind w:left="0" w:right="-4" w:firstLine="0"/>
        <w:rPr>
          <w:rFonts w:eastAsia="Times" w:cs="Arial"/>
          <w:i w:val="0"/>
          <w:szCs w:val="20"/>
          <w:lang w:val="es-CR"/>
        </w:rPr>
      </w:pPr>
      <w:r>
        <w:rPr>
          <w:rFonts w:eastAsia="Times" w:cs="Arial"/>
          <w:i w:val="0"/>
          <w:szCs w:val="20"/>
          <w:lang w:val="es-CR"/>
        </w:rPr>
        <w:t>L</w:t>
      </w:r>
      <w:r w:rsidR="003B481F" w:rsidRPr="0086240C">
        <w:rPr>
          <w:rFonts w:eastAsia="Times" w:cs="Arial"/>
          <w:i w:val="0"/>
          <w:szCs w:val="20"/>
          <w:lang w:val="es-CR"/>
        </w:rPr>
        <w:t>a Corte considera pertinente reiterar lo señalado anteriormente, en el sentido que, en virtud del artículo 26 de la Convención, este Tribunal es plenamente competente para analizar violaciones a los derechos que derivan de las normas económicas, sociales y de educación, ciencia y cultura contenidas en la Carta de la OEA (</w:t>
      </w:r>
      <w:r w:rsidR="003B481F" w:rsidRPr="00F4229A">
        <w:rPr>
          <w:rFonts w:eastAsia="Times" w:cs="Arial"/>
          <w:szCs w:val="20"/>
          <w:lang w:val="es-CR"/>
        </w:rPr>
        <w:t>supra</w:t>
      </w:r>
      <w:r w:rsidR="003B481F" w:rsidRPr="00F4229A">
        <w:rPr>
          <w:rFonts w:eastAsia="Times" w:cs="Arial"/>
          <w:i w:val="0"/>
          <w:szCs w:val="20"/>
          <w:lang w:val="es-CR"/>
        </w:rPr>
        <w:t xml:space="preserve"> párr</w:t>
      </w:r>
      <w:r w:rsidR="00F4229A" w:rsidRPr="00F4229A">
        <w:rPr>
          <w:rFonts w:eastAsia="Times" w:cs="Arial"/>
          <w:i w:val="0"/>
          <w:szCs w:val="20"/>
          <w:lang w:val="es-CR"/>
        </w:rPr>
        <w:t>. 97</w:t>
      </w:r>
      <w:r w:rsidR="003B481F" w:rsidRPr="00F4229A">
        <w:rPr>
          <w:rFonts w:eastAsia="Times" w:cs="Arial"/>
          <w:i w:val="0"/>
          <w:szCs w:val="20"/>
          <w:lang w:val="es-CR"/>
        </w:rPr>
        <w:t>).</w:t>
      </w:r>
      <w:r w:rsidR="003B481F" w:rsidRPr="0086240C">
        <w:rPr>
          <w:rFonts w:eastAsia="Times" w:cs="Arial"/>
          <w:i w:val="0"/>
          <w:szCs w:val="20"/>
          <w:lang w:val="es-CR"/>
        </w:rPr>
        <w:t xml:space="preserve"> Asimismo, el Tribunal reitera que existen dos tipos de obligaciones que derivan de dichas normas: aquellas de exigibilidad inmediata, y aquellas de carácter </w:t>
      </w:r>
      <w:r>
        <w:rPr>
          <w:rFonts w:eastAsia="Times" w:cs="Arial"/>
          <w:i w:val="0"/>
          <w:szCs w:val="20"/>
          <w:lang w:val="es-CR"/>
        </w:rPr>
        <w:t>progresivo</w:t>
      </w:r>
      <w:r w:rsidR="003B481F" w:rsidRPr="0086240C">
        <w:rPr>
          <w:rFonts w:eastAsia="Times" w:cs="Arial"/>
          <w:i w:val="0"/>
          <w:szCs w:val="20"/>
          <w:lang w:val="es-CR"/>
        </w:rPr>
        <w:t>. Respecto a las segundas, la Corte considera que el desarrollo progresivo de los derechos económicos, sociales, culturales y ambientales no podrá lograrse en un breve periodo de tiempo y que, en esa medida, “requiere un dispositivo de flexibilidad necesaria que refleje las realidades del mundo y las dificultades que implica para cada país el asegurar dicha efectividad”</w:t>
      </w:r>
      <w:r w:rsidR="003B481F" w:rsidRPr="0086240C">
        <w:rPr>
          <w:rStyle w:val="Refdenotaalpie"/>
          <w:rFonts w:eastAsia="Times"/>
          <w:i w:val="0"/>
          <w:lang w:val="es-CR"/>
        </w:rPr>
        <w:footnoteReference w:id="167"/>
      </w:r>
      <w:r w:rsidR="003B481F" w:rsidRPr="0086240C">
        <w:rPr>
          <w:rFonts w:eastAsia="Times" w:cs="Arial"/>
          <w:i w:val="0"/>
          <w:szCs w:val="20"/>
          <w:lang w:val="es-CR"/>
        </w:rPr>
        <w:t>.</w:t>
      </w:r>
    </w:p>
    <w:p w14:paraId="2DCFED8E"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6444C500" w14:textId="77777777"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El Tribunal también ha determinado que en el marco de dicha flexibilidad en cuanto al plazo y modalidades de realización, el Estado tendrá esencialmente, aunque no exclusivamente, una obligación de hacer, es decir, de adoptar providencias y brindar los medios y elementos necesarios para responder a las exigencias de efectividad de los derechos involucrados, siempre en la medida de los recursos económicos y financieros de que disponga para el cumplimiento del respectivo compromiso internacional adquirido</w:t>
      </w:r>
      <w:r w:rsidRPr="0086240C">
        <w:rPr>
          <w:rStyle w:val="Refdenotaalpie"/>
          <w:rFonts w:eastAsia="Times"/>
          <w:i w:val="0"/>
          <w:lang w:val="es-CR"/>
        </w:rPr>
        <w:footnoteReference w:id="168"/>
      </w:r>
      <w:r w:rsidRPr="0086240C">
        <w:rPr>
          <w:rFonts w:eastAsia="Times" w:cs="Arial"/>
          <w:i w:val="0"/>
          <w:szCs w:val="20"/>
          <w:lang w:val="es-CR"/>
        </w:rPr>
        <w:t>. Así, la implementación progresiva de dichas medidas podrá ser objeto de rendición de cuentas y, de ser el caso, el cumplimiento del respectivo compromiso adquirido por el Estado podrá ser exigido ante las instancias llamadas a resolver eventuales violaciones a los derechos humanos</w:t>
      </w:r>
      <w:r w:rsidRPr="0086240C">
        <w:rPr>
          <w:rStyle w:val="Refdenotaalpie"/>
          <w:rFonts w:eastAsia="Times"/>
          <w:i w:val="0"/>
          <w:lang w:val="es-CR"/>
        </w:rPr>
        <w:footnoteReference w:id="169"/>
      </w:r>
      <w:r w:rsidRPr="0086240C">
        <w:rPr>
          <w:rFonts w:eastAsia="Times" w:cs="Arial"/>
          <w:i w:val="0"/>
          <w:szCs w:val="20"/>
          <w:lang w:val="es-CR"/>
        </w:rPr>
        <w:t>.</w:t>
      </w:r>
    </w:p>
    <w:p w14:paraId="16FB6025"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3D467C13" w14:textId="4C0B4A68" w:rsidR="003B481F" w:rsidRPr="008E387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cs="Verdana"/>
          <w:i w:val="0"/>
          <w:szCs w:val="20"/>
          <w:lang w:val="es-CR"/>
        </w:rPr>
        <w:t xml:space="preserve">Como correlato de lo anterior, la Corte ha considerado que se desprende un deber – si bien condicionado – de no regresividad, que no siempre deberá ser entendido como una prohibición de medidas que restrinjan el ejercicio de un derecho. Al respecto, el Tribunal ha retomado lo señalado por el </w:t>
      </w:r>
      <w:r w:rsidR="004C391D">
        <w:rPr>
          <w:rFonts w:cs="Verdana"/>
          <w:i w:val="0"/>
          <w:szCs w:val="20"/>
          <w:lang w:val="es-CR"/>
        </w:rPr>
        <w:t>CDESC</w:t>
      </w:r>
      <w:r w:rsidRPr="0086240C">
        <w:rPr>
          <w:rFonts w:cs="Verdana"/>
          <w:i w:val="0"/>
          <w:szCs w:val="20"/>
          <w:lang w:val="es-CR"/>
        </w:rPr>
        <w:t xml:space="preserve"> en el sentido que “las medidas de carácter </w:t>
      </w:r>
      <w:r w:rsidRPr="0086240C">
        <w:rPr>
          <w:rFonts w:cs="Verdana"/>
          <w:i w:val="0"/>
          <w:szCs w:val="20"/>
          <w:lang w:val="es-CR"/>
        </w:rPr>
        <w:lastRenderedPageBreak/>
        <w:t>deliberadamente re[</w:t>
      </w:r>
      <w:proofErr w:type="spellStart"/>
      <w:r w:rsidRPr="0086240C">
        <w:rPr>
          <w:rFonts w:cs="Verdana"/>
          <w:i w:val="0"/>
          <w:szCs w:val="20"/>
          <w:lang w:val="es-CR"/>
        </w:rPr>
        <w:t>gresivo</w:t>
      </w:r>
      <w:proofErr w:type="spellEnd"/>
      <w:r w:rsidRPr="0086240C">
        <w:rPr>
          <w:rFonts w:cs="Verdana"/>
          <w:i w:val="0"/>
          <w:szCs w:val="20"/>
          <w:lang w:val="es-CR"/>
        </w:rPr>
        <w:t>] en este aspecto requerirán la consideración más cuidadosa y deberán justificarse plenamente por referencia a la totalidad de los derechos previstos en el Pacto [Internacional de Derechos Económicos, Sociales y Culturales] y en el contexto del aprovechamiento pleno del máximo de los recursos de que [el Estado] disponga”</w:t>
      </w:r>
      <w:r w:rsidRPr="0086240C">
        <w:rPr>
          <w:rStyle w:val="Refdenotaalpie"/>
          <w:i w:val="0"/>
          <w:lang w:val="es-CR"/>
        </w:rPr>
        <w:footnoteReference w:id="170"/>
      </w:r>
      <w:r w:rsidRPr="0086240C">
        <w:rPr>
          <w:rFonts w:cs="Verdana"/>
          <w:i w:val="0"/>
          <w:szCs w:val="20"/>
          <w:lang w:val="es-CR"/>
        </w:rPr>
        <w:t>. En la misma línea, la Comisión Interamericana ha considerado que para evaluar si una medida regresiva es compatible con la Convención Americana, se deberá “determinar si se encuentra justificada por razones de suficiente peso”</w:t>
      </w:r>
      <w:r w:rsidRPr="0086240C">
        <w:rPr>
          <w:rStyle w:val="Refdenotaalpie"/>
          <w:i w:val="0"/>
          <w:lang w:val="es-CR"/>
        </w:rPr>
        <w:footnoteReference w:id="171"/>
      </w:r>
      <w:r w:rsidRPr="0086240C">
        <w:rPr>
          <w:rFonts w:cs="Verdana"/>
          <w:i w:val="0"/>
          <w:szCs w:val="20"/>
          <w:lang w:val="es-CR"/>
        </w:rPr>
        <w:t xml:space="preserve">. Por todo lo expuesto, cabe afirmar que </w:t>
      </w:r>
      <w:r w:rsidR="00F6076B">
        <w:rPr>
          <w:rFonts w:cs="Verdana"/>
          <w:i w:val="0"/>
          <w:szCs w:val="20"/>
          <w:lang w:val="es-CR"/>
        </w:rPr>
        <w:t xml:space="preserve">esta faceta del principio de </w:t>
      </w:r>
      <w:r w:rsidR="00455930">
        <w:rPr>
          <w:rFonts w:cs="Verdana"/>
          <w:i w:val="0"/>
          <w:szCs w:val="20"/>
          <w:lang w:val="es-CR"/>
        </w:rPr>
        <w:t>progresividad</w:t>
      </w:r>
      <w:r w:rsidR="00455930" w:rsidRPr="0086240C">
        <w:rPr>
          <w:rFonts w:cs="Verdana"/>
          <w:i w:val="0"/>
          <w:szCs w:val="20"/>
          <w:lang w:val="es-CR"/>
        </w:rPr>
        <w:t xml:space="preserve"> </w:t>
      </w:r>
      <w:r w:rsidRPr="0086240C">
        <w:rPr>
          <w:rFonts w:cs="Verdana"/>
          <w:i w:val="0"/>
          <w:szCs w:val="20"/>
          <w:lang w:val="es-CR"/>
        </w:rPr>
        <w:t>resulta justiciable cuando de derechos económicos, sociales</w:t>
      </w:r>
      <w:r w:rsidR="00455930">
        <w:rPr>
          <w:rFonts w:cs="Verdana"/>
          <w:i w:val="0"/>
          <w:szCs w:val="20"/>
          <w:lang w:val="es-CR"/>
        </w:rPr>
        <w:t>,</w:t>
      </w:r>
      <w:r w:rsidRPr="0086240C">
        <w:rPr>
          <w:rFonts w:cs="Verdana"/>
          <w:i w:val="0"/>
          <w:szCs w:val="20"/>
          <w:lang w:val="es-CR"/>
        </w:rPr>
        <w:t xml:space="preserve"> culturales</w:t>
      </w:r>
      <w:r w:rsidR="00455930">
        <w:rPr>
          <w:rFonts w:cs="Verdana"/>
          <w:i w:val="0"/>
          <w:szCs w:val="20"/>
          <w:lang w:val="es-CR"/>
        </w:rPr>
        <w:t xml:space="preserve"> y ambientales</w:t>
      </w:r>
      <w:r w:rsidRPr="0086240C">
        <w:rPr>
          <w:rFonts w:cs="Verdana"/>
          <w:i w:val="0"/>
          <w:szCs w:val="20"/>
          <w:lang w:val="es-CR"/>
        </w:rPr>
        <w:t xml:space="preserve"> se trate.</w:t>
      </w:r>
    </w:p>
    <w:p w14:paraId="389CE8EF" w14:textId="77777777" w:rsidR="008E387F" w:rsidRPr="00FB0EA3" w:rsidRDefault="008E387F" w:rsidP="008E387F">
      <w:pPr>
        <w:pStyle w:val="Estilo1"/>
        <w:tabs>
          <w:tab w:val="left" w:pos="709"/>
          <w:tab w:val="left" w:pos="1134"/>
        </w:tabs>
        <w:spacing w:after="0"/>
        <w:ind w:left="0" w:right="-4" w:firstLine="0"/>
        <w:rPr>
          <w:rFonts w:eastAsia="Times" w:cs="Arial"/>
          <w:i w:val="0"/>
          <w:szCs w:val="20"/>
          <w:lang w:val="es-CR"/>
        </w:rPr>
      </w:pPr>
    </w:p>
    <w:p w14:paraId="21C525ED" w14:textId="4F55BBAE" w:rsidR="00455930"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455930" w:rsidRPr="00AC0BEF">
        <w:rPr>
          <w:rFonts w:eastAsia="Times" w:cs="Arial"/>
          <w:b/>
          <w:szCs w:val="20"/>
          <w:lang w:val="es-MX"/>
        </w:rPr>
        <w:t>B.4.1.2. Análisis respecto al cumplimiento de las obligaciones de progresividad con anterioridad al año 2004</w:t>
      </w:r>
    </w:p>
    <w:p w14:paraId="16C402AE" w14:textId="77777777" w:rsidR="008E387F" w:rsidRPr="008E387F" w:rsidRDefault="008E387F" w:rsidP="008E387F">
      <w:pPr>
        <w:pStyle w:val="Estilo1"/>
        <w:tabs>
          <w:tab w:val="left" w:pos="709"/>
          <w:tab w:val="left" w:pos="1134"/>
        </w:tabs>
        <w:spacing w:after="0"/>
        <w:ind w:left="0" w:right="-4" w:firstLine="0"/>
        <w:rPr>
          <w:rFonts w:eastAsia="Times" w:cs="Arial"/>
          <w:i w:val="0"/>
          <w:szCs w:val="20"/>
          <w:lang w:val="es-CR"/>
        </w:rPr>
      </w:pPr>
    </w:p>
    <w:p w14:paraId="5412AE08" w14:textId="12FAD1DF"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Este Tribunal ya consideró, en la presente sentencia (</w:t>
      </w:r>
      <w:r w:rsidRPr="00F4229A">
        <w:rPr>
          <w:rFonts w:eastAsia="Times" w:cs="Arial"/>
          <w:szCs w:val="20"/>
          <w:lang w:val="es-CR"/>
        </w:rPr>
        <w:t>supra</w:t>
      </w:r>
      <w:r w:rsidRPr="0086240C">
        <w:rPr>
          <w:rFonts w:eastAsia="Times" w:cs="Arial"/>
          <w:i w:val="0"/>
          <w:szCs w:val="20"/>
          <w:lang w:val="es-CR"/>
        </w:rPr>
        <w:t xml:space="preserve"> </w:t>
      </w:r>
      <w:proofErr w:type="spellStart"/>
      <w:r w:rsidRPr="0086240C">
        <w:rPr>
          <w:rFonts w:eastAsia="Times" w:cs="Arial"/>
          <w:i w:val="0"/>
          <w:szCs w:val="20"/>
          <w:lang w:val="es-CR"/>
        </w:rPr>
        <w:t>párrs</w:t>
      </w:r>
      <w:proofErr w:type="spellEnd"/>
      <w:r w:rsidRPr="0086240C">
        <w:rPr>
          <w:rFonts w:eastAsia="Times" w:cs="Arial"/>
          <w:i w:val="0"/>
          <w:szCs w:val="20"/>
          <w:lang w:val="es-CR"/>
        </w:rPr>
        <w:t xml:space="preserve">. </w:t>
      </w:r>
      <w:r w:rsidR="00F4229A" w:rsidRPr="00F4229A">
        <w:rPr>
          <w:rFonts w:eastAsia="Times" w:cs="Arial"/>
          <w:i w:val="0"/>
          <w:szCs w:val="20"/>
          <w:lang w:val="es-CR"/>
        </w:rPr>
        <w:t>118 a 127</w:t>
      </w:r>
      <w:r w:rsidRPr="0086240C">
        <w:rPr>
          <w:rFonts w:eastAsia="Times" w:cs="Arial"/>
          <w:i w:val="0"/>
          <w:szCs w:val="20"/>
          <w:lang w:val="es-CR"/>
        </w:rPr>
        <w:t xml:space="preserve">), que el Estado violó el derecho a la salud de </w:t>
      </w:r>
      <w:r w:rsidR="00B01727">
        <w:rPr>
          <w:rFonts w:eastAsia="Times" w:cs="Arial"/>
          <w:i w:val="0"/>
          <w:szCs w:val="20"/>
          <w:lang w:val="es-CR"/>
        </w:rPr>
        <w:t>49</w:t>
      </w:r>
      <w:r w:rsidRPr="0086240C">
        <w:rPr>
          <w:rFonts w:eastAsia="Times" w:cs="Arial"/>
          <w:i w:val="0"/>
          <w:szCs w:val="20"/>
          <w:lang w:val="es-CR"/>
        </w:rPr>
        <w:t xml:space="preserve"> víctimas al no garantizarles un adecuado tratamiento médico como personas </w:t>
      </w:r>
      <w:r w:rsidR="00B01727">
        <w:rPr>
          <w:rFonts w:eastAsia="Times" w:cs="Arial"/>
          <w:i w:val="0"/>
          <w:szCs w:val="20"/>
          <w:lang w:val="es-CR"/>
        </w:rPr>
        <w:t xml:space="preserve">que viven </w:t>
      </w:r>
      <w:r w:rsidRPr="0086240C">
        <w:rPr>
          <w:rFonts w:eastAsia="Times" w:cs="Arial"/>
          <w:i w:val="0"/>
          <w:szCs w:val="20"/>
          <w:lang w:val="es-CR"/>
        </w:rPr>
        <w:t>con</w:t>
      </w:r>
      <w:r w:rsidR="00B01727">
        <w:rPr>
          <w:rFonts w:eastAsia="Times" w:cs="Arial"/>
          <w:i w:val="0"/>
          <w:szCs w:val="20"/>
          <w:lang w:val="es-CR"/>
        </w:rPr>
        <w:t xml:space="preserve"> el</w:t>
      </w:r>
      <w:r w:rsidRPr="0086240C">
        <w:rPr>
          <w:rFonts w:eastAsia="Times" w:cs="Arial"/>
          <w:i w:val="0"/>
          <w:szCs w:val="20"/>
          <w:lang w:val="es-CR"/>
        </w:rPr>
        <w:t xml:space="preserve"> VIH. En cambio, a continuación la Corte abordará el alegato relacionado con que el Estado violó el compromiso establecido en el artículo 26 en relación con el cumplimiento de sus obligaciones de progresividad. Esta obligación consiste en la adopción de providencias, especialmente económicas y técnicas –en la medida de los recursos disponibles, sea por vía legislativa u otros medios apropiados- para lograr progresivamente la plena efectividad de ciertos derechos económicos, sociales, culturales y ambientales. Asimismo, el Tribunal recuerda que la realización progresiva de los DESCA significa que los Estados partes tienen la obligación concreta y constante de avanzar lo más expedita y eficazmente posible hacia la plena efectividad de los DESCA</w:t>
      </w:r>
      <w:r w:rsidRPr="0086240C">
        <w:rPr>
          <w:rStyle w:val="Refdenotaalpie"/>
          <w:rFonts w:eastAsia="Times"/>
          <w:i w:val="0"/>
          <w:lang w:val="es-CR"/>
        </w:rPr>
        <w:footnoteReference w:id="172"/>
      </w:r>
      <w:r w:rsidRPr="0086240C">
        <w:rPr>
          <w:rFonts w:eastAsia="Times" w:cs="Arial"/>
          <w:i w:val="0"/>
          <w:szCs w:val="20"/>
          <w:lang w:val="es-CR"/>
        </w:rPr>
        <w:t xml:space="preserve">. En ese sentido, la Corte reitera que </w:t>
      </w:r>
      <w:r w:rsidR="008E387F">
        <w:rPr>
          <w:rFonts w:eastAsia="Times" w:cs="Arial"/>
          <w:i w:val="0"/>
          <w:szCs w:val="20"/>
          <w:lang w:val="es-CR"/>
        </w:rPr>
        <w:t>la obligación de progresividad:</w:t>
      </w:r>
    </w:p>
    <w:p w14:paraId="382E62ED"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6BAB4D88" w14:textId="21FC3C60" w:rsidR="003B481F" w:rsidRPr="00BC4444" w:rsidRDefault="00B01727" w:rsidP="00E92CA8">
      <w:pPr>
        <w:pStyle w:val="Estilo1"/>
        <w:tabs>
          <w:tab w:val="left" w:pos="709"/>
          <w:tab w:val="left" w:pos="1134"/>
        </w:tabs>
        <w:spacing w:after="0"/>
        <w:ind w:left="709" w:right="855" w:firstLine="0"/>
        <w:rPr>
          <w:rFonts w:eastAsia="Times New Roman"/>
          <w:bCs/>
          <w:i w:val="0"/>
          <w:sz w:val="18"/>
          <w:szCs w:val="18"/>
        </w:rPr>
      </w:pPr>
      <w:r w:rsidRPr="00BC4444">
        <w:rPr>
          <w:rFonts w:eastAsia="Times New Roman"/>
          <w:i w:val="0"/>
          <w:sz w:val="18"/>
          <w:szCs w:val="18"/>
        </w:rPr>
        <w:t xml:space="preserve">(…) </w:t>
      </w:r>
      <w:r w:rsidR="003B481F" w:rsidRPr="00BC4444">
        <w:rPr>
          <w:rFonts w:eastAsia="Times New Roman"/>
          <w:bCs/>
          <w:i w:val="0"/>
          <w:sz w:val="18"/>
          <w:szCs w:val="18"/>
        </w:rPr>
        <w:t xml:space="preserve">no debe interpretarse en el sentido que, durante su periodo de implementación, dichas obligaciones se priven de contenido específico, lo cual tampoco implica que los Estados puedan aplazar indefinidamente la adopción de medidas para hacer efectivos </w:t>
      </w:r>
      <w:r w:rsidR="003B481F" w:rsidRPr="00BC4444">
        <w:rPr>
          <w:rFonts w:eastAsia="Times New Roman"/>
          <w:bCs/>
          <w:i w:val="0"/>
          <w:sz w:val="18"/>
          <w:szCs w:val="18"/>
        </w:rPr>
        <w:lastRenderedPageBreak/>
        <w:t xml:space="preserve">los derechos en cuestión, máxime luego de casi cuarenta años de la entrada en vigor del tratado </w:t>
      </w:r>
      <w:r w:rsidRPr="00BC4444">
        <w:rPr>
          <w:rFonts w:eastAsia="Times New Roman"/>
          <w:bCs/>
          <w:i w:val="0"/>
          <w:sz w:val="18"/>
          <w:szCs w:val="18"/>
        </w:rPr>
        <w:t>interamericano</w:t>
      </w:r>
      <w:r w:rsidR="003B481F" w:rsidRPr="00BC4444">
        <w:rPr>
          <w:rFonts w:eastAsia="Times New Roman"/>
          <w:bCs/>
          <w:i w:val="0"/>
          <w:sz w:val="18"/>
          <w:szCs w:val="18"/>
        </w:rPr>
        <w:t xml:space="preserve">. Asimismo, se imponte por tanto, la obligación de no regresividad frente a la realización de los derechos </w:t>
      </w:r>
      <w:r w:rsidRPr="00BC4444">
        <w:rPr>
          <w:rFonts w:eastAsia="Times New Roman"/>
          <w:bCs/>
          <w:i w:val="0"/>
          <w:sz w:val="18"/>
          <w:szCs w:val="18"/>
        </w:rPr>
        <w:t>alcanzados</w:t>
      </w:r>
      <w:r w:rsidR="003B481F" w:rsidRPr="00BC4444">
        <w:rPr>
          <w:rFonts w:eastAsia="Times New Roman"/>
          <w:bCs/>
          <w:i w:val="0"/>
          <w:sz w:val="18"/>
          <w:szCs w:val="18"/>
        </w:rPr>
        <w:t>”</w:t>
      </w:r>
      <w:r w:rsidR="003B481F" w:rsidRPr="00BC4444">
        <w:rPr>
          <w:rStyle w:val="Refdenotaalpie"/>
          <w:rFonts w:eastAsia="Times New Roman"/>
          <w:bCs/>
          <w:i w:val="0"/>
          <w:sz w:val="18"/>
          <w:szCs w:val="18"/>
        </w:rPr>
        <w:footnoteReference w:id="173"/>
      </w:r>
      <w:r w:rsidR="003B481F" w:rsidRPr="00BC4444">
        <w:rPr>
          <w:rFonts w:eastAsia="Times New Roman"/>
          <w:bCs/>
          <w:i w:val="0"/>
          <w:sz w:val="18"/>
          <w:szCs w:val="18"/>
        </w:rPr>
        <w:t>.</w:t>
      </w:r>
    </w:p>
    <w:p w14:paraId="33729A54" w14:textId="77777777" w:rsidR="008E387F" w:rsidRPr="0086240C" w:rsidRDefault="008E387F" w:rsidP="008E387F">
      <w:pPr>
        <w:pStyle w:val="Estilo1"/>
        <w:tabs>
          <w:tab w:val="left" w:pos="709"/>
          <w:tab w:val="left" w:pos="1134"/>
        </w:tabs>
        <w:spacing w:after="0"/>
        <w:ind w:left="0" w:right="855" w:firstLine="0"/>
        <w:rPr>
          <w:rFonts w:eastAsia="Times" w:cs="Arial"/>
          <w:i w:val="0"/>
          <w:sz w:val="16"/>
          <w:szCs w:val="16"/>
          <w:lang w:val="es-CR"/>
        </w:rPr>
      </w:pPr>
    </w:p>
    <w:p w14:paraId="25CA5870" w14:textId="3819E0DA"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Teniendo en cuenta que lo que está bajo análisis se refiere a las medidas específicas que, en concepto de la Comisión y de los representantes, habrían sido regresivas para prevenir y combatir el virus del VIH en Guatemala, la Corte aclara que en el presente caso no corresponde evaluar si la actual política pública estatal en materia de combate al VIH es insuficiente en relación con las obligaciones previstas por el artículo 26 de la Convención. De hecho, la Corte advierte que el Estado ha impulsado un conjunto de acciones para combatir la epidemia del VIH en Guatemala. Estas acciones fueron expresadas por el Estado en diversas ocasiones ante esta Corte,</w:t>
      </w:r>
      <w:r w:rsidRPr="0086240C">
        <w:rPr>
          <w:rFonts w:eastAsia="Times" w:cs="Arial"/>
          <w:b/>
          <w:i w:val="0"/>
          <w:szCs w:val="20"/>
          <w:lang w:val="es-CR"/>
        </w:rPr>
        <w:t xml:space="preserve"> </w:t>
      </w:r>
      <w:r w:rsidRPr="0086240C">
        <w:rPr>
          <w:rFonts w:eastAsia="Times" w:cs="Arial"/>
          <w:i w:val="0"/>
          <w:szCs w:val="20"/>
          <w:lang w:val="es-CR"/>
        </w:rPr>
        <w:t>e incluyen la promulgación de leyes y decretos, acuerdos gubernativos, protocolos de atención, convenios de cooperación y manuales (</w:t>
      </w:r>
      <w:r w:rsidRPr="00F4229A">
        <w:rPr>
          <w:rFonts w:eastAsia="Times" w:cs="Arial"/>
          <w:szCs w:val="20"/>
          <w:lang w:val="es-CR"/>
        </w:rPr>
        <w:t>supra</w:t>
      </w:r>
      <w:r w:rsidRPr="00F4229A">
        <w:rPr>
          <w:rFonts w:eastAsia="Times" w:cs="Arial"/>
          <w:i w:val="0"/>
          <w:szCs w:val="20"/>
          <w:lang w:val="es-CR"/>
        </w:rPr>
        <w:t xml:space="preserve"> </w:t>
      </w:r>
      <w:proofErr w:type="spellStart"/>
      <w:r w:rsidRPr="00F4229A">
        <w:rPr>
          <w:rFonts w:eastAsia="Times" w:cs="Arial"/>
          <w:i w:val="0"/>
          <w:szCs w:val="20"/>
          <w:lang w:val="es-CR"/>
        </w:rPr>
        <w:t>párr</w:t>
      </w:r>
      <w:r w:rsidR="00F4229A" w:rsidRPr="00F4229A">
        <w:rPr>
          <w:rFonts w:eastAsia="Times" w:cs="Arial"/>
          <w:i w:val="0"/>
          <w:szCs w:val="20"/>
          <w:lang w:val="es-CR"/>
        </w:rPr>
        <w:t>s</w:t>
      </w:r>
      <w:proofErr w:type="spellEnd"/>
      <w:r w:rsidR="00F4229A" w:rsidRPr="00F4229A">
        <w:rPr>
          <w:rFonts w:eastAsia="Times" w:cs="Arial"/>
          <w:i w:val="0"/>
          <w:szCs w:val="20"/>
          <w:lang w:val="es-CR"/>
        </w:rPr>
        <w:t>. 41 a 54</w:t>
      </w:r>
      <w:r w:rsidRPr="00F4229A">
        <w:rPr>
          <w:rFonts w:eastAsia="Times" w:cs="Arial"/>
          <w:i w:val="0"/>
          <w:szCs w:val="20"/>
          <w:lang w:val="es-CR"/>
        </w:rPr>
        <w:t>).</w:t>
      </w:r>
      <w:r w:rsidRPr="0086240C">
        <w:rPr>
          <w:rFonts w:eastAsia="Times" w:cs="Arial"/>
          <w:i w:val="0"/>
          <w:szCs w:val="20"/>
          <w:lang w:val="es-CR"/>
        </w:rPr>
        <w:t xml:space="preserve"> Asimismo, la Corte advierte que el Estado ha aumentado progresivamente el presupuesto asignado para el combate al VIH desde el año 2004 hasta el año 2017, y que ha adoptado otras medidas de política pública encaminadas a lograr una mayor protección de la población.</w:t>
      </w:r>
    </w:p>
    <w:p w14:paraId="40CAA7FD"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5EAF8818" w14:textId="4CFE686A"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 xml:space="preserve">Sin perjuicio de lo anterior, el Tribunal </w:t>
      </w:r>
      <w:r w:rsidR="00B01727">
        <w:rPr>
          <w:rFonts w:eastAsia="Times" w:cs="Arial"/>
          <w:i w:val="0"/>
          <w:szCs w:val="20"/>
          <w:lang w:val="es-CR"/>
        </w:rPr>
        <w:t>reitera</w:t>
      </w:r>
      <w:r w:rsidRPr="0086240C">
        <w:rPr>
          <w:rFonts w:eastAsia="Times" w:cs="Arial"/>
          <w:i w:val="0"/>
          <w:szCs w:val="20"/>
          <w:lang w:val="es-CR"/>
        </w:rPr>
        <w:t xml:space="preserve"> que las obligaciones de realización progresiva de los DESCA requiere la continua realización de acciones para la consecución del pleno goce de estos derechos. De esta forma, la dimensión progresiva de protección de los DESCA, si bien reconoce una cierta gradualidad para su realización, también incluye un sentido de progreso, que requiere la mejora efectiva de las condiciones de goce y ejercicio de estos derechos, de forma tal que se corrijan las desigualdades sociales y se facilite la inclusión de grupos vulnerables. En esta lógica, la obligación de realización progresiva prohíbe la inactividad del Estado en su tarea de implementar acciones para lograr la protección integral de los derechos, sobre todo en aquellas materias donde la ausencia total de protección estatal coloca a las personas ante la inminencia de sufrir un daño a su vida o su integridad personal. </w:t>
      </w:r>
      <w:r w:rsidR="00B01727">
        <w:rPr>
          <w:rFonts w:eastAsia="Times" w:cs="Arial"/>
          <w:i w:val="0"/>
          <w:szCs w:val="20"/>
          <w:lang w:val="es-CR"/>
        </w:rPr>
        <w:t>E</w:t>
      </w:r>
      <w:r w:rsidRPr="0086240C">
        <w:rPr>
          <w:rFonts w:eastAsia="Times" w:cs="Arial"/>
          <w:i w:val="0"/>
          <w:szCs w:val="20"/>
          <w:lang w:val="es-CR"/>
        </w:rPr>
        <w:t xml:space="preserve">ste riesgo ocurre en relación con personas </w:t>
      </w:r>
      <w:r w:rsidR="00B01727">
        <w:rPr>
          <w:rFonts w:eastAsia="Times" w:cs="Arial"/>
          <w:i w:val="0"/>
          <w:szCs w:val="20"/>
          <w:lang w:val="es-CR"/>
        </w:rPr>
        <w:t xml:space="preserve">que viven </w:t>
      </w:r>
      <w:r w:rsidRPr="0086240C">
        <w:rPr>
          <w:rFonts w:eastAsia="Times" w:cs="Arial"/>
          <w:i w:val="0"/>
          <w:szCs w:val="20"/>
          <w:lang w:val="es-CR"/>
        </w:rPr>
        <w:t>con</w:t>
      </w:r>
      <w:r w:rsidR="00B01727">
        <w:rPr>
          <w:rFonts w:eastAsia="Times" w:cs="Arial"/>
          <w:i w:val="0"/>
          <w:szCs w:val="20"/>
          <w:lang w:val="es-CR"/>
        </w:rPr>
        <w:t xml:space="preserve"> el</w:t>
      </w:r>
      <w:r w:rsidRPr="0086240C">
        <w:rPr>
          <w:rFonts w:eastAsia="Times" w:cs="Arial"/>
          <w:i w:val="0"/>
          <w:szCs w:val="20"/>
          <w:lang w:val="es-CR"/>
        </w:rPr>
        <w:t xml:space="preserve"> VIH que no reciben atención médica adecuada. Por ende, la Corte considera que el Estado incumple sus obligaciones convencionales de realización progresiva al no contar con políticas públicas o programas que </w:t>
      </w:r>
      <w:r w:rsidRPr="0086240C">
        <w:rPr>
          <w:rFonts w:eastAsia="Times" w:cs="Arial"/>
          <w:szCs w:val="20"/>
          <w:lang w:val="es-CR"/>
        </w:rPr>
        <w:t>de facto</w:t>
      </w:r>
      <w:r w:rsidRPr="0086240C">
        <w:rPr>
          <w:rFonts w:eastAsia="Times" w:cs="Arial"/>
          <w:i w:val="0"/>
          <w:szCs w:val="20"/>
          <w:lang w:val="es-CR"/>
        </w:rPr>
        <w:t xml:space="preserve"> –y no sólo </w:t>
      </w:r>
      <w:r w:rsidRPr="0086240C">
        <w:rPr>
          <w:rFonts w:eastAsia="Times" w:cs="Arial"/>
          <w:szCs w:val="20"/>
          <w:lang w:val="es-CR"/>
        </w:rPr>
        <w:t>de jure</w:t>
      </w:r>
      <w:r w:rsidRPr="0086240C">
        <w:rPr>
          <w:rFonts w:eastAsia="Times" w:cs="Arial"/>
          <w:i w:val="0"/>
          <w:szCs w:val="20"/>
          <w:lang w:val="es-CR"/>
        </w:rPr>
        <w:t>– le permitan avanzar en el cumplimiento de su obligación de lograr la plena efectividad del derecho a la salud.</w:t>
      </w:r>
    </w:p>
    <w:p w14:paraId="4337EE20"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0F04DE88" w14:textId="2BC19816"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En ef</w:t>
      </w:r>
      <w:r w:rsidR="002E10B2">
        <w:rPr>
          <w:rFonts w:eastAsia="Times" w:cs="Arial"/>
          <w:i w:val="0"/>
          <w:szCs w:val="20"/>
          <w:lang w:val="es-CR"/>
        </w:rPr>
        <w:t>ecto, la determinación sobre cuá</w:t>
      </w:r>
      <w:r w:rsidRPr="0086240C">
        <w:rPr>
          <w:rFonts w:eastAsia="Times" w:cs="Arial"/>
          <w:i w:val="0"/>
          <w:szCs w:val="20"/>
          <w:lang w:val="es-CR"/>
        </w:rPr>
        <w:t xml:space="preserve">ndo el Estado ha incumplido con este deber deberá realizarse atendiendo las circunstancias particulares de la legislación de un Estado y los recursos disponibles. Sin embargo, la Corte reconoce que el margen con el que gozan los Estados para la realización efectiva de los DESCA no justifica la inacción en su protección. En este sentido, en el presente caso, el Tribunal recuerda que ha quedado demostrado que el Estado, a pesar de contar con una serie de leyes y programas diseñados para la </w:t>
      </w:r>
      <w:r w:rsidR="00B01727">
        <w:rPr>
          <w:rFonts w:eastAsia="Times" w:cs="Arial"/>
          <w:i w:val="0"/>
          <w:szCs w:val="20"/>
          <w:lang w:val="es-CR"/>
        </w:rPr>
        <w:t>atención de personas que viven con</w:t>
      </w:r>
      <w:r w:rsidR="00D92087">
        <w:rPr>
          <w:rFonts w:eastAsia="Times" w:cs="Arial"/>
          <w:i w:val="0"/>
          <w:szCs w:val="20"/>
          <w:lang w:val="es-CR"/>
        </w:rPr>
        <w:t xml:space="preserve"> el</w:t>
      </w:r>
      <w:r w:rsidR="00B01727">
        <w:rPr>
          <w:rFonts w:eastAsia="Times" w:cs="Arial"/>
          <w:i w:val="0"/>
          <w:szCs w:val="20"/>
          <w:lang w:val="es-CR"/>
        </w:rPr>
        <w:t xml:space="preserve"> VIH</w:t>
      </w:r>
      <w:r w:rsidRPr="0086240C">
        <w:rPr>
          <w:rFonts w:eastAsia="Times" w:cs="Arial"/>
          <w:i w:val="0"/>
          <w:szCs w:val="20"/>
          <w:lang w:val="es-CR"/>
        </w:rPr>
        <w:t xml:space="preserve">, no proveyó tratamiento médico antes del año 2004 para garantizar el derecho a la salud </w:t>
      </w:r>
      <w:r w:rsidR="00B01727">
        <w:rPr>
          <w:rFonts w:eastAsia="Times" w:cs="Arial"/>
          <w:i w:val="0"/>
          <w:szCs w:val="20"/>
          <w:lang w:val="es-CR"/>
        </w:rPr>
        <w:t>de dichas personas</w:t>
      </w:r>
      <w:r w:rsidRPr="0086240C">
        <w:rPr>
          <w:rFonts w:eastAsia="Times" w:cs="Arial"/>
          <w:i w:val="0"/>
          <w:szCs w:val="20"/>
          <w:lang w:val="es-CR"/>
        </w:rPr>
        <w:t>, salvo para atender a un número limitado de personas, con</w:t>
      </w:r>
      <w:r w:rsidR="00B01727">
        <w:rPr>
          <w:rFonts w:eastAsia="Times" w:cs="Arial"/>
          <w:i w:val="0"/>
          <w:szCs w:val="20"/>
          <w:lang w:val="es-CR"/>
        </w:rPr>
        <w:t>fiando esta tarea en la acción de</w:t>
      </w:r>
      <w:r w:rsidRPr="0086240C">
        <w:rPr>
          <w:rFonts w:eastAsia="Times" w:cs="Arial"/>
          <w:i w:val="0"/>
          <w:szCs w:val="20"/>
          <w:lang w:val="es-CR"/>
        </w:rPr>
        <w:t xml:space="preserve"> organizaciones no gubernamentales. El Estado reconoció esta situación en diversos momentos ante el Tribunal y </w:t>
      </w:r>
      <w:r w:rsidR="002B191E">
        <w:rPr>
          <w:rFonts w:eastAsia="Times" w:cs="Arial"/>
          <w:i w:val="0"/>
          <w:szCs w:val="20"/>
          <w:lang w:val="es-CR"/>
        </w:rPr>
        <w:t>buscó justificar</w:t>
      </w:r>
      <w:r w:rsidRPr="0086240C">
        <w:rPr>
          <w:rFonts w:eastAsia="Times" w:cs="Arial"/>
          <w:i w:val="0"/>
          <w:szCs w:val="20"/>
          <w:lang w:val="es-CR"/>
        </w:rPr>
        <w:t xml:space="preserve"> la falta de atención médica progresiva antes del año 2004, a pesar de</w:t>
      </w:r>
      <w:r w:rsidR="002E10B2">
        <w:rPr>
          <w:rFonts w:eastAsia="Times" w:cs="Arial"/>
          <w:i w:val="0"/>
          <w:szCs w:val="20"/>
          <w:lang w:val="es-CR"/>
        </w:rPr>
        <w:t xml:space="preserve"> la</w:t>
      </w:r>
      <w:r w:rsidRPr="0086240C">
        <w:rPr>
          <w:rFonts w:eastAsia="Times" w:cs="Arial"/>
          <w:i w:val="0"/>
          <w:szCs w:val="20"/>
          <w:lang w:val="es-CR"/>
        </w:rPr>
        <w:t xml:space="preserve"> existencia de legislación interna que establecía una obligación de protección para diversas autoridades. De esta forma, la Corte considera que la inacción por parte del Estado, antes del año 2004, constituyó un incumplimiento de las obligaciones estatales en materia de protección progresiva del derecho a la salud, en violación al artículo 26 de la Convención Americana.</w:t>
      </w:r>
    </w:p>
    <w:p w14:paraId="1CBCACA6"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68488D43" w14:textId="67A8E90A" w:rsidR="008E387F" w:rsidRPr="00A95E5F" w:rsidRDefault="003B481F" w:rsidP="00A95E5F">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i w:val="0"/>
        </w:rPr>
        <w:lastRenderedPageBreak/>
        <w:t xml:space="preserve">En consecuencia, debido a la inacción estatal en materia de protección al derecho a la salud de la población </w:t>
      </w:r>
      <w:r w:rsidR="00B01727">
        <w:rPr>
          <w:i w:val="0"/>
        </w:rPr>
        <w:t>de personas que viven con</w:t>
      </w:r>
      <w:r w:rsidR="00D92087">
        <w:rPr>
          <w:i w:val="0"/>
        </w:rPr>
        <w:t xml:space="preserve"> el</w:t>
      </w:r>
      <w:r w:rsidR="00B01727">
        <w:rPr>
          <w:i w:val="0"/>
        </w:rPr>
        <w:t xml:space="preserve"> VIH</w:t>
      </w:r>
      <w:r w:rsidRPr="0086240C">
        <w:rPr>
          <w:i w:val="0"/>
        </w:rPr>
        <w:t>, a pesar de la existencia de una obligación internacional y de una regulación estatal, la Corte concluye que el Estado es responsable por la violación al principio de progresividad contenido en el artículo 26 de la Convención, en relación con el artículo 1.1 del mismo instrumento.</w:t>
      </w:r>
    </w:p>
    <w:p w14:paraId="352211C9" w14:textId="77777777" w:rsidR="008E387F" w:rsidRPr="00FB0EA3" w:rsidRDefault="008E387F" w:rsidP="008E387F">
      <w:pPr>
        <w:pStyle w:val="Estilo1"/>
        <w:tabs>
          <w:tab w:val="left" w:pos="709"/>
          <w:tab w:val="left" w:pos="1134"/>
        </w:tabs>
        <w:spacing w:after="0"/>
        <w:ind w:left="0" w:right="-4" w:firstLine="0"/>
        <w:rPr>
          <w:rFonts w:eastAsia="Times" w:cs="Arial"/>
          <w:i w:val="0"/>
          <w:szCs w:val="20"/>
          <w:lang w:val="es-CR"/>
        </w:rPr>
      </w:pPr>
    </w:p>
    <w:p w14:paraId="4626D626" w14:textId="728EFA04" w:rsidR="00455930"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455930" w:rsidRPr="00AC0BEF">
        <w:rPr>
          <w:rFonts w:eastAsia="Times" w:cs="Arial"/>
          <w:b/>
          <w:szCs w:val="20"/>
          <w:lang w:val="es-MX"/>
        </w:rPr>
        <w:t>B.4.1.3. Análisis respecto al cumplimiento de las obligaciones de progresividad en relación con las alegadas barreras legales en materia de propiedad intelectual y contratación administrativa</w:t>
      </w:r>
    </w:p>
    <w:p w14:paraId="76D8A95A" w14:textId="77777777" w:rsidR="008E387F" w:rsidRPr="00A95E5F" w:rsidRDefault="008E387F" w:rsidP="008E387F">
      <w:pPr>
        <w:pStyle w:val="Estilo1"/>
        <w:tabs>
          <w:tab w:val="left" w:pos="709"/>
          <w:tab w:val="left" w:pos="1134"/>
        </w:tabs>
        <w:spacing w:after="0"/>
        <w:ind w:left="0" w:right="-4" w:firstLine="0"/>
        <w:rPr>
          <w:rFonts w:eastAsia="Times" w:cs="Arial"/>
          <w:i w:val="0"/>
          <w:szCs w:val="20"/>
          <w:lang w:val="es-CR"/>
        </w:rPr>
      </w:pPr>
    </w:p>
    <w:p w14:paraId="6644A65B" w14:textId="2B154187"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 xml:space="preserve">Por otro lado, la Corte advierte que la solicitud de los representantes se refiere específicamente a las barreras legales en materia de propiedad intelectual y a algunas prácticas en la contratación administrativa que habrían </w:t>
      </w:r>
      <w:r w:rsidR="00DF1FF8">
        <w:rPr>
          <w:rFonts w:eastAsia="Times" w:cs="Arial"/>
          <w:i w:val="0"/>
          <w:szCs w:val="20"/>
          <w:lang w:val="es-CR"/>
        </w:rPr>
        <w:t xml:space="preserve">constituido medidas regresivas al haber </w:t>
      </w:r>
      <w:r w:rsidRPr="0086240C">
        <w:rPr>
          <w:rFonts w:eastAsia="Times" w:cs="Arial"/>
          <w:i w:val="0"/>
          <w:szCs w:val="20"/>
          <w:lang w:val="es-CR"/>
        </w:rPr>
        <w:t>impedido el abastecimiento permanente en el sistema de salud de medicamentos antir</w:t>
      </w:r>
      <w:r w:rsidR="00461BB6">
        <w:rPr>
          <w:rFonts w:eastAsia="Times" w:cs="Arial"/>
          <w:i w:val="0"/>
          <w:szCs w:val="20"/>
          <w:lang w:val="es-CR"/>
        </w:rPr>
        <w:t>r</w:t>
      </w:r>
      <w:r w:rsidRPr="0086240C">
        <w:rPr>
          <w:rFonts w:eastAsia="Times" w:cs="Arial"/>
          <w:i w:val="0"/>
          <w:szCs w:val="20"/>
          <w:lang w:val="es-CR"/>
        </w:rPr>
        <w:t>etrovirales. En opinión de los representantes, estas barreras le habrían impedido al Estado disponer del máximo de sus recursos para prevenir la propagación del virus y de garantizar el derecho a la salud. Al respecto, en primer lugar, la Corte advierte que la Comisión no hizo referencia directa a la Ley de Propiedad Industrial en su Informe de Fondo como un obstáculo al cumplimiento de las obligaciones estata</w:t>
      </w:r>
      <w:r w:rsidR="00DF1FF8">
        <w:rPr>
          <w:rFonts w:eastAsia="Times" w:cs="Arial"/>
          <w:i w:val="0"/>
          <w:szCs w:val="20"/>
          <w:lang w:val="es-CR"/>
        </w:rPr>
        <w:t>les para la atención al VIH</w:t>
      </w:r>
      <w:r w:rsidRPr="0086240C">
        <w:rPr>
          <w:rFonts w:eastAsia="Times" w:cs="Arial"/>
          <w:i w:val="0"/>
          <w:szCs w:val="20"/>
          <w:lang w:val="es-CR"/>
        </w:rPr>
        <w:t>, sino que mencionó algunos compromisos asumidos por el gobierno en el marco de una reunión sostenida entre el Presidente de Guatemala, el Ministerio de Salud</w:t>
      </w:r>
      <w:r w:rsidR="00DF1FF8">
        <w:rPr>
          <w:rFonts w:eastAsia="Times" w:cs="Arial"/>
          <w:i w:val="0"/>
          <w:szCs w:val="20"/>
          <w:lang w:val="es-CR"/>
        </w:rPr>
        <w:t xml:space="preserve"> Pública</w:t>
      </w:r>
      <w:r w:rsidRPr="0086240C">
        <w:rPr>
          <w:rFonts w:eastAsia="Times" w:cs="Arial"/>
          <w:i w:val="0"/>
          <w:szCs w:val="20"/>
          <w:lang w:val="es-CR"/>
        </w:rPr>
        <w:t>, la Directora Ejecutiva de la Fundación Preventiva del SIDA y el Director de Salud Integral – ASI</w:t>
      </w:r>
      <w:r w:rsidRPr="0086240C">
        <w:rPr>
          <w:rStyle w:val="Refdenotaalpie"/>
          <w:rFonts w:eastAsia="Times"/>
          <w:i w:val="0"/>
          <w:lang w:val="es-CR"/>
        </w:rPr>
        <w:footnoteReference w:id="174"/>
      </w:r>
      <w:r w:rsidRPr="0086240C">
        <w:rPr>
          <w:rFonts w:eastAsia="Times" w:cs="Arial"/>
          <w:i w:val="0"/>
          <w:szCs w:val="20"/>
          <w:lang w:val="es-CR"/>
        </w:rPr>
        <w:t>. Esta reunión tuvo lugar con posterioridad a la decisión de la Corte de Constitucionalidad de 29 de enero de 2003.</w:t>
      </w:r>
    </w:p>
    <w:p w14:paraId="1FDA1048"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72AED323" w14:textId="71E47D7A" w:rsidR="003B481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La Corte considera que los hechos contenidos en el Informe de Fondo relativos a los compromisos asumidos por el Presidente tras la decisión de la Corte de Constitucionalidad, a saber, aquellos relacionados con la adopción de distintas medidas para i) la derogación del Decreto No. 9-2003, ii) la promulgación del Decreto No. 34-2004, y iii) la promulgación del Decreto 30-2005, tiene una naturaleza contextual para efectos del presente caso. Es decir, estos hechos son relevantes para “situar los hechos alegados como violatorios de [derechos humanos] en el marco de las circunstancias específicas en que ocurrieron”</w:t>
      </w:r>
      <w:r w:rsidRPr="0086240C">
        <w:rPr>
          <w:rStyle w:val="Refdenotaalpie"/>
          <w:rFonts w:eastAsia="Times"/>
          <w:i w:val="0"/>
          <w:lang w:val="es-CR"/>
        </w:rPr>
        <w:footnoteReference w:id="175"/>
      </w:r>
      <w:r w:rsidRPr="0086240C">
        <w:rPr>
          <w:rFonts w:eastAsia="Times" w:cs="Arial"/>
          <w:i w:val="0"/>
          <w:szCs w:val="20"/>
          <w:lang w:val="es-CR"/>
        </w:rPr>
        <w:t>. De este modo, los hechos mencionados por la Comisión como parte de los compromisos asumidos por el gobierno de Guatemala tras la sentencia de la Corte de Constitucionalidad serán considerados, en lo pertinente, para precisar el alcance de las obligaciones estatales de garantizar el acceso a recursos judiciales efectivos a las presun</w:t>
      </w:r>
      <w:r w:rsidR="008E387F">
        <w:rPr>
          <w:rFonts w:eastAsia="Times" w:cs="Arial"/>
          <w:i w:val="0"/>
          <w:szCs w:val="20"/>
          <w:lang w:val="es-CR"/>
        </w:rPr>
        <w:t>tas víctimas del presente caso.</w:t>
      </w:r>
    </w:p>
    <w:p w14:paraId="65AEA622"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37E6DD00" w14:textId="4AFED5EF" w:rsidR="003B481F" w:rsidRPr="008E387F" w:rsidRDefault="003B481F" w:rsidP="00E92CA8">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rFonts w:eastAsia="Times" w:cs="Arial"/>
          <w:i w:val="0"/>
          <w:szCs w:val="20"/>
          <w:lang w:val="es-CR"/>
        </w:rPr>
        <w:t xml:space="preserve">En el mismo sentido, </w:t>
      </w:r>
      <w:r w:rsidRPr="0086240C">
        <w:rPr>
          <w:i w:val="0"/>
        </w:rPr>
        <w:t>el Tribunal advierte que la Comisión tampoco hizo referencia en su Informe de Fondo a la</w:t>
      </w:r>
      <w:r w:rsidR="00DF1FF8">
        <w:rPr>
          <w:i w:val="0"/>
        </w:rPr>
        <w:t xml:space="preserve"> práctica y la</w:t>
      </w:r>
      <w:r w:rsidRPr="0086240C">
        <w:rPr>
          <w:i w:val="0"/>
        </w:rPr>
        <w:t xml:space="preserve"> normativa en materia de contratación administrativa o de actos de corrupción que constituyeran un obstáculo para disponer de forma efectiva de los recursos disponibles.</w:t>
      </w:r>
    </w:p>
    <w:p w14:paraId="6DA0B3F9" w14:textId="77777777" w:rsidR="008E387F" w:rsidRPr="0086240C" w:rsidRDefault="008E387F" w:rsidP="008E387F">
      <w:pPr>
        <w:pStyle w:val="Estilo1"/>
        <w:tabs>
          <w:tab w:val="left" w:pos="709"/>
          <w:tab w:val="left" w:pos="1134"/>
        </w:tabs>
        <w:spacing w:after="0"/>
        <w:ind w:left="0" w:right="-4" w:firstLine="0"/>
        <w:rPr>
          <w:rFonts w:eastAsia="Times" w:cs="Arial"/>
          <w:i w:val="0"/>
          <w:szCs w:val="20"/>
          <w:lang w:val="es-CR"/>
        </w:rPr>
      </w:pPr>
    </w:p>
    <w:p w14:paraId="067B1F89" w14:textId="76169117" w:rsidR="008E387F" w:rsidRPr="008E387F" w:rsidRDefault="003B481F" w:rsidP="008E387F">
      <w:pPr>
        <w:pStyle w:val="Estilo1"/>
        <w:numPr>
          <w:ilvl w:val="0"/>
          <w:numId w:val="3"/>
        </w:numPr>
        <w:tabs>
          <w:tab w:val="left" w:pos="709"/>
          <w:tab w:val="left" w:pos="1134"/>
        </w:tabs>
        <w:spacing w:after="0"/>
        <w:ind w:left="0" w:right="-4" w:firstLine="0"/>
        <w:rPr>
          <w:rFonts w:eastAsia="Times" w:cs="Arial"/>
          <w:i w:val="0"/>
          <w:szCs w:val="20"/>
          <w:lang w:val="es-CR"/>
        </w:rPr>
      </w:pPr>
      <w:r w:rsidRPr="0086240C">
        <w:rPr>
          <w:i w:val="0"/>
        </w:rPr>
        <w:t xml:space="preserve">En relación con lo anterior, la Corte recuerda que el marco fáctico del proceso ante ella se encuentra constituido por los hechos contenidos en el Informe de Fondo. En consecuencia, no es admisible que las partes aleguen nuevos hechos distintos a los contenidos en dicho Informe, sin perjuicio de exponer aquellos que permitan explicar, aclarar o desestimar los que hayan sido sometidos a la consideración de la Corte. La excepción a este principio son los </w:t>
      </w:r>
      <w:r w:rsidRPr="0086240C">
        <w:rPr>
          <w:i w:val="0"/>
        </w:rPr>
        <w:lastRenderedPageBreak/>
        <w:t>hechos que se califican como supervinientes o cuando se tenga conocimiento de hechos o acceso a las pruebas sobre los mismos con posterioridad, siempre que se encuentren ligados a los hechos del proceso</w:t>
      </w:r>
      <w:r w:rsidRPr="0086240C">
        <w:rPr>
          <w:i w:val="0"/>
          <w:vertAlign w:val="superscript"/>
        </w:rPr>
        <w:footnoteReference w:id="176"/>
      </w:r>
      <w:r w:rsidRPr="0086240C">
        <w:rPr>
          <w:i w:val="0"/>
        </w:rPr>
        <w:t>. Estas consideraciones incluyen el contexto presentado por la Comisión en su Informe de Fondo, el cual forma parte del marco fáctico de un caso ante este Tribunal</w:t>
      </w:r>
      <w:r w:rsidRPr="0086240C">
        <w:rPr>
          <w:i w:val="0"/>
          <w:vertAlign w:val="superscript"/>
        </w:rPr>
        <w:footnoteReference w:id="177"/>
      </w:r>
      <w:r w:rsidRPr="0086240C">
        <w:rPr>
          <w:i w:val="0"/>
        </w:rPr>
        <w:t>. En definitiva, corresponde a la Corte decidir en cada caso acerca de la procedencia de alegatos relativos al marco fáctico, en resguardo del equilibrio procesal de las partes</w:t>
      </w:r>
      <w:r w:rsidRPr="0086240C">
        <w:rPr>
          <w:i w:val="0"/>
          <w:vertAlign w:val="superscript"/>
        </w:rPr>
        <w:footnoteReference w:id="178"/>
      </w:r>
      <w:r w:rsidR="008E387F">
        <w:rPr>
          <w:i w:val="0"/>
        </w:rPr>
        <w:t>.</w:t>
      </w:r>
    </w:p>
    <w:p w14:paraId="5AC92806" w14:textId="77777777" w:rsidR="008E387F" w:rsidRPr="008E387F" w:rsidRDefault="008E387F" w:rsidP="008E387F">
      <w:pPr>
        <w:pStyle w:val="Estilo1"/>
        <w:tabs>
          <w:tab w:val="left" w:pos="709"/>
          <w:tab w:val="left" w:pos="1134"/>
        </w:tabs>
        <w:spacing w:after="0"/>
        <w:ind w:left="0" w:right="-4" w:firstLine="0"/>
        <w:rPr>
          <w:rFonts w:eastAsia="Times" w:cs="Arial"/>
          <w:i w:val="0"/>
          <w:szCs w:val="20"/>
          <w:lang w:val="es-CR"/>
        </w:rPr>
      </w:pPr>
    </w:p>
    <w:p w14:paraId="10775866" w14:textId="76173EA6" w:rsidR="003B481F" w:rsidRPr="0086240C" w:rsidRDefault="00171B62" w:rsidP="00E92CA8">
      <w:pPr>
        <w:pStyle w:val="Estilo1"/>
        <w:numPr>
          <w:ilvl w:val="0"/>
          <w:numId w:val="3"/>
        </w:numPr>
        <w:tabs>
          <w:tab w:val="left" w:pos="709"/>
          <w:tab w:val="left" w:pos="1134"/>
        </w:tabs>
        <w:spacing w:after="0"/>
        <w:ind w:left="0" w:right="-4" w:firstLine="0"/>
        <w:rPr>
          <w:rFonts w:eastAsia="Times" w:cs="Arial"/>
          <w:i w:val="0"/>
          <w:szCs w:val="20"/>
          <w:lang w:val="es-CR"/>
        </w:rPr>
      </w:pPr>
      <w:r>
        <w:rPr>
          <w:i w:val="0"/>
        </w:rPr>
        <w:t>T</w:t>
      </w:r>
      <w:r w:rsidR="003B481F" w:rsidRPr="0086240C">
        <w:rPr>
          <w:i w:val="0"/>
        </w:rPr>
        <w:t>eniendo en cuenta que los hechos objeto de la controversia, en lo que respecta a aquellos presuntamente constitutivos de una violación del principio de progresividad</w:t>
      </w:r>
      <w:r w:rsidR="00E41BBB">
        <w:rPr>
          <w:i w:val="0"/>
        </w:rPr>
        <w:t xml:space="preserve"> por las alega</w:t>
      </w:r>
      <w:r w:rsidR="00D1228D">
        <w:rPr>
          <w:i w:val="0"/>
        </w:rPr>
        <w:t>da</w:t>
      </w:r>
      <w:r w:rsidR="00E41BBB">
        <w:rPr>
          <w:i w:val="0"/>
        </w:rPr>
        <w:t>s barreras legales en materia de propiedad intelectual</w:t>
      </w:r>
      <w:r w:rsidR="00DF1FF8">
        <w:rPr>
          <w:i w:val="0"/>
        </w:rPr>
        <w:t>, y la normativa y práctica sobre</w:t>
      </w:r>
      <w:r w:rsidR="00E41BBB">
        <w:rPr>
          <w:i w:val="0"/>
        </w:rPr>
        <w:t xml:space="preserve"> contratación administrativa</w:t>
      </w:r>
      <w:r w:rsidR="00DF1FF8">
        <w:rPr>
          <w:i w:val="0"/>
        </w:rPr>
        <w:t xml:space="preserve"> y de alegados factores de corrupción</w:t>
      </w:r>
      <w:r w:rsidR="003B481F" w:rsidRPr="0086240C">
        <w:rPr>
          <w:i w:val="0"/>
        </w:rPr>
        <w:t xml:space="preserve">, no están contemplados en el marco fáctico sometido por la Comisión, la Corte considera que en el presente caso no es procedente pronunciarse sobre </w:t>
      </w:r>
      <w:r w:rsidR="00D1228D">
        <w:rPr>
          <w:i w:val="0"/>
        </w:rPr>
        <w:t xml:space="preserve">si </w:t>
      </w:r>
      <w:r w:rsidR="003B481F" w:rsidRPr="0086240C">
        <w:rPr>
          <w:i w:val="0"/>
        </w:rPr>
        <w:t>estos constituyeron la base de una violación al principio de progresividad contenido en el artículo 26 de la Convención.</w:t>
      </w:r>
    </w:p>
    <w:bookmarkEnd w:id="82"/>
    <w:bookmarkEnd w:id="83"/>
    <w:p w14:paraId="13500CCE" w14:textId="77777777" w:rsidR="00EE1E0E" w:rsidRDefault="00EE1E0E" w:rsidP="00E92CA8">
      <w:pPr>
        <w:rPr>
          <w:rFonts w:eastAsia="Verdana"/>
          <w:bCs/>
          <w:lang w:eastAsia="x-none"/>
        </w:rPr>
      </w:pPr>
    </w:p>
    <w:p w14:paraId="07449CD9" w14:textId="09611D1B" w:rsidR="00F46845" w:rsidRDefault="00DF1FF8" w:rsidP="00C543F7">
      <w:pPr>
        <w:pStyle w:val="Ttulo3"/>
      </w:pPr>
      <w:bookmarkStart w:id="84" w:name="_Toc527466493"/>
      <w:r w:rsidRPr="00AC0BEF">
        <w:t>B.5</w:t>
      </w:r>
      <w:r w:rsidR="00F46845" w:rsidRPr="00AC0BEF">
        <w:t>. La afectación del derecho a la vida y a la integridad personal</w:t>
      </w:r>
      <w:bookmarkEnd w:id="84"/>
    </w:p>
    <w:p w14:paraId="347D845B" w14:textId="77777777" w:rsidR="008E387F" w:rsidRPr="008E387F" w:rsidRDefault="008E387F" w:rsidP="008E387F">
      <w:pPr>
        <w:rPr>
          <w:lang w:val="es-CR"/>
        </w:rPr>
      </w:pPr>
    </w:p>
    <w:p w14:paraId="700BC5F0" w14:textId="67455B7B"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El Tribunal recuerda que una de las controversias del presente caso gira en torno a si el Estado es responsable por los efectos que la atención médica por parte del Estado –o la falta de ella- pudo tener en la integridad personal y la vida de las presuntas víctimas del caso. En ese sentido, la Comisión alegó que la falta de atención médica integral y adecuada tuvo un grave impacto en su integridad personal y en su vida, en violación a los artículos 5.1 y 4.1 de la Convención. Los representante</w:t>
      </w:r>
      <w:r w:rsidR="002E10B2">
        <w:rPr>
          <w:rFonts w:eastAsia="Times" w:cs="Arial"/>
          <w:i w:val="0"/>
          <w:szCs w:val="20"/>
          <w:lang w:val="es-MX"/>
        </w:rPr>
        <w:t>s alegaron que el Estado vulneró</w:t>
      </w:r>
      <w:r w:rsidRPr="0060216C">
        <w:rPr>
          <w:rFonts w:eastAsia="Times" w:cs="Arial"/>
          <w:i w:val="0"/>
          <w:szCs w:val="20"/>
          <w:lang w:val="es-MX"/>
        </w:rPr>
        <w:t xml:space="preserve"> los derechos a la vida, a la vida digna y a la integridad personal debido al fallecimiento de 13 personas como resultado de enfermedades oportunistas, así como por el detrimento de la salud física y psicológica que habrían sufrido las presuntas víctimas con motivo del tratamiento médico inadecuado, en violación a los artículos 5.1 y 4.1 de la Convención.</w:t>
      </w:r>
      <w:r w:rsidR="00DF1FF8">
        <w:rPr>
          <w:rFonts w:eastAsia="Times" w:cs="Arial"/>
          <w:i w:val="0"/>
          <w:szCs w:val="20"/>
          <w:lang w:val="es-MX"/>
        </w:rPr>
        <w:t xml:space="preserve"> La Corte procederá a analizar ambos alegatos.</w:t>
      </w:r>
    </w:p>
    <w:p w14:paraId="0D914A71" w14:textId="77777777" w:rsidR="00AC0BEF" w:rsidRDefault="00AC0BEF" w:rsidP="00DF1FF8">
      <w:pPr>
        <w:pStyle w:val="Prrafodelista"/>
        <w:widowControl w:val="0"/>
        <w:autoSpaceDE w:val="0"/>
        <w:autoSpaceDN w:val="0"/>
        <w:adjustRightInd w:val="0"/>
        <w:ind w:firstLine="720"/>
        <w:textAlignment w:val="baseline"/>
        <w:rPr>
          <w:rFonts w:eastAsia="Times" w:cs="Arial"/>
          <w:szCs w:val="20"/>
          <w:lang w:val="es-MX"/>
        </w:rPr>
      </w:pPr>
    </w:p>
    <w:p w14:paraId="64E23A36" w14:textId="6859C6E2" w:rsidR="00F46845"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F46845" w:rsidRPr="00AC0BEF">
        <w:rPr>
          <w:rFonts w:eastAsia="Times" w:cs="Arial"/>
          <w:b/>
          <w:szCs w:val="20"/>
          <w:lang w:val="es-MX"/>
        </w:rPr>
        <w:t>B.5.1</w:t>
      </w:r>
      <w:r w:rsidR="00D0657E" w:rsidRPr="00AC0BEF">
        <w:rPr>
          <w:rFonts w:eastAsia="Times" w:cs="Arial"/>
          <w:b/>
          <w:szCs w:val="20"/>
          <w:lang w:val="es-MX"/>
        </w:rPr>
        <w:t>.</w:t>
      </w:r>
      <w:r w:rsidR="00F46845" w:rsidRPr="00AC0BEF">
        <w:rPr>
          <w:rFonts w:eastAsia="Times" w:cs="Arial"/>
          <w:b/>
          <w:szCs w:val="20"/>
          <w:lang w:val="es-MX"/>
        </w:rPr>
        <w:t xml:space="preserve"> </w:t>
      </w:r>
      <w:r w:rsidR="00F46845" w:rsidRPr="00D0657E">
        <w:rPr>
          <w:rFonts w:eastAsia="Times" w:cs="Arial"/>
          <w:b/>
          <w:szCs w:val="20"/>
          <w:lang w:val="es-MX"/>
        </w:rPr>
        <w:t>Análisis respecto al derecho a la vida</w:t>
      </w:r>
    </w:p>
    <w:p w14:paraId="29BAF279" w14:textId="77777777" w:rsidR="008E387F" w:rsidRPr="008E387F" w:rsidRDefault="008E387F" w:rsidP="008E387F">
      <w:pPr>
        <w:widowControl w:val="0"/>
        <w:autoSpaceDE w:val="0"/>
        <w:autoSpaceDN w:val="0"/>
        <w:adjustRightInd w:val="0"/>
        <w:textAlignment w:val="baseline"/>
        <w:rPr>
          <w:rFonts w:eastAsia="Verdana"/>
          <w:bCs/>
          <w:szCs w:val="20"/>
          <w:lang w:val="es-CR" w:eastAsia="x-none"/>
        </w:rPr>
      </w:pPr>
    </w:p>
    <w:p w14:paraId="630D3C18" w14:textId="57512E4E" w:rsidR="00F46845" w:rsidRPr="008E387F"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heme="minorHAnsi" w:cs="Arial"/>
          <w:i w:val="0"/>
          <w:spacing w:val="-2"/>
          <w:szCs w:val="20"/>
          <w:lang w:val="es-MX"/>
        </w:rPr>
        <w:t>Esta Corte</w:t>
      </w:r>
      <w:r w:rsidRPr="0060216C">
        <w:rPr>
          <w:rFonts w:eastAsiaTheme="minorHAnsi" w:cs="Arial"/>
          <w:i w:val="0"/>
          <w:spacing w:val="-2"/>
          <w:szCs w:val="20"/>
          <w:lang w:val="es-CR"/>
        </w:rPr>
        <w:t xml:space="preserve"> ha establecido que el derecho a la vida juega un papel fundamental en la Convención </w:t>
      </w:r>
      <w:r w:rsidRPr="0060216C">
        <w:rPr>
          <w:rFonts w:eastAsiaTheme="minorHAnsi" w:cs="Arial"/>
          <w:i w:val="0"/>
          <w:szCs w:val="20"/>
          <w:lang w:val="es-CR"/>
        </w:rPr>
        <w:t>Americana</w:t>
      </w:r>
      <w:r w:rsidRPr="0060216C">
        <w:rPr>
          <w:rFonts w:eastAsiaTheme="minorHAnsi" w:cs="Arial"/>
          <w:i w:val="0"/>
          <w:spacing w:val="-2"/>
          <w:szCs w:val="20"/>
          <w:lang w:val="es-CR"/>
        </w:rPr>
        <w:t>, por ser el presupuesto esencial para el ejercicio de los demás derechos</w:t>
      </w:r>
      <w:r w:rsidRPr="0060216C">
        <w:rPr>
          <w:i w:val="0"/>
          <w:szCs w:val="20"/>
          <w:vertAlign w:val="superscript"/>
        </w:rPr>
        <w:footnoteReference w:id="179"/>
      </w:r>
      <w:r w:rsidRPr="0060216C">
        <w:rPr>
          <w:rFonts w:eastAsiaTheme="minorHAnsi" w:cs="Arial"/>
          <w:i w:val="0"/>
          <w:szCs w:val="20"/>
          <w:lang w:val="es-CR"/>
        </w:rPr>
        <w:t xml:space="preserve">. </w:t>
      </w:r>
      <w:r w:rsidRPr="0060216C">
        <w:rPr>
          <w:rFonts w:cs="Arial"/>
          <w:i w:val="0"/>
          <w:szCs w:val="20"/>
          <w:lang w:val="es-CR"/>
        </w:rPr>
        <w:t xml:space="preserve">La observancia del artículo 4, relacionado con el artículo 1.1 de la Convención Americana, no </w:t>
      </w:r>
      <w:r w:rsidRPr="0060216C">
        <w:rPr>
          <w:rFonts w:eastAsiaTheme="minorHAnsi" w:cs="Arial"/>
          <w:i w:val="0"/>
          <w:szCs w:val="20"/>
          <w:lang w:val="es-CR"/>
        </w:rPr>
        <w:t>sólo</w:t>
      </w:r>
      <w:r w:rsidRPr="0060216C">
        <w:rPr>
          <w:rFonts w:cs="Arial"/>
          <w:i w:val="0"/>
          <w:szCs w:val="20"/>
          <w:lang w:val="es-CR"/>
        </w:rPr>
        <w:t xml:space="preserve"> presupone que ninguna persona sea privada de su vida arbitrariamente (obligación negativa), sino que además requiere que los Estados adopten todas las medidas apropiadas para proteger y preservar el derecho a la vida (obligación positiva), conforme al deber de garantizar el pleno y libre ejercicio de los derechos de todas las personas bajo su </w:t>
      </w:r>
      <w:r w:rsidRPr="0060216C">
        <w:rPr>
          <w:rFonts w:cs="Arial"/>
          <w:i w:val="0"/>
          <w:szCs w:val="20"/>
          <w:lang w:val="es-CR"/>
        </w:rPr>
        <w:lastRenderedPageBreak/>
        <w:t>jurisdicción</w:t>
      </w:r>
      <w:r w:rsidRPr="0060216C">
        <w:rPr>
          <w:i w:val="0"/>
          <w:szCs w:val="20"/>
          <w:vertAlign w:val="superscript"/>
        </w:rPr>
        <w:footnoteReference w:id="180"/>
      </w:r>
      <w:r w:rsidRPr="0060216C">
        <w:rPr>
          <w:rFonts w:cs="Arial"/>
          <w:i w:val="0"/>
          <w:szCs w:val="20"/>
          <w:lang w:val="es-CR"/>
        </w:rPr>
        <w:t xml:space="preserve">. </w:t>
      </w:r>
      <w:r w:rsidRPr="0060216C">
        <w:rPr>
          <w:rFonts w:eastAsiaTheme="minorHAnsi" w:cs="Arial"/>
          <w:i w:val="0"/>
          <w:szCs w:val="20"/>
          <w:lang w:val="es-CR"/>
        </w:rPr>
        <w:t xml:space="preserve">En consecuencia, los Estados tienen la obligación de garantizar la creación de las condiciones que </w:t>
      </w:r>
      <w:r w:rsidRPr="0060216C">
        <w:rPr>
          <w:i w:val="0"/>
          <w:szCs w:val="20"/>
          <w:lang w:val="es-CR"/>
        </w:rPr>
        <w:t>se</w:t>
      </w:r>
      <w:r w:rsidRPr="0060216C">
        <w:rPr>
          <w:rFonts w:eastAsiaTheme="minorHAnsi" w:cs="Arial"/>
          <w:i w:val="0"/>
          <w:szCs w:val="20"/>
          <w:lang w:val="es-CR"/>
        </w:rPr>
        <w:t xml:space="preserve"> requieran para que no se produzcan violaciones de ese derecho inalienable y, en particular, el deber de impedir que sus agentes atenten contra el mismo</w:t>
      </w:r>
      <w:r w:rsidRPr="0060216C">
        <w:rPr>
          <w:rFonts w:eastAsia="Times"/>
          <w:i w:val="0"/>
          <w:szCs w:val="20"/>
          <w:vertAlign w:val="superscript"/>
        </w:rPr>
        <w:footnoteReference w:id="181"/>
      </w:r>
      <w:r w:rsidRPr="0060216C">
        <w:rPr>
          <w:rFonts w:eastAsia="Times" w:cs="Arial"/>
          <w:i w:val="0"/>
          <w:szCs w:val="20"/>
          <w:lang w:val="es-CR"/>
        </w:rPr>
        <w:t>.</w:t>
      </w:r>
    </w:p>
    <w:p w14:paraId="1A8DE392" w14:textId="77777777" w:rsidR="008E387F" w:rsidRPr="003F3035" w:rsidRDefault="008E387F" w:rsidP="008E387F">
      <w:pPr>
        <w:pStyle w:val="Estilo1"/>
        <w:tabs>
          <w:tab w:val="left" w:pos="709"/>
          <w:tab w:val="left" w:pos="1134"/>
        </w:tabs>
        <w:spacing w:after="0"/>
        <w:ind w:left="0" w:right="-4" w:firstLine="0"/>
        <w:rPr>
          <w:rFonts w:eastAsia="Times" w:cs="Arial"/>
          <w:i w:val="0"/>
          <w:szCs w:val="20"/>
          <w:lang w:val="es-MX"/>
        </w:rPr>
      </w:pPr>
    </w:p>
    <w:p w14:paraId="3138F44B" w14:textId="137013E4" w:rsidR="00F46845" w:rsidRDefault="003F3035" w:rsidP="00E92CA8">
      <w:pPr>
        <w:pStyle w:val="Estilo1"/>
        <w:numPr>
          <w:ilvl w:val="0"/>
          <w:numId w:val="3"/>
        </w:numPr>
        <w:tabs>
          <w:tab w:val="left" w:pos="709"/>
          <w:tab w:val="left" w:pos="1134"/>
        </w:tabs>
        <w:spacing w:after="0"/>
        <w:ind w:left="0" w:right="-4" w:firstLine="0"/>
        <w:rPr>
          <w:i w:val="0"/>
          <w:szCs w:val="20"/>
          <w:lang w:val="es-MX"/>
        </w:rPr>
      </w:pPr>
      <w:r>
        <w:rPr>
          <w:i w:val="0"/>
          <w:szCs w:val="20"/>
          <w:lang w:val="es-CR"/>
        </w:rPr>
        <w:t>El Tribunal</w:t>
      </w:r>
      <w:r w:rsidR="00F46845" w:rsidRPr="0060216C">
        <w:rPr>
          <w:i w:val="0"/>
          <w:szCs w:val="20"/>
          <w:lang w:val="es-CR"/>
        </w:rPr>
        <w:t xml:space="preserve"> ha señalado que</w:t>
      </w:r>
      <w:r w:rsidR="00DF1FF8">
        <w:rPr>
          <w:i w:val="0"/>
          <w:szCs w:val="20"/>
          <w:lang w:val="es-CR"/>
        </w:rPr>
        <w:t>,</w:t>
      </w:r>
      <w:r w:rsidR="00F46845" w:rsidRPr="0060216C">
        <w:rPr>
          <w:i w:val="0"/>
          <w:szCs w:val="20"/>
          <w:lang w:val="es-CR"/>
        </w:rPr>
        <w:t xml:space="preserve"> p</w:t>
      </w:r>
      <w:r w:rsidR="00F46845" w:rsidRPr="0060216C">
        <w:rPr>
          <w:i w:val="0"/>
          <w:szCs w:val="20"/>
        </w:rPr>
        <w:t xml:space="preserve">ara efectos de determinar la responsabilidad internacional del Estado en casos de muerte en el contexto médico, es preciso acreditar los siguientes elementos: </w:t>
      </w:r>
      <w:r w:rsidR="00F46845" w:rsidRPr="0060216C">
        <w:rPr>
          <w:i w:val="0"/>
          <w:szCs w:val="20"/>
          <w:lang w:val="es-HN"/>
        </w:rPr>
        <w:t>a) cuando por actos u omisiones se niegue a un paciente el acceso a la salud en situaciones de urgencia médica o tratamientos médicos esenciales, a pesar de ser previsible el riesgo que implica dicha denegación para la vida del paciente; o bien, b) se acredite una negligencia médica grave</w:t>
      </w:r>
      <w:r w:rsidR="00F46845" w:rsidRPr="0060216C">
        <w:rPr>
          <w:rStyle w:val="Refdenotaalpie"/>
          <w:rFonts w:eastAsia="Calibri"/>
          <w:i w:val="0"/>
          <w:lang w:val="es-HN"/>
        </w:rPr>
        <w:footnoteReference w:id="182"/>
      </w:r>
      <w:r w:rsidR="002E10B2">
        <w:rPr>
          <w:i w:val="0"/>
          <w:szCs w:val="20"/>
          <w:lang w:val="es-HN"/>
        </w:rPr>
        <w:t>,</w:t>
      </w:r>
      <w:r w:rsidR="00F46845" w:rsidRPr="0060216C">
        <w:rPr>
          <w:i w:val="0"/>
          <w:szCs w:val="20"/>
          <w:lang w:val="es-HN"/>
        </w:rPr>
        <w:t xml:space="preserve"> y c) la existencia de un nexo causal, entre el acto acreditado y el daño sufrido por el paciente</w:t>
      </w:r>
      <w:r w:rsidR="00F46845" w:rsidRPr="0060216C">
        <w:rPr>
          <w:rStyle w:val="Refdenotaalpie"/>
          <w:rFonts w:eastAsia="Calibri"/>
          <w:i w:val="0"/>
          <w:lang w:val="es-MX"/>
        </w:rPr>
        <w:footnoteReference w:id="183"/>
      </w:r>
      <w:r w:rsidR="00F46845" w:rsidRPr="0060216C">
        <w:rPr>
          <w:i w:val="0"/>
          <w:szCs w:val="20"/>
          <w:lang w:val="es-HN"/>
        </w:rPr>
        <w:t xml:space="preserve">. Cuando la atribución de responsabilidad proviene de una </w:t>
      </w:r>
      <w:r w:rsidR="00F46845" w:rsidRPr="0060216C">
        <w:rPr>
          <w:bCs/>
          <w:i w:val="0"/>
          <w:szCs w:val="20"/>
        </w:rPr>
        <w:t>omisión, se requiere verificar la probabilidad de que la conducta omitida hubiese interrumpido el proceso causal que desembocó en el resultado dañoso</w:t>
      </w:r>
      <w:r w:rsidR="00F46845" w:rsidRPr="0060216C">
        <w:rPr>
          <w:i w:val="0"/>
          <w:szCs w:val="20"/>
        </w:rPr>
        <w:t xml:space="preserve">. </w:t>
      </w:r>
      <w:r w:rsidR="00F46845" w:rsidRPr="0060216C">
        <w:rPr>
          <w:i w:val="0"/>
          <w:szCs w:val="20"/>
          <w:lang w:val="es-MX"/>
        </w:rPr>
        <w:t>Dichas verificaciones deberá</w:t>
      </w:r>
      <w:r w:rsidR="00D07D35">
        <w:rPr>
          <w:i w:val="0"/>
          <w:szCs w:val="20"/>
          <w:lang w:val="es-MX"/>
        </w:rPr>
        <w:t>n</w:t>
      </w:r>
      <w:r w:rsidR="00F46845" w:rsidRPr="0060216C">
        <w:rPr>
          <w:i w:val="0"/>
          <w:szCs w:val="20"/>
          <w:lang w:val="es-MX"/>
        </w:rPr>
        <w:t xml:space="preserve"> tomar en consideración la posible situación de especial vulnerabilidad del afectado</w:t>
      </w:r>
      <w:r w:rsidR="00F46845" w:rsidRPr="0060216C">
        <w:rPr>
          <w:i w:val="0"/>
          <w:szCs w:val="20"/>
          <w:vertAlign w:val="superscript"/>
          <w:lang w:val="es-MX"/>
        </w:rPr>
        <w:footnoteReference w:id="184"/>
      </w:r>
      <w:r w:rsidR="00F46845" w:rsidRPr="0060216C">
        <w:rPr>
          <w:i w:val="0"/>
          <w:szCs w:val="20"/>
          <w:lang w:val="es-MX"/>
        </w:rPr>
        <w:t>, y frente a ello las medidas adoptadas para garantizar su situación</w:t>
      </w:r>
      <w:r w:rsidR="00F46845" w:rsidRPr="0060216C">
        <w:rPr>
          <w:rStyle w:val="Refdenotaalpie"/>
          <w:rFonts w:eastAsia="Calibri"/>
          <w:i w:val="0"/>
          <w:lang w:val="es-MX"/>
        </w:rPr>
        <w:footnoteReference w:id="185"/>
      </w:r>
      <w:r w:rsidR="00F46845" w:rsidRPr="0060216C">
        <w:rPr>
          <w:i w:val="0"/>
          <w:szCs w:val="20"/>
          <w:lang w:val="es-MX"/>
        </w:rPr>
        <w:t>.</w:t>
      </w:r>
    </w:p>
    <w:p w14:paraId="47A4BB6B" w14:textId="77777777" w:rsidR="008E387F" w:rsidRPr="0060216C" w:rsidRDefault="008E387F" w:rsidP="008E387F">
      <w:pPr>
        <w:pStyle w:val="Estilo1"/>
        <w:tabs>
          <w:tab w:val="left" w:pos="709"/>
          <w:tab w:val="left" w:pos="1134"/>
        </w:tabs>
        <w:spacing w:after="0"/>
        <w:ind w:left="0" w:right="-4" w:firstLine="0"/>
        <w:rPr>
          <w:i w:val="0"/>
          <w:szCs w:val="20"/>
          <w:lang w:val="es-MX"/>
        </w:rPr>
      </w:pPr>
    </w:p>
    <w:p w14:paraId="41C02790" w14:textId="338E9E92" w:rsidR="00F46845" w:rsidRDefault="00F46845" w:rsidP="00E92CA8">
      <w:pPr>
        <w:pStyle w:val="Estilo1"/>
        <w:numPr>
          <w:ilvl w:val="0"/>
          <w:numId w:val="3"/>
        </w:numPr>
        <w:tabs>
          <w:tab w:val="left" w:pos="709"/>
          <w:tab w:val="left" w:pos="1134"/>
        </w:tabs>
        <w:spacing w:after="0"/>
        <w:ind w:left="0" w:right="-4" w:firstLine="0"/>
        <w:rPr>
          <w:i w:val="0"/>
          <w:szCs w:val="20"/>
          <w:lang w:val="es-MX"/>
        </w:rPr>
      </w:pPr>
      <w:r w:rsidRPr="0060216C">
        <w:rPr>
          <w:i w:val="0"/>
          <w:szCs w:val="20"/>
          <w:lang w:val="es-MX"/>
        </w:rPr>
        <w:t xml:space="preserve">En el presente caso, en primer lugar, la Corte advierte que del total de 49 presuntas víctimas, </w:t>
      </w:r>
      <w:r w:rsidR="002B191E">
        <w:rPr>
          <w:i w:val="0"/>
          <w:szCs w:val="20"/>
          <w:lang w:val="es-MX"/>
        </w:rPr>
        <w:t>12</w:t>
      </w:r>
      <w:r w:rsidRPr="0060216C">
        <w:rPr>
          <w:i w:val="0"/>
          <w:szCs w:val="20"/>
          <w:lang w:val="es-MX"/>
        </w:rPr>
        <w:t xml:space="preserve"> han fallecido por enfermedades oportunistas. La Corte recuerda que las enfermedades oportunistas son aquellas infecciones o neoplasias que aprovechan la oportunidad que les brinda un sistema inmunológico debilitado, las cuales pueden provocar la muerte de la persona que las adquiere. Tal y como fue mencionado anteriormente (</w:t>
      </w:r>
      <w:r w:rsidRPr="00B27685">
        <w:rPr>
          <w:szCs w:val="20"/>
          <w:lang w:val="es-MX"/>
        </w:rPr>
        <w:t>supra</w:t>
      </w:r>
      <w:r w:rsidRPr="0060216C">
        <w:rPr>
          <w:i w:val="0"/>
          <w:szCs w:val="20"/>
          <w:lang w:val="es-MX"/>
        </w:rPr>
        <w:t xml:space="preserve"> párr.</w:t>
      </w:r>
      <w:r w:rsidR="00ED0957">
        <w:rPr>
          <w:i w:val="0"/>
          <w:szCs w:val="20"/>
          <w:lang w:val="es-MX"/>
        </w:rPr>
        <w:t xml:space="preserve"> 37</w:t>
      </w:r>
      <w:r w:rsidRPr="0060216C">
        <w:rPr>
          <w:i w:val="0"/>
          <w:szCs w:val="20"/>
          <w:lang w:val="es-MX"/>
        </w:rPr>
        <w:t xml:space="preserve">), la terapia antirretroviral ofrece la mejor oportunidad para la supresión viral eficaz, la recuperación inmunitaria y el beneficio clínico. En ese sentido, el </w:t>
      </w:r>
      <w:r w:rsidR="00DF1FF8">
        <w:rPr>
          <w:i w:val="0"/>
          <w:szCs w:val="20"/>
          <w:lang w:val="es-MX"/>
        </w:rPr>
        <w:t>perito</w:t>
      </w:r>
      <w:r w:rsidRPr="0060216C">
        <w:rPr>
          <w:i w:val="0"/>
          <w:szCs w:val="20"/>
          <w:lang w:val="es-MX"/>
        </w:rPr>
        <w:t xml:space="preserve"> Boza</w:t>
      </w:r>
      <w:r w:rsidR="00DF1FF8">
        <w:rPr>
          <w:i w:val="0"/>
          <w:szCs w:val="20"/>
          <w:lang w:val="es-MX"/>
        </w:rPr>
        <w:t xml:space="preserve"> Cordero</w:t>
      </w:r>
      <w:r w:rsidRPr="0060216C">
        <w:rPr>
          <w:i w:val="0"/>
          <w:szCs w:val="20"/>
          <w:lang w:val="es-MX"/>
        </w:rPr>
        <w:t xml:space="preserve"> manifestó que cuando un paciente está tomando adecuadamente los medicamentos antirretrovirales, las enfermedades oportunistas no tienen por qué aparecer, por lo que si aparece una enfermedad oportunista es porque el paciente no está tomando los medicamentos necesarios, lo cual constituye una falla terapéutica</w:t>
      </w:r>
      <w:r w:rsidRPr="0060216C">
        <w:rPr>
          <w:rStyle w:val="Refdenotaalpie"/>
          <w:i w:val="0"/>
          <w:lang w:val="es-MX"/>
        </w:rPr>
        <w:footnoteReference w:id="186"/>
      </w:r>
      <w:r w:rsidRPr="0060216C">
        <w:rPr>
          <w:i w:val="0"/>
          <w:szCs w:val="20"/>
          <w:lang w:val="es-MX"/>
        </w:rPr>
        <w:t>.</w:t>
      </w:r>
    </w:p>
    <w:p w14:paraId="5E9CD99C" w14:textId="77777777" w:rsidR="008E387F" w:rsidRPr="0060216C" w:rsidRDefault="008E387F" w:rsidP="008E387F">
      <w:pPr>
        <w:pStyle w:val="Estilo1"/>
        <w:tabs>
          <w:tab w:val="left" w:pos="709"/>
          <w:tab w:val="left" w:pos="1134"/>
        </w:tabs>
        <w:spacing w:after="0"/>
        <w:ind w:left="0" w:right="-4" w:firstLine="0"/>
        <w:rPr>
          <w:i w:val="0"/>
          <w:szCs w:val="20"/>
          <w:lang w:val="es-MX"/>
        </w:rPr>
      </w:pPr>
    </w:p>
    <w:p w14:paraId="4EE2A74E" w14:textId="4AD1A5E1" w:rsidR="00BA7D89" w:rsidRDefault="00F46845" w:rsidP="002B191E">
      <w:pPr>
        <w:pStyle w:val="Estilo1"/>
        <w:numPr>
          <w:ilvl w:val="0"/>
          <w:numId w:val="3"/>
        </w:numPr>
        <w:tabs>
          <w:tab w:val="left" w:pos="709"/>
          <w:tab w:val="left" w:pos="1134"/>
        </w:tabs>
        <w:spacing w:after="0"/>
        <w:ind w:left="0" w:right="-4" w:firstLine="0"/>
        <w:rPr>
          <w:i w:val="0"/>
          <w:szCs w:val="20"/>
          <w:lang w:val="es-MX"/>
        </w:rPr>
      </w:pPr>
      <w:r w:rsidRPr="005D1123">
        <w:rPr>
          <w:i w:val="0"/>
          <w:szCs w:val="20"/>
          <w:lang w:val="es-MX"/>
        </w:rPr>
        <w:t>El Tribunal verificó distintas omisiones en la atención médica brindada a las presuntas víctimas fallecidas</w:t>
      </w:r>
      <w:r w:rsidRPr="009A6C3A">
        <w:rPr>
          <w:i w:val="0"/>
          <w:szCs w:val="20"/>
          <w:lang w:val="es-MX"/>
        </w:rPr>
        <w:t>.</w:t>
      </w:r>
      <w:r w:rsidRPr="0060216C">
        <w:rPr>
          <w:i w:val="0"/>
          <w:szCs w:val="20"/>
          <w:lang w:val="es-MX"/>
        </w:rPr>
        <w:t xml:space="preserve"> Específicamente, el Estado incumplió en su deber de asegurar una terapia antirretroviral, realizar las pruebas diagnóstico para la atención y tratamiento del VIH y</w:t>
      </w:r>
      <w:r w:rsidR="009316B4">
        <w:rPr>
          <w:i w:val="0"/>
          <w:szCs w:val="20"/>
          <w:lang w:val="es-MX"/>
        </w:rPr>
        <w:t xml:space="preserve"> de enfermedades oportunistas, y</w:t>
      </w:r>
      <w:r w:rsidRPr="0060216C">
        <w:rPr>
          <w:i w:val="0"/>
          <w:szCs w:val="20"/>
          <w:lang w:val="es-MX"/>
        </w:rPr>
        <w:t xml:space="preserve"> en proveer apoyo social. Estas omisiones constituyeron fallas terapéuticas que </w:t>
      </w:r>
      <w:r w:rsidR="005C6D94">
        <w:rPr>
          <w:i w:val="0"/>
          <w:szCs w:val="20"/>
          <w:lang w:val="es-MX"/>
        </w:rPr>
        <w:t xml:space="preserve">de no haber ocurrido hubiera reducido las probabilidades de que se </w:t>
      </w:r>
      <w:r w:rsidR="005C6D94">
        <w:rPr>
          <w:i w:val="0"/>
          <w:szCs w:val="20"/>
          <w:lang w:val="es-MX"/>
        </w:rPr>
        <w:lastRenderedPageBreak/>
        <w:t>desarrollaran</w:t>
      </w:r>
      <w:r w:rsidRPr="0060216C">
        <w:rPr>
          <w:i w:val="0"/>
          <w:szCs w:val="20"/>
          <w:lang w:val="es-MX"/>
        </w:rPr>
        <w:t xml:space="preserve"> enfermedades oportunistas, las cuales causaron la muerte de las presuntas víctimas. En ese sentido, la Corte considera acreditada la existencia de un nexo causal </w:t>
      </w:r>
      <w:r w:rsidR="00B44112">
        <w:rPr>
          <w:i w:val="0"/>
          <w:szCs w:val="20"/>
          <w:lang w:val="es-MX"/>
        </w:rPr>
        <w:t>en estos casos</w:t>
      </w:r>
      <w:r w:rsidR="005D1123">
        <w:rPr>
          <w:i w:val="0"/>
          <w:szCs w:val="20"/>
          <w:lang w:val="es-MX"/>
        </w:rPr>
        <w:t>.</w:t>
      </w:r>
    </w:p>
    <w:p w14:paraId="52019150" w14:textId="77777777" w:rsidR="00BA7D89" w:rsidRDefault="00BA7D89" w:rsidP="00BA7D89">
      <w:pPr>
        <w:pStyle w:val="Prrafodelista"/>
        <w:rPr>
          <w:i/>
          <w:szCs w:val="20"/>
          <w:lang w:val="es-MX"/>
        </w:rPr>
      </w:pPr>
    </w:p>
    <w:p w14:paraId="0AA6C2C5" w14:textId="24AA87EF" w:rsidR="00BC3462" w:rsidRPr="00BA7D89" w:rsidRDefault="00395E00" w:rsidP="002B191E">
      <w:pPr>
        <w:pStyle w:val="Estilo1"/>
        <w:numPr>
          <w:ilvl w:val="0"/>
          <w:numId w:val="3"/>
        </w:numPr>
        <w:tabs>
          <w:tab w:val="left" w:pos="709"/>
          <w:tab w:val="left" w:pos="1134"/>
        </w:tabs>
        <w:spacing w:after="0"/>
        <w:ind w:left="0" w:right="-4" w:firstLine="0"/>
        <w:rPr>
          <w:i w:val="0"/>
          <w:szCs w:val="20"/>
          <w:lang w:val="es-MX"/>
        </w:rPr>
      </w:pPr>
      <w:r w:rsidRPr="00BA7D89">
        <w:rPr>
          <w:i w:val="0"/>
          <w:szCs w:val="20"/>
          <w:lang w:val="es-MX"/>
        </w:rPr>
        <w:t xml:space="preserve">En relación con lo anterior, la Corte constata i) que el señor Facundo Gómez Reyes murió a causa de tuberculosis, ii) que la señora Reina López Mujica falleció por tuberculosis y anemia, iii) que las señoras Petrona López Robledo y </w:t>
      </w:r>
      <w:proofErr w:type="spellStart"/>
      <w:r w:rsidRPr="00BA7D89">
        <w:rPr>
          <w:i w:val="0"/>
          <w:szCs w:val="20"/>
          <w:lang w:val="es-MX"/>
        </w:rPr>
        <w:t>iv</w:t>
      </w:r>
      <w:proofErr w:type="spellEnd"/>
      <w:r w:rsidRPr="00BA7D89">
        <w:rPr>
          <w:i w:val="0"/>
          <w:szCs w:val="20"/>
          <w:lang w:val="es-MX"/>
        </w:rPr>
        <w:t xml:space="preserve">) Rita Mariana Dubón Orozco, así como v) el señor Alberto Quiché </w:t>
      </w:r>
      <w:proofErr w:type="spellStart"/>
      <w:r w:rsidRPr="00BA7D89">
        <w:rPr>
          <w:i w:val="0"/>
          <w:szCs w:val="20"/>
          <w:lang w:val="es-MX"/>
        </w:rPr>
        <w:t>Cuxeva</w:t>
      </w:r>
      <w:proofErr w:type="spellEnd"/>
      <w:r w:rsidRPr="00BA7D89">
        <w:rPr>
          <w:i w:val="0"/>
          <w:szCs w:val="20"/>
          <w:lang w:val="es-MX"/>
        </w:rPr>
        <w:t xml:space="preserve">, fallecieron a causa de neumonía, vi) que la señora Silvia Mirtala </w:t>
      </w:r>
      <w:proofErr w:type="spellStart"/>
      <w:r w:rsidRPr="00BA7D89">
        <w:rPr>
          <w:i w:val="0"/>
          <w:szCs w:val="20"/>
          <w:lang w:val="es-MX"/>
        </w:rPr>
        <w:t>Alvarez</w:t>
      </w:r>
      <w:proofErr w:type="spellEnd"/>
      <w:r w:rsidRPr="00BA7D89">
        <w:rPr>
          <w:i w:val="0"/>
          <w:szCs w:val="20"/>
          <w:lang w:val="es-MX"/>
        </w:rPr>
        <w:t xml:space="preserve"> Villatoro falleció por meningitis bacteriana, que </w:t>
      </w:r>
      <w:proofErr w:type="spellStart"/>
      <w:r w:rsidRPr="00BA7D89">
        <w:rPr>
          <w:i w:val="0"/>
          <w:szCs w:val="20"/>
          <w:lang w:val="es-MX"/>
        </w:rPr>
        <w:t>vii</w:t>
      </w:r>
      <w:proofErr w:type="spellEnd"/>
      <w:r w:rsidRPr="00BA7D89">
        <w:rPr>
          <w:i w:val="0"/>
          <w:szCs w:val="20"/>
          <w:lang w:val="es-MX"/>
        </w:rPr>
        <w:t xml:space="preserve">) el señor </w:t>
      </w:r>
      <w:proofErr w:type="spellStart"/>
      <w:r w:rsidRPr="00BA7D89">
        <w:rPr>
          <w:i w:val="0"/>
          <w:szCs w:val="20"/>
          <w:lang w:val="es-MX"/>
        </w:rPr>
        <w:t>Ismar</w:t>
      </w:r>
      <w:proofErr w:type="spellEnd"/>
      <w:r w:rsidRPr="00BA7D89">
        <w:rPr>
          <w:i w:val="0"/>
          <w:szCs w:val="20"/>
          <w:lang w:val="es-MX"/>
        </w:rPr>
        <w:t xml:space="preserve"> Ramírez Chajón falleció por micosis diseminada. Asimismo, el Tribunal constata </w:t>
      </w:r>
      <w:proofErr w:type="spellStart"/>
      <w:r w:rsidRPr="00BA7D89">
        <w:rPr>
          <w:i w:val="0"/>
          <w:szCs w:val="20"/>
          <w:lang w:val="es-MX"/>
        </w:rPr>
        <w:t>viii</w:t>
      </w:r>
      <w:proofErr w:type="spellEnd"/>
      <w:r w:rsidRPr="00BA7D89">
        <w:rPr>
          <w:i w:val="0"/>
          <w:szCs w:val="20"/>
          <w:lang w:val="es-MX"/>
        </w:rPr>
        <w:t xml:space="preserve">) que la señora Guadalupe Herminia </w:t>
      </w:r>
      <w:proofErr w:type="spellStart"/>
      <w:r w:rsidRPr="00BA7D89">
        <w:rPr>
          <w:i w:val="0"/>
          <w:szCs w:val="20"/>
          <w:lang w:val="es-MX"/>
        </w:rPr>
        <w:t>Cayaxon</w:t>
      </w:r>
      <w:proofErr w:type="spellEnd"/>
      <w:r w:rsidRPr="00BA7D89">
        <w:rPr>
          <w:i w:val="0"/>
          <w:szCs w:val="20"/>
          <w:lang w:val="es-MX"/>
        </w:rPr>
        <w:t xml:space="preserve"> García falleció y que sufrió, entre otras enfermedades y padecimientos, herpes, hepatomegalia e </w:t>
      </w:r>
      <w:proofErr w:type="spellStart"/>
      <w:r w:rsidRPr="00BA7D89">
        <w:rPr>
          <w:i w:val="0"/>
          <w:szCs w:val="20"/>
          <w:lang w:val="es-MX"/>
        </w:rPr>
        <w:t>hiperatividad</w:t>
      </w:r>
      <w:proofErr w:type="spellEnd"/>
      <w:r w:rsidRPr="00BA7D89">
        <w:rPr>
          <w:i w:val="0"/>
          <w:szCs w:val="20"/>
          <w:lang w:val="es-MX"/>
        </w:rPr>
        <w:t xml:space="preserve"> </w:t>
      </w:r>
      <w:proofErr w:type="spellStart"/>
      <w:r w:rsidRPr="00BA7D89">
        <w:rPr>
          <w:i w:val="0"/>
          <w:szCs w:val="20"/>
          <w:lang w:val="es-MX"/>
        </w:rPr>
        <w:t>bronqueal</w:t>
      </w:r>
      <w:proofErr w:type="spellEnd"/>
      <w:r w:rsidRPr="00BA7D89">
        <w:rPr>
          <w:i w:val="0"/>
          <w:szCs w:val="20"/>
          <w:lang w:val="es-MX"/>
        </w:rPr>
        <w:t xml:space="preserve">, </w:t>
      </w:r>
      <w:proofErr w:type="spellStart"/>
      <w:r w:rsidRPr="00BA7D89">
        <w:rPr>
          <w:i w:val="0"/>
          <w:szCs w:val="20"/>
          <w:lang w:val="es-MX"/>
        </w:rPr>
        <w:t>ix</w:t>
      </w:r>
      <w:proofErr w:type="spellEnd"/>
      <w:r w:rsidRPr="00BA7D89">
        <w:rPr>
          <w:i w:val="0"/>
          <w:szCs w:val="20"/>
          <w:lang w:val="es-MX"/>
        </w:rPr>
        <w:t xml:space="preserve">) que la señora Elsa Miriam Estrada Ruíz falleció y padeció </w:t>
      </w:r>
      <w:r w:rsidRPr="00BA7D89">
        <w:rPr>
          <w:i w:val="0"/>
          <w:szCs w:val="20"/>
        </w:rPr>
        <w:t>candidiasis oral, herpes zoster y neuropatía</w:t>
      </w:r>
      <w:r w:rsidRPr="00BA7D89">
        <w:rPr>
          <w:i w:val="0"/>
          <w:szCs w:val="20"/>
          <w:lang w:val="es-MX"/>
        </w:rPr>
        <w:t xml:space="preserve">, x) que la señora Juana Aguilar falleció y padeció, entre otras enfermedades, </w:t>
      </w:r>
      <w:r w:rsidRPr="00BA7D89">
        <w:rPr>
          <w:i w:val="0"/>
          <w:szCs w:val="20"/>
        </w:rPr>
        <w:t xml:space="preserve">herpes zoster y </w:t>
      </w:r>
      <w:proofErr w:type="spellStart"/>
      <w:r w:rsidRPr="00BA7D89">
        <w:rPr>
          <w:i w:val="0"/>
          <w:szCs w:val="20"/>
        </w:rPr>
        <w:t>sarcopiosis</w:t>
      </w:r>
      <w:proofErr w:type="spellEnd"/>
      <w:r w:rsidRPr="00BA7D89">
        <w:rPr>
          <w:i w:val="0"/>
          <w:szCs w:val="20"/>
          <w:lang w:val="es-MX"/>
        </w:rPr>
        <w:t xml:space="preserve">, xi) que la señora María Blanca </w:t>
      </w:r>
      <w:proofErr w:type="spellStart"/>
      <w:r w:rsidRPr="00BA7D89">
        <w:rPr>
          <w:i w:val="0"/>
          <w:szCs w:val="20"/>
          <w:lang w:val="es-MX"/>
        </w:rPr>
        <w:t>Vaíl</w:t>
      </w:r>
      <w:proofErr w:type="spellEnd"/>
      <w:r w:rsidRPr="00BA7D89">
        <w:rPr>
          <w:i w:val="0"/>
          <w:szCs w:val="20"/>
          <w:lang w:val="es-MX"/>
        </w:rPr>
        <w:t xml:space="preserve"> López falleció y padeció, entre otras enfermedades, </w:t>
      </w:r>
      <w:r w:rsidRPr="00BA7D89">
        <w:rPr>
          <w:i w:val="0"/>
          <w:szCs w:val="20"/>
        </w:rPr>
        <w:t>herpes y candidiasis</w:t>
      </w:r>
      <w:r w:rsidRPr="00BA7D89">
        <w:rPr>
          <w:i w:val="0"/>
          <w:szCs w:val="20"/>
          <w:lang w:val="es-MX"/>
        </w:rPr>
        <w:t xml:space="preserve">, y </w:t>
      </w:r>
      <w:proofErr w:type="spellStart"/>
      <w:r w:rsidRPr="00BA7D89">
        <w:rPr>
          <w:i w:val="0"/>
          <w:szCs w:val="20"/>
          <w:lang w:val="es-MX"/>
        </w:rPr>
        <w:t>xii</w:t>
      </w:r>
      <w:proofErr w:type="spellEnd"/>
      <w:r w:rsidRPr="00BA7D89">
        <w:rPr>
          <w:i w:val="0"/>
          <w:szCs w:val="20"/>
          <w:lang w:val="es-MX"/>
        </w:rPr>
        <w:t xml:space="preserve">) que el señor José Rubén Delgado López falleció y padeció, entre otras enfermedades, </w:t>
      </w:r>
      <w:r w:rsidRPr="00BA7D89">
        <w:rPr>
          <w:i w:val="0"/>
          <w:szCs w:val="20"/>
        </w:rPr>
        <w:t xml:space="preserve">candidiasis, </w:t>
      </w:r>
      <w:proofErr w:type="spellStart"/>
      <w:r w:rsidRPr="00BA7D89">
        <w:rPr>
          <w:i w:val="0"/>
          <w:szCs w:val="20"/>
          <w:lang w:val="es-MX"/>
        </w:rPr>
        <w:t>criptococo</w:t>
      </w:r>
      <w:proofErr w:type="spellEnd"/>
      <w:r w:rsidRPr="00BA7D89">
        <w:rPr>
          <w:i w:val="0"/>
          <w:szCs w:val="20"/>
          <w:lang w:val="es-MX"/>
        </w:rPr>
        <w:t xml:space="preserve">, </w:t>
      </w:r>
      <w:proofErr w:type="spellStart"/>
      <w:r w:rsidRPr="00BA7D89">
        <w:rPr>
          <w:i w:val="0"/>
          <w:szCs w:val="20"/>
        </w:rPr>
        <w:t>sarcopiosis</w:t>
      </w:r>
      <w:proofErr w:type="spellEnd"/>
      <w:r w:rsidRPr="00BA7D89">
        <w:rPr>
          <w:i w:val="0"/>
          <w:szCs w:val="20"/>
        </w:rPr>
        <w:t xml:space="preserve"> y herpes</w:t>
      </w:r>
      <w:r w:rsidRPr="00BA7D89">
        <w:rPr>
          <w:i w:val="0"/>
          <w:szCs w:val="20"/>
          <w:lang w:val="es-MX"/>
        </w:rPr>
        <w:t>. En consecuencia, en lo que respecta a las personas referidas en este párrafo, el Estado es responsable por la violación al deber de garantía del derecho a la vida contenido en el artículo 4.1 de la Convención Americana en relación con el artí</w:t>
      </w:r>
      <w:r w:rsidR="002B191E" w:rsidRPr="00BA7D89">
        <w:rPr>
          <w:i w:val="0"/>
          <w:szCs w:val="20"/>
          <w:lang w:val="es-MX"/>
        </w:rPr>
        <w:t xml:space="preserve">culo 1.1 del mismo instrumento. </w:t>
      </w:r>
      <w:r w:rsidRPr="00BA7D89">
        <w:rPr>
          <w:i w:val="0"/>
          <w:szCs w:val="20"/>
          <w:lang w:val="es-MX"/>
        </w:rPr>
        <w:t xml:space="preserve">Por otro lado, el Tribunal no cuenta con elementos suficientes para determinar </w:t>
      </w:r>
      <w:r w:rsidR="00B44112">
        <w:rPr>
          <w:i w:val="0"/>
          <w:szCs w:val="20"/>
          <w:lang w:val="es-MX"/>
        </w:rPr>
        <w:t>la causa de la muerte de</w:t>
      </w:r>
      <w:r w:rsidRPr="00BA7D89">
        <w:rPr>
          <w:i w:val="0"/>
          <w:szCs w:val="20"/>
          <w:lang w:val="es-MX"/>
        </w:rPr>
        <w:t xml:space="preserve"> xiii) Luis Edwin Cruz Gramajo, por lo que, en lo que se refiere a esta persona, el Estado no es responsable por la violación al deber de garantía del derecho a la vida contenido en el artículo 4.1 de la Convención Americana en relación con el artículo 1.1 del mismo instrumento.</w:t>
      </w:r>
    </w:p>
    <w:p w14:paraId="52A313BB" w14:textId="77777777" w:rsidR="00D07D35" w:rsidRDefault="00D07D35" w:rsidP="00D07D35">
      <w:pPr>
        <w:pStyle w:val="Prrafodelista"/>
        <w:rPr>
          <w:i/>
          <w:szCs w:val="20"/>
          <w:highlight w:val="yellow"/>
          <w:lang w:val="es-MX"/>
        </w:rPr>
      </w:pPr>
    </w:p>
    <w:p w14:paraId="7DCB5617" w14:textId="7E286CA9" w:rsidR="00F46845" w:rsidRDefault="00F46845" w:rsidP="00E92CA8">
      <w:pPr>
        <w:pStyle w:val="Estilo1"/>
        <w:numPr>
          <w:ilvl w:val="0"/>
          <w:numId w:val="3"/>
        </w:numPr>
        <w:tabs>
          <w:tab w:val="left" w:pos="709"/>
          <w:tab w:val="left" w:pos="1134"/>
        </w:tabs>
        <w:spacing w:after="0"/>
        <w:ind w:left="0" w:right="-4" w:firstLine="0"/>
        <w:rPr>
          <w:i w:val="0"/>
          <w:szCs w:val="20"/>
          <w:lang w:val="es-MX"/>
        </w:rPr>
      </w:pPr>
      <w:r w:rsidRPr="00BC3462">
        <w:rPr>
          <w:i w:val="0"/>
          <w:szCs w:val="20"/>
          <w:lang w:val="es-MX"/>
        </w:rPr>
        <w:t>En segundo lugar, la Corte advierte qu</w:t>
      </w:r>
      <w:r w:rsidR="009369B5">
        <w:rPr>
          <w:i w:val="0"/>
          <w:szCs w:val="20"/>
          <w:lang w:val="es-MX"/>
        </w:rPr>
        <w:t>e los alegatos de los representantes</w:t>
      </w:r>
      <w:r w:rsidRPr="00BC3462">
        <w:rPr>
          <w:i w:val="0"/>
          <w:szCs w:val="20"/>
          <w:lang w:val="es-MX"/>
        </w:rPr>
        <w:t xml:space="preserve"> respecto a la violación al derecho a la vida digna se refieren al incumplimiento del Estado de su obligación de adoptar medidas positivas para garantizar una atención médica integral, accesible y aceptable de las presuntas víctimas. Al respecto, el Tribunal advierte que estos alegatos ya han sido analizados en el apartado relacionado con el derecho a la salud, por lo que no procederá a analizarlos en el presente apartado.</w:t>
      </w:r>
    </w:p>
    <w:p w14:paraId="32384E4E" w14:textId="77777777" w:rsidR="008E387F" w:rsidRPr="00BC3462" w:rsidRDefault="008E387F" w:rsidP="008E387F">
      <w:pPr>
        <w:pStyle w:val="Estilo1"/>
        <w:tabs>
          <w:tab w:val="left" w:pos="709"/>
          <w:tab w:val="left" w:pos="1134"/>
        </w:tabs>
        <w:spacing w:after="0"/>
        <w:ind w:left="0" w:right="-4" w:firstLine="0"/>
        <w:rPr>
          <w:i w:val="0"/>
          <w:szCs w:val="20"/>
          <w:lang w:val="es-MX"/>
        </w:rPr>
      </w:pPr>
    </w:p>
    <w:p w14:paraId="6CD05F6B" w14:textId="1D67CFB9" w:rsidR="00F46845" w:rsidRPr="00AC0BEF" w:rsidRDefault="00AC0BEF" w:rsidP="00AC0BEF">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Pr>
          <w:rFonts w:eastAsia="Times" w:cs="Arial"/>
          <w:b/>
          <w:szCs w:val="20"/>
          <w:lang w:val="es-MX"/>
        </w:rPr>
        <w:tab/>
      </w:r>
      <w:r w:rsidR="00F46845" w:rsidRPr="00AC0BEF">
        <w:rPr>
          <w:rFonts w:eastAsia="Times" w:cs="Arial"/>
          <w:b/>
          <w:szCs w:val="20"/>
          <w:lang w:val="es-MX"/>
        </w:rPr>
        <w:t>B.5.2</w:t>
      </w:r>
      <w:r w:rsidR="00D0657E" w:rsidRPr="00AC0BEF">
        <w:rPr>
          <w:rFonts w:eastAsia="Times" w:cs="Arial"/>
          <w:b/>
          <w:szCs w:val="20"/>
          <w:lang w:val="es-MX"/>
        </w:rPr>
        <w:t>.</w:t>
      </w:r>
      <w:r w:rsidR="00F46845" w:rsidRPr="00AC0BEF">
        <w:rPr>
          <w:rFonts w:eastAsia="Times" w:cs="Arial"/>
          <w:b/>
          <w:szCs w:val="20"/>
          <w:lang w:val="es-MX"/>
        </w:rPr>
        <w:t xml:space="preserve"> </w:t>
      </w:r>
      <w:r w:rsidR="00F46845" w:rsidRPr="00D0657E">
        <w:rPr>
          <w:rFonts w:eastAsia="Times" w:cs="Arial"/>
          <w:b/>
          <w:szCs w:val="20"/>
          <w:lang w:val="es-MX"/>
        </w:rPr>
        <w:t>Análisis respecto al derecho a la integridad personal</w:t>
      </w:r>
    </w:p>
    <w:p w14:paraId="11AC82D2" w14:textId="77777777" w:rsidR="008E387F" w:rsidRPr="008E387F" w:rsidRDefault="008E387F" w:rsidP="008E387F">
      <w:pPr>
        <w:widowControl w:val="0"/>
        <w:autoSpaceDE w:val="0"/>
        <w:autoSpaceDN w:val="0"/>
        <w:adjustRightInd w:val="0"/>
        <w:textAlignment w:val="baseline"/>
        <w:rPr>
          <w:rFonts w:eastAsia="Verdana"/>
          <w:bCs/>
          <w:szCs w:val="20"/>
          <w:lang w:val="es-CR" w:eastAsia="x-none"/>
        </w:rPr>
      </w:pPr>
    </w:p>
    <w:p w14:paraId="66F53195" w14:textId="77777777" w:rsidR="00F46845" w:rsidRPr="008E387F"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CR"/>
        </w:rPr>
        <w:t>Por otro lado, l</w:t>
      </w:r>
      <w:r w:rsidRPr="0060216C">
        <w:rPr>
          <w:rFonts w:eastAsiaTheme="minorHAnsi" w:cs="Arial"/>
          <w:i w:val="0"/>
          <w:szCs w:val="20"/>
          <w:lang w:val="es-CR"/>
        </w:rPr>
        <w:t>a Convención Americana reconoce expresamente el derecho a la integridad personal, física y psíquica, cuya infracción “es una clase de violación que tiene diversas connotaciones de grado y […] cuyas secuelas físicas y psíquicas varían de intensidad según los factores endógenos y exógenos que deberán ser demostrados en cada situación concreta”</w:t>
      </w:r>
      <w:r w:rsidRPr="0060216C">
        <w:rPr>
          <w:i w:val="0"/>
          <w:szCs w:val="20"/>
          <w:vertAlign w:val="superscript"/>
        </w:rPr>
        <w:footnoteReference w:id="187"/>
      </w:r>
      <w:r w:rsidRPr="0060216C">
        <w:rPr>
          <w:rFonts w:eastAsiaTheme="minorHAnsi" w:cs="Arial"/>
          <w:i w:val="0"/>
          <w:szCs w:val="20"/>
          <w:lang w:val="es-CR"/>
        </w:rPr>
        <w:t>.</w:t>
      </w:r>
      <w:r w:rsidRPr="0060216C">
        <w:rPr>
          <w:rFonts w:eastAsiaTheme="minorHAnsi" w:cs="Times New Roman"/>
          <w:i w:val="0"/>
          <w:szCs w:val="20"/>
          <w:lang w:val="es-CR" w:eastAsia="es-CR"/>
        </w:rPr>
        <w:t xml:space="preserve"> </w:t>
      </w:r>
      <w:r w:rsidRPr="0060216C">
        <w:rPr>
          <w:i w:val="0"/>
          <w:szCs w:val="20"/>
          <w:lang w:val="es-ES" w:eastAsia="x-none"/>
        </w:rPr>
        <w:t>La Corte ha establecido que la integridad personal se halla directa e inmediatamente vinculada con la atención a la salud humana</w:t>
      </w:r>
      <w:r w:rsidRPr="0060216C">
        <w:rPr>
          <w:i w:val="0"/>
          <w:szCs w:val="20"/>
          <w:vertAlign w:val="superscript"/>
          <w:lang w:val="es-ES"/>
        </w:rPr>
        <w:footnoteReference w:id="188"/>
      </w:r>
      <w:r w:rsidRPr="0060216C">
        <w:rPr>
          <w:i w:val="0"/>
          <w:szCs w:val="20"/>
          <w:lang w:val="es-ES" w:eastAsia="x-none"/>
        </w:rPr>
        <w:t>, y que la falta de atención médica adecuada puede conllevar la vulneración del artículo 5.1 de la Convención</w:t>
      </w:r>
      <w:r w:rsidRPr="0060216C">
        <w:rPr>
          <w:rFonts w:cs="Verdana"/>
          <w:i w:val="0"/>
          <w:szCs w:val="20"/>
          <w:vertAlign w:val="superscript"/>
          <w:lang w:val="es-ES"/>
        </w:rPr>
        <w:footnoteReference w:id="189"/>
      </w:r>
      <w:r w:rsidRPr="0060216C">
        <w:rPr>
          <w:i w:val="0"/>
          <w:szCs w:val="20"/>
          <w:lang w:val="es-ES" w:eastAsia="x-none"/>
        </w:rPr>
        <w:t xml:space="preserve">. En este sentido, la Corte ha sostenido que la protección del derecho a la integridad personal supone </w:t>
      </w:r>
      <w:r w:rsidRPr="0060216C">
        <w:rPr>
          <w:i w:val="0"/>
          <w:szCs w:val="20"/>
          <w:lang w:val="es-ES" w:eastAsia="x-none"/>
        </w:rPr>
        <w:lastRenderedPageBreak/>
        <w:t>la regulación de los servicios de salud en el ámbito interno, así como la implementación de una serie de mecanismos tendientes a tutelar la efectividad de dicha regulación</w:t>
      </w:r>
      <w:r w:rsidRPr="0060216C">
        <w:rPr>
          <w:i w:val="0"/>
          <w:szCs w:val="20"/>
          <w:vertAlign w:val="superscript"/>
          <w:lang w:val="es-ES"/>
        </w:rPr>
        <w:footnoteReference w:id="190"/>
      </w:r>
      <w:r w:rsidRPr="0060216C">
        <w:rPr>
          <w:i w:val="0"/>
          <w:szCs w:val="20"/>
          <w:lang w:val="es-ES" w:eastAsia="x-none"/>
        </w:rPr>
        <w:t>.</w:t>
      </w:r>
    </w:p>
    <w:p w14:paraId="1CF1AC9F" w14:textId="77777777" w:rsidR="008E387F" w:rsidRPr="0060216C" w:rsidRDefault="008E387F" w:rsidP="008E387F">
      <w:pPr>
        <w:pStyle w:val="Estilo1"/>
        <w:tabs>
          <w:tab w:val="left" w:pos="709"/>
          <w:tab w:val="left" w:pos="1134"/>
        </w:tabs>
        <w:spacing w:after="0"/>
        <w:ind w:left="0" w:right="-4" w:firstLine="0"/>
        <w:rPr>
          <w:rFonts w:eastAsia="Times" w:cs="Arial"/>
          <w:i w:val="0"/>
          <w:szCs w:val="20"/>
          <w:lang w:val="es-MX"/>
        </w:rPr>
      </w:pPr>
    </w:p>
    <w:p w14:paraId="1F23368C" w14:textId="34461C0F" w:rsidR="00F46845" w:rsidRDefault="00F46845"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60216C">
        <w:rPr>
          <w:rFonts w:eastAsia="Times" w:cs="Arial"/>
          <w:i w:val="0"/>
          <w:szCs w:val="20"/>
          <w:lang w:val="es-MX"/>
        </w:rPr>
        <w:t>En relación con el presente caso, la Corte advierte que los pacientes</w:t>
      </w:r>
      <w:r w:rsidR="009316B4">
        <w:rPr>
          <w:rFonts w:eastAsia="Times" w:cs="Arial"/>
          <w:i w:val="0"/>
          <w:szCs w:val="20"/>
          <w:lang w:val="es-MX"/>
        </w:rPr>
        <w:t xml:space="preserve"> que viven</w:t>
      </w:r>
      <w:r w:rsidRPr="0060216C">
        <w:rPr>
          <w:rFonts w:eastAsia="Times" w:cs="Arial"/>
          <w:i w:val="0"/>
          <w:szCs w:val="20"/>
          <w:lang w:val="es-MX"/>
        </w:rPr>
        <w:t xml:space="preserve"> con</w:t>
      </w:r>
      <w:r w:rsidR="009316B4">
        <w:rPr>
          <w:rFonts w:eastAsia="Times" w:cs="Arial"/>
          <w:i w:val="0"/>
          <w:szCs w:val="20"/>
          <w:lang w:val="es-MX"/>
        </w:rPr>
        <w:t xml:space="preserve"> el</w:t>
      </w:r>
      <w:r w:rsidRPr="0060216C">
        <w:rPr>
          <w:rFonts w:eastAsia="Times" w:cs="Arial"/>
          <w:i w:val="0"/>
          <w:szCs w:val="20"/>
          <w:lang w:val="es-MX"/>
        </w:rPr>
        <w:t xml:space="preserve"> VIH pueden experimentar graves sufrimientos, los cuales se producen como resultado de las secuelas físicas y psíquicas que conllevan las enfermedades oportunistas, y de factores sociales que resultan de su condición. Tal y como fue mencionado anteriormente, un adecuado tratamiento médico y apoyo social puede mitigar estos sufrimientos, tanto en su aspecto físico como psicológico. Al respecto, la Perito Olga Alicia Paz Bailey explicó que las enfermedades provocadas por el VIH</w:t>
      </w:r>
      <w:r w:rsidR="009316B4">
        <w:rPr>
          <w:rFonts w:eastAsia="Times" w:cs="Arial"/>
          <w:i w:val="0"/>
          <w:szCs w:val="20"/>
          <w:lang w:val="es-MX"/>
        </w:rPr>
        <w:t>/SIDA</w:t>
      </w:r>
      <w:r w:rsidRPr="0060216C">
        <w:rPr>
          <w:rFonts w:eastAsia="Times" w:cs="Arial"/>
          <w:i w:val="0"/>
          <w:szCs w:val="20"/>
          <w:lang w:val="es-MX"/>
        </w:rPr>
        <w:t xml:space="preserve"> provocan dolor físico e impiden realizar </w:t>
      </w:r>
      <w:r w:rsidR="009316B4">
        <w:rPr>
          <w:rFonts w:eastAsia="Times" w:cs="Arial"/>
          <w:i w:val="0"/>
          <w:szCs w:val="20"/>
          <w:lang w:val="es-MX"/>
        </w:rPr>
        <w:t>actividades diarias, lo que</w:t>
      </w:r>
      <w:r w:rsidRPr="0060216C">
        <w:rPr>
          <w:rFonts w:eastAsia="Times" w:cs="Arial"/>
          <w:i w:val="0"/>
          <w:szCs w:val="20"/>
          <w:lang w:val="es-MX"/>
        </w:rPr>
        <w:t xml:space="preserve"> hace</w:t>
      </w:r>
      <w:r w:rsidR="009316B4">
        <w:rPr>
          <w:rFonts w:eastAsia="Times" w:cs="Arial"/>
          <w:i w:val="0"/>
          <w:szCs w:val="20"/>
          <w:lang w:val="es-MX"/>
        </w:rPr>
        <w:t xml:space="preserve"> a la persona ser estigmatizada</w:t>
      </w:r>
      <w:r w:rsidRPr="0060216C">
        <w:rPr>
          <w:rFonts w:eastAsia="Times" w:cs="Arial"/>
          <w:i w:val="0"/>
          <w:szCs w:val="20"/>
          <w:lang w:val="es-MX"/>
        </w:rPr>
        <w:t xml:space="preserve"> y objeto de prejuicios sociales</w:t>
      </w:r>
      <w:r w:rsidRPr="0060216C">
        <w:rPr>
          <w:rStyle w:val="Refdenotaalpie"/>
          <w:rFonts w:eastAsia="Times"/>
          <w:i w:val="0"/>
          <w:lang w:val="es-MX"/>
        </w:rPr>
        <w:footnoteReference w:id="191"/>
      </w:r>
      <w:r w:rsidRPr="0060216C">
        <w:rPr>
          <w:rFonts w:eastAsia="Times" w:cs="Arial"/>
          <w:i w:val="0"/>
          <w:szCs w:val="20"/>
          <w:lang w:val="es-MX"/>
        </w:rPr>
        <w:t>. De esta forma:</w:t>
      </w:r>
    </w:p>
    <w:p w14:paraId="5DF6ED84" w14:textId="77777777" w:rsidR="008E387F" w:rsidRPr="0060216C" w:rsidRDefault="008E387F" w:rsidP="008E387F">
      <w:pPr>
        <w:pStyle w:val="Estilo1"/>
        <w:tabs>
          <w:tab w:val="left" w:pos="709"/>
          <w:tab w:val="left" w:pos="1134"/>
        </w:tabs>
        <w:spacing w:after="0"/>
        <w:ind w:left="0" w:right="-4" w:firstLine="0"/>
        <w:rPr>
          <w:rFonts w:eastAsia="Times" w:cs="Arial"/>
          <w:i w:val="0"/>
          <w:szCs w:val="20"/>
          <w:lang w:val="es-MX"/>
        </w:rPr>
      </w:pPr>
    </w:p>
    <w:p w14:paraId="325CA907" w14:textId="77777777" w:rsidR="00F46845" w:rsidRPr="00BC4444" w:rsidRDefault="00F46845" w:rsidP="00E92CA8">
      <w:pPr>
        <w:widowControl w:val="0"/>
        <w:autoSpaceDE w:val="0"/>
        <w:autoSpaceDN w:val="0"/>
        <w:adjustRightInd w:val="0"/>
        <w:ind w:left="708" w:right="900"/>
        <w:contextualSpacing/>
        <w:textAlignment w:val="baseline"/>
        <w:rPr>
          <w:rFonts w:eastAsia="Times" w:cs="Arial"/>
          <w:sz w:val="18"/>
          <w:szCs w:val="18"/>
          <w:lang w:val="es-MX"/>
        </w:rPr>
      </w:pPr>
      <w:r w:rsidRPr="00BC4444">
        <w:rPr>
          <w:rFonts w:eastAsia="Times" w:cs="Arial"/>
          <w:sz w:val="18"/>
          <w:szCs w:val="18"/>
          <w:lang w:val="es-MX"/>
        </w:rPr>
        <w:t>Los padecimientos físicos experimentados por el individuo: adormecimiento en brazos y piernas, calambres, los miembros afectados no responde cuando los desea mover, nauseas, dolor de cabeza, fiebre, diarrea, cansancio, falta de fuerza física y el conjunto de enfermedades oportunistas que aprovechan el cuadro clínico se constituyen en signos de un cuerpo enfermo, que el paciente hará esfuerzos por ocultar, pues el estigma que pesa sobre el VIH Sida le condena a marginación, exclusión y discriminación; a esta altura, el sufrimiento somático se torna también psicológico: angustia, depresión, culpa, culposidad, vergüenza</w:t>
      </w:r>
      <w:r w:rsidRPr="00BC4444">
        <w:rPr>
          <w:rStyle w:val="Refdenotaalpie"/>
          <w:rFonts w:eastAsia="Times"/>
          <w:sz w:val="18"/>
          <w:szCs w:val="18"/>
          <w:lang w:val="es-MX"/>
        </w:rPr>
        <w:footnoteReference w:id="192"/>
      </w:r>
      <w:r w:rsidRPr="00BC4444">
        <w:rPr>
          <w:rFonts w:eastAsia="Times" w:cs="Arial"/>
          <w:sz w:val="18"/>
          <w:szCs w:val="18"/>
          <w:lang w:val="es-MX"/>
        </w:rPr>
        <w:t>.</w:t>
      </w:r>
    </w:p>
    <w:p w14:paraId="799887C6" w14:textId="77777777" w:rsidR="008E387F" w:rsidRPr="0060216C" w:rsidRDefault="008E387F" w:rsidP="008E387F">
      <w:pPr>
        <w:widowControl w:val="0"/>
        <w:autoSpaceDE w:val="0"/>
        <w:autoSpaceDN w:val="0"/>
        <w:adjustRightInd w:val="0"/>
        <w:ind w:right="900"/>
        <w:contextualSpacing/>
        <w:textAlignment w:val="baseline"/>
        <w:rPr>
          <w:rFonts w:eastAsia="Times" w:cs="Arial"/>
          <w:sz w:val="16"/>
          <w:szCs w:val="16"/>
          <w:lang w:val="es-MX"/>
        </w:rPr>
      </w:pPr>
    </w:p>
    <w:p w14:paraId="7BB85A6C" w14:textId="13F14196" w:rsidR="00892BF3" w:rsidRPr="0086046D" w:rsidRDefault="00892BF3"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86046D">
        <w:rPr>
          <w:rFonts w:eastAsia="Times" w:cs="Arial"/>
          <w:i w:val="0"/>
          <w:szCs w:val="20"/>
          <w:lang w:val="es-MX"/>
        </w:rPr>
        <w:t>En relación con lo anterior, la C</w:t>
      </w:r>
      <w:r w:rsidR="00CB697A" w:rsidRPr="0086046D">
        <w:rPr>
          <w:rFonts w:eastAsia="Times" w:cs="Arial"/>
          <w:i w:val="0"/>
          <w:szCs w:val="20"/>
          <w:lang w:val="es-MX"/>
        </w:rPr>
        <w:t xml:space="preserve">orte tiene por acreditado que </w:t>
      </w:r>
      <w:r w:rsidR="0086046D" w:rsidRPr="0086046D">
        <w:rPr>
          <w:rFonts w:eastAsia="Times" w:cs="Arial"/>
          <w:i w:val="0"/>
          <w:szCs w:val="20"/>
          <w:lang w:val="es-MX"/>
        </w:rPr>
        <w:t>4</w:t>
      </w:r>
      <w:r w:rsidR="00085282">
        <w:rPr>
          <w:rFonts w:eastAsia="Times" w:cs="Arial"/>
          <w:i w:val="0"/>
          <w:szCs w:val="20"/>
          <w:lang w:val="es-MX"/>
        </w:rPr>
        <w:t>6</w:t>
      </w:r>
      <w:r w:rsidRPr="0086046D">
        <w:rPr>
          <w:rFonts w:eastAsia="Times" w:cs="Arial"/>
          <w:i w:val="0"/>
          <w:szCs w:val="20"/>
          <w:lang w:val="es-MX"/>
        </w:rPr>
        <w:t xml:space="preserve"> presuntas víctimas sufrieron secuelas físicas y psíquicas como resultado de su condición como personas</w:t>
      </w:r>
      <w:r w:rsidR="00ED0957">
        <w:rPr>
          <w:rFonts w:eastAsia="Times" w:cs="Arial"/>
          <w:i w:val="0"/>
          <w:szCs w:val="20"/>
          <w:lang w:val="es-MX"/>
        </w:rPr>
        <w:t xml:space="preserve"> que viven</w:t>
      </w:r>
      <w:r w:rsidRPr="0086046D">
        <w:rPr>
          <w:rFonts w:eastAsia="Times" w:cs="Arial"/>
          <w:i w:val="0"/>
          <w:szCs w:val="20"/>
          <w:lang w:val="es-MX"/>
        </w:rPr>
        <w:t xml:space="preserve"> con VIH. De esta forma, por las mismas razones que fueron mencionadas en el acápite anterior (</w:t>
      </w:r>
      <w:r w:rsidRPr="00E52721">
        <w:rPr>
          <w:rFonts w:eastAsia="Times" w:cs="Arial"/>
          <w:szCs w:val="20"/>
          <w:lang w:val="es-MX"/>
        </w:rPr>
        <w:t>supra</w:t>
      </w:r>
      <w:r w:rsidRPr="0086046D">
        <w:rPr>
          <w:rFonts w:eastAsia="Times" w:cs="Arial"/>
          <w:i w:val="0"/>
          <w:szCs w:val="20"/>
          <w:lang w:val="es-MX"/>
        </w:rPr>
        <w:t xml:space="preserve"> </w:t>
      </w:r>
      <w:proofErr w:type="spellStart"/>
      <w:r w:rsidRPr="0086046D">
        <w:rPr>
          <w:rFonts w:eastAsia="Times" w:cs="Arial"/>
          <w:i w:val="0"/>
          <w:szCs w:val="20"/>
          <w:lang w:val="es-MX"/>
        </w:rPr>
        <w:t>párr</w:t>
      </w:r>
      <w:r w:rsidR="00ED0957">
        <w:rPr>
          <w:rFonts w:eastAsia="Times" w:cs="Arial"/>
          <w:i w:val="0"/>
          <w:szCs w:val="20"/>
          <w:lang w:val="es-MX"/>
        </w:rPr>
        <w:t>s</w:t>
      </w:r>
      <w:proofErr w:type="spellEnd"/>
      <w:r w:rsidRPr="0086046D">
        <w:rPr>
          <w:rFonts w:eastAsia="Times" w:cs="Arial"/>
          <w:i w:val="0"/>
          <w:szCs w:val="20"/>
          <w:lang w:val="es-MX"/>
        </w:rPr>
        <w:t>.</w:t>
      </w:r>
      <w:r w:rsidR="00ED0957">
        <w:rPr>
          <w:rFonts w:eastAsia="Times" w:cs="Arial"/>
          <w:i w:val="0"/>
          <w:szCs w:val="20"/>
          <w:lang w:val="es-MX"/>
        </w:rPr>
        <w:t xml:space="preserve"> 119 y 126</w:t>
      </w:r>
      <w:r w:rsidRPr="0086046D">
        <w:rPr>
          <w:rFonts w:eastAsia="Times" w:cs="Arial"/>
          <w:i w:val="0"/>
          <w:szCs w:val="20"/>
          <w:lang w:val="es-MX"/>
        </w:rPr>
        <w:t xml:space="preserve">), el Tribunal advierte la existencia de un nexo causal entre la falta de un adecuado tratamiento médico de las presuntas víctimas, y las secuelas físicas y psíquicas que sufrieron como personas </w:t>
      </w:r>
      <w:r w:rsidR="009316B4" w:rsidRPr="0086046D">
        <w:rPr>
          <w:rFonts w:eastAsia="Times" w:cs="Arial"/>
          <w:i w:val="0"/>
          <w:szCs w:val="20"/>
          <w:lang w:val="es-MX"/>
        </w:rPr>
        <w:t xml:space="preserve">que viven </w:t>
      </w:r>
      <w:r w:rsidRPr="0086046D">
        <w:rPr>
          <w:rFonts w:eastAsia="Times" w:cs="Arial"/>
          <w:i w:val="0"/>
          <w:szCs w:val="20"/>
          <w:lang w:val="es-MX"/>
        </w:rPr>
        <w:t>con</w:t>
      </w:r>
      <w:r w:rsidR="009316B4" w:rsidRPr="0086046D">
        <w:rPr>
          <w:rFonts w:eastAsia="Times" w:cs="Arial"/>
          <w:i w:val="0"/>
          <w:szCs w:val="20"/>
          <w:lang w:val="es-MX"/>
        </w:rPr>
        <w:t xml:space="preserve"> el</w:t>
      </w:r>
      <w:r w:rsidRPr="0086046D">
        <w:rPr>
          <w:rFonts w:eastAsia="Times" w:cs="Arial"/>
          <w:i w:val="0"/>
          <w:szCs w:val="20"/>
          <w:lang w:val="es-MX"/>
        </w:rPr>
        <w:t xml:space="preserve"> VIH. En efecto, el Estado, al no asegurar una terapia antirretroviral, realizar las pruebas diagnóstico correspondientes, y proveer apoyo social, lo cual habrían permitido a las presuntas víctimas mitigar o eliminar los factores endógenos y exógenos que fueron causa de sufrimientos físicos y psíquicos derivados de su condición como personas</w:t>
      </w:r>
      <w:r w:rsidR="009316B4" w:rsidRPr="0086046D">
        <w:rPr>
          <w:rFonts w:eastAsia="Times" w:cs="Arial"/>
          <w:i w:val="0"/>
          <w:szCs w:val="20"/>
          <w:lang w:val="es-MX"/>
        </w:rPr>
        <w:t xml:space="preserve"> que viven</w:t>
      </w:r>
      <w:r w:rsidRPr="0086046D">
        <w:rPr>
          <w:rFonts w:eastAsia="Times" w:cs="Arial"/>
          <w:i w:val="0"/>
          <w:szCs w:val="20"/>
          <w:lang w:val="es-MX"/>
        </w:rPr>
        <w:t xml:space="preserve"> con</w:t>
      </w:r>
      <w:r w:rsidR="009316B4" w:rsidRPr="0086046D">
        <w:rPr>
          <w:rFonts w:eastAsia="Times" w:cs="Arial"/>
          <w:i w:val="0"/>
          <w:szCs w:val="20"/>
          <w:lang w:val="es-MX"/>
        </w:rPr>
        <w:t xml:space="preserve"> el</w:t>
      </w:r>
      <w:r w:rsidRPr="0086046D">
        <w:rPr>
          <w:rFonts w:eastAsia="Times" w:cs="Arial"/>
          <w:i w:val="0"/>
          <w:szCs w:val="20"/>
          <w:lang w:val="es-MX"/>
        </w:rPr>
        <w:t xml:space="preserve"> VIH, es responsable por la vulneración a su derecho a la integridad personal. </w:t>
      </w:r>
      <w:r w:rsidRPr="0086046D">
        <w:rPr>
          <w:i w:val="0"/>
          <w:szCs w:val="20"/>
          <w:lang w:val="es-MX"/>
        </w:rPr>
        <w:t>En consecuencia, el Estado es responsable por la violación al deber de garantía del derecho a la integridad personal contenido en el artículo 5.1 de la Convenc</w:t>
      </w:r>
      <w:r w:rsidR="00CB697A" w:rsidRPr="0086046D">
        <w:rPr>
          <w:i w:val="0"/>
          <w:szCs w:val="20"/>
          <w:lang w:val="es-MX"/>
        </w:rPr>
        <w:t xml:space="preserve">ión Americana en perjuicio de </w:t>
      </w:r>
      <w:r w:rsidR="0086046D" w:rsidRPr="0086046D">
        <w:rPr>
          <w:i w:val="0"/>
          <w:szCs w:val="20"/>
          <w:lang w:val="es-MX"/>
        </w:rPr>
        <w:t>4</w:t>
      </w:r>
      <w:r w:rsidR="00085282">
        <w:rPr>
          <w:i w:val="0"/>
          <w:szCs w:val="20"/>
          <w:lang w:val="es-MX"/>
        </w:rPr>
        <w:t>6</w:t>
      </w:r>
      <w:r w:rsidRPr="0086046D">
        <w:rPr>
          <w:i w:val="0"/>
          <w:szCs w:val="20"/>
          <w:lang w:val="es-MX"/>
        </w:rPr>
        <w:t xml:space="preserve"> </w:t>
      </w:r>
      <w:r w:rsidR="00BC5189" w:rsidRPr="0086046D">
        <w:rPr>
          <w:i w:val="0"/>
          <w:szCs w:val="20"/>
          <w:lang w:val="es-MX"/>
        </w:rPr>
        <w:t>presuntas víctimas del caso</w:t>
      </w:r>
      <w:r w:rsidR="00CB697A" w:rsidRPr="0086046D">
        <w:rPr>
          <w:rStyle w:val="Refdenotaalpie"/>
          <w:rFonts w:eastAsia="Times"/>
          <w:i w:val="0"/>
          <w:lang w:val="es-MX"/>
        </w:rPr>
        <w:footnoteReference w:id="193"/>
      </w:r>
      <w:r w:rsidR="00BC5189" w:rsidRPr="0086046D">
        <w:rPr>
          <w:i w:val="0"/>
          <w:szCs w:val="20"/>
          <w:lang w:val="es-MX"/>
        </w:rPr>
        <w:t xml:space="preserve">. Respecto al resto de </w:t>
      </w:r>
      <w:r w:rsidR="00BC5189" w:rsidRPr="0086046D">
        <w:rPr>
          <w:i w:val="0"/>
          <w:szCs w:val="20"/>
          <w:lang w:val="es-MX"/>
        </w:rPr>
        <w:lastRenderedPageBreak/>
        <w:t>las presuntas víctimas, la Corte carece de elementos para determinar si sufrieron secuelas físicas o psíquicas como personas</w:t>
      </w:r>
      <w:r w:rsidR="009316B4" w:rsidRPr="0086046D">
        <w:rPr>
          <w:i w:val="0"/>
          <w:szCs w:val="20"/>
          <w:lang w:val="es-MX"/>
        </w:rPr>
        <w:t xml:space="preserve"> que viven</w:t>
      </w:r>
      <w:r w:rsidR="00BC5189" w:rsidRPr="0086046D">
        <w:rPr>
          <w:i w:val="0"/>
          <w:szCs w:val="20"/>
          <w:lang w:val="es-MX"/>
        </w:rPr>
        <w:t xml:space="preserve"> con</w:t>
      </w:r>
      <w:r w:rsidR="009316B4" w:rsidRPr="0086046D">
        <w:rPr>
          <w:i w:val="0"/>
          <w:szCs w:val="20"/>
          <w:lang w:val="es-MX"/>
        </w:rPr>
        <w:t xml:space="preserve"> el</w:t>
      </w:r>
      <w:r w:rsidR="00BC5189" w:rsidRPr="0086046D">
        <w:rPr>
          <w:i w:val="0"/>
          <w:szCs w:val="20"/>
          <w:lang w:val="es-MX"/>
        </w:rPr>
        <w:t xml:space="preserve"> VIH</w:t>
      </w:r>
      <w:r w:rsidR="00CB697A" w:rsidRPr="0086046D">
        <w:rPr>
          <w:rStyle w:val="Refdenotaalpie"/>
          <w:rFonts w:eastAsia="Times"/>
          <w:i w:val="0"/>
          <w:lang w:val="es-MX"/>
        </w:rPr>
        <w:footnoteReference w:id="194"/>
      </w:r>
      <w:r w:rsidR="00BC5189" w:rsidRPr="0086046D">
        <w:rPr>
          <w:i w:val="0"/>
          <w:szCs w:val="20"/>
          <w:lang w:val="es-MX"/>
        </w:rPr>
        <w:t>.</w:t>
      </w:r>
    </w:p>
    <w:p w14:paraId="7958A749" w14:textId="77777777" w:rsidR="008E387F" w:rsidRPr="00892BF3" w:rsidRDefault="008E387F" w:rsidP="008E387F">
      <w:pPr>
        <w:pStyle w:val="Estilo1"/>
        <w:tabs>
          <w:tab w:val="left" w:pos="709"/>
          <w:tab w:val="left" w:pos="1134"/>
        </w:tabs>
        <w:spacing w:after="0"/>
        <w:ind w:left="0" w:right="-4" w:firstLine="0"/>
        <w:rPr>
          <w:rFonts w:eastAsia="Times" w:cs="Arial"/>
          <w:i w:val="0"/>
          <w:szCs w:val="20"/>
          <w:lang w:val="es-MX"/>
        </w:rPr>
      </w:pPr>
    </w:p>
    <w:p w14:paraId="66B2E2AD" w14:textId="2505C107" w:rsidR="006A755B" w:rsidRPr="0086046D" w:rsidRDefault="006A755B" w:rsidP="00E92CA8">
      <w:pPr>
        <w:pStyle w:val="Estilo1"/>
        <w:numPr>
          <w:ilvl w:val="0"/>
          <w:numId w:val="3"/>
        </w:numPr>
        <w:tabs>
          <w:tab w:val="left" w:pos="709"/>
          <w:tab w:val="left" w:pos="1134"/>
        </w:tabs>
        <w:spacing w:after="0"/>
        <w:ind w:left="0" w:right="-4" w:firstLine="0"/>
        <w:rPr>
          <w:rFonts w:eastAsia="Times" w:cs="Arial"/>
          <w:i w:val="0"/>
          <w:szCs w:val="20"/>
          <w:lang w:val="es-MX"/>
        </w:rPr>
      </w:pPr>
      <w:r w:rsidRPr="0086046D">
        <w:rPr>
          <w:i w:val="0"/>
          <w:szCs w:val="20"/>
          <w:lang w:val="es-MX"/>
        </w:rPr>
        <w:t>En consecuencia, el Estado es responsable por la violación al deber de garantía del derecho a la integridad personal contenido en el artículo 5.1 de la Conve</w:t>
      </w:r>
      <w:r w:rsidR="00833D7D">
        <w:rPr>
          <w:i w:val="0"/>
          <w:szCs w:val="20"/>
          <w:lang w:val="es-MX"/>
        </w:rPr>
        <w:t>nción Americana en perjuicio de</w:t>
      </w:r>
      <w:r w:rsidR="000F11CF" w:rsidRPr="000F11CF">
        <w:rPr>
          <w:i w:val="0"/>
          <w:szCs w:val="20"/>
          <w:lang w:val="es-CR"/>
        </w:rPr>
        <w:t xml:space="preserve"> </w:t>
      </w:r>
      <w:proofErr w:type="spellStart"/>
      <w:r w:rsidR="000F11CF" w:rsidRPr="000F11CF">
        <w:rPr>
          <w:i w:val="0"/>
          <w:szCs w:val="20"/>
          <w:lang w:val="es-CR"/>
        </w:rPr>
        <w:t>Ismar</w:t>
      </w:r>
      <w:proofErr w:type="spellEnd"/>
      <w:r w:rsidR="000F11CF" w:rsidRPr="000F11CF">
        <w:rPr>
          <w:i w:val="0"/>
          <w:szCs w:val="20"/>
          <w:lang w:val="es-CR"/>
        </w:rPr>
        <w:t xml:space="preserve"> Ramírez Chajón, José Cupertino Ramírez, Sebastián Emilio Dueñas, Julia Aguilar, Luis Rubén Isabel </w:t>
      </w:r>
      <w:proofErr w:type="spellStart"/>
      <w:r w:rsidR="00686413">
        <w:rPr>
          <w:i w:val="0"/>
          <w:szCs w:val="20"/>
          <w:lang w:val="es-CR"/>
        </w:rPr>
        <w:t>A</w:t>
      </w:r>
      <w:r w:rsidR="000F11CF" w:rsidRPr="000F11CF">
        <w:rPr>
          <w:i w:val="0"/>
          <w:szCs w:val="20"/>
          <w:lang w:val="es-CR"/>
        </w:rPr>
        <w:t>lvarez</w:t>
      </w:r>
      <w:proofErr w:type="spellEnd"/>
      <w:r w:rsidR="000F11CF" w:rsidRPr="000F11CF">
        <w:rPr>
          <w:i w:val="0"/>
          <w:szCs w:val="20"/>
          <w:lang w:val="es-CR"/>
        </w:rPr>
        <w:t xml:space="preserve"> Flores,</w:t>
      </w:r>
      <w:r w:rsidR="00686413">
        <w:rPr>
          <w:i w:val="0"/>
          <w:szCs w:val="20"/>
          <w:lang w:val="es-CR"/>
        </w:rPr>
        <w:t xml:space="preserve"> </w:t>
      </w:r>
      <w:proofErr w:type="spellStart"/>
      <w:r w:rsidR="00686413">
        <w:rPr>
          <w:i w:val="0"/>
          <w:szCs w:val="20"/>
          <w:lang w:val="es-CR"/>
        </w:rPr>
        <w:t>Saira</w:t>
      </w:r>
      <w:proofErr w:type="spellEnd"/>
      <w:r w:rsidR="00686413">
        <w:rPr>
          <w:i w:val="0"/>
          <w:szCs w:val="20"/>
          <w:lang w:val="es-CR"/>
        </w:rPr>
        <w:t xml:space="preserve"> Elisa Barrios, </w:t>
      </w:r>
      <w:proofErr w:type="spellStart"/>
      <w:r w:rsidR="00686413">
        <w:rPr>
          <w:i w:val="0"/>
          <w:szCs w:val="20"/>
          <w:lang w:val="es-CR"/>
        </w:rPr>
        <w:t>Fe</w:t>
      </w:r>
      <w:r w:rsidR="000F11CF" w:rsidRPr="000F11CF">
        <w:rPr>
          <w:i w:val="0"/>
          <w:szCs w:val="20"/>
          <w:lang w:val="es-CR"/>
        </w:rPr>
        <w:t>lix</w:t>
      </w:r>
      <w:proofErr w:type="spellEnd"/>
      <w:r w:rsidR="000F11CF" w:rsidRPr="000F11CF">
        <w:rPr>
          <w:i w:val="0"/>
          <w:szCs w:val="20"/>
          <w:lang w:val="es-CR"/>
        </w:rPr>
        <w:t xml:space="preserve"> de</w:t>
      </w:r>
      <w:r w:rsidR="00686413">
        <w:rPr>
          <w:i w:val="0"/>
          <w:szCs w:val="20"/>
          <w:lang w:val="es-CR"/>
        </w:rPr>
        <w:t xml:space="preserve"> Jesús Cabrera Morales, Cé</w:t>
      </w:r>
      <w:r w:rsidR="000F11CF" w:rsidRPr="000F11CF">
        <w:rPr>
          <w:i w:val="0"/>
          <w:szCs w:val="20"/>
          <w:lang w:val="es-CR"/>
        </w:rPr>
        <w:t xml:space="preserve">sar Noé Cancinos Gómez, Aracely Cinto, Luis Rolando </w:t>
      </w:r>
      <w:proofErr w:type="spellStart"/>
      <w:r w:rsidR="000F11CF" w:rsidRPr="000F11CF">
        <w:rPr>
          <w:i w:val="0"/>
          <w:szCs w:val="20"/>
          <w:lang w:val="es-CR"/>
        </w:rPr>
        <w:t>Cuscul</w:t>
      </w:r>
      <w:proofErr w:type="spellEnd"/>
      <w:r w:rsidR="000F11CF" w:rsidRPr="000F11CF">
        <w:rPr>
          <w:i w:val="0"/>
          <w:szCs w:val="20"/>
          <w:lang w:val="es-CR"/>
        </w:rPr>
        <w:t xml:space="preserve"> Pivaral, María Felipe Pérez, </w:t>
      </w:r>
      <w:proofErr w:type="spellStart"/>
      <w:r w:rsidR="000F11CF" w:rsidRPr="000F11CF">
        <w:rPr>
          <w:i w:val="0"/>
          <w:szCs w:val="20"/>
          <w:lang w:val="es-CR"/>
        </w:rPr>
        <w:t>Mardo</w:t>
      </w:r>
      <w:proofErr w:type="spellEnd"/>
      <w:r w:rsidR="000F11CF" w:rsidRPr="000F11CF">
        <w:rPr>
          <w:i w:val="0"/>
          <w:szCs w:val="20"/>
          <w:lang w:val="es-CR"/>
        </w:rPr>
        <w:t xml:space="preserve"> Luis Hernández y Hernández, Luis Armando Linares Ruano, Pascuala de Jesús Mérida Rodríguez, Darinel López Montes de Oca, </w:t>
      </w:r>
      <w:proofErr w:type="spellStart"/>
      <w:r w:rsidR="000F11CF" w:rsidRPr="000F11CF">
        <w:rPr>
          <w:i w:val="0"/>
          <w:szCs w:val="20"/>
          <w:lang w:val="es-CR"/>
        </w:rPr>
        <w:t>Audencio</w:t>
      </w:r>
      <w:proofErr w:type="spellEnd"/>
      <w:r w:rsidR="000F11CF" w:rsidRPr="000F11CF">
        <w:rPr>
          <w:i w:val="0"/>
          <w:szCs w:val="20"/>
          <w:lang w:val="es-CR"/>
        </w:rPr>
        <w:t xml:space="preserve"> Rodas Rodrígu</w:t>
      </w:r>
      <w:r w:rsidR="006511FF">
        <w:rPr>
          <w:i w:val="0"/>
          <w:szCs w:val="20"/>
          <w:lang w:val="es-CR"/>
        </w:rPr>
        <w:t>ez, Zoila Marina Pérez Ruí</w:t>
      </w:r>
      <w:r w:rsidR="000F11CF" w:rsidRPr="000F11CF">
        <w:rPr>
          <w:i w:val="0"/>
          <w:szCs w:val="20"/>
          <w:lang w:val="es-CR"/>
        </w:rPr>
        <w:t xml:space="preserve">z, Santiago Francisco </w:t>
      </w:r>
      <w:proofErr w:type="spellStart"/>
      <w:r w:rsidR="000F11CF" w:rsidRPr="000F11CF">
        <w:rPr>
          <w:i w:val="0"/>
          <w:szCs w:val="20"/>
          <w:lang w:val="es-CR"/>
        </w:rPr>
        <w:t>Valdéz</w:t>
      </w:r>
      <w:proofErr w:type="spellEnd"/>
      <w:r w:rsidR="000F11CF" w:rsidRPr="000F11CF">
        <w:rPr>
          <w:i w:val="0"/>
          <w:szCs w:val="20"/>
          <w:lang w:val="es-CR"/>
        </w:rPr>
        <w:t xml:space="preserve"> Aguilar, Karen Judith Samayoa Vásquez, Francisco </w:t>
      </w:r>
      <w:proofErr w:type="spellStart"/>
      <w:r w:rsidR="000F11CF" w:rsidRPr="000F11CF">
        <w:rPr>
          <w:i w:val="0"/>
          <w:szCs w:val="20"/>
          <w:lang w:val="es-CR"/>
        </w:rPr>
        <w:t>Sop</w:t>
      </w:r>
      <w:proofErr w:type="spellEnd"/>
      <w:r w:rsidR="000F11CF" w:rsidRPr="000F11CF">
        <w:rPr>
          <w:i w:val="0"/>
          <w:szCs w:val="20"/>
          <w:lang w:val="es-CR"/>
        </w:rPr>
        <w:t xml:space="preserve"> </w:t>
      </w:r>
      <w:proofErr w:type="spellStart"/>
      <w:r w:rsidR="000F11CF" w:rsidRPr="000F11CF">
        <w:rPr>
          <w:i w:val="0"/>
          <w:szCs w:val="20"/>
          <w:lang w:val="es-CR"/>
        </w:rPr>
        <w:t>Quiej</w:t>
      </w:r>
      <w:proofErr w:type="spellEnd"/>
      <w:r w:rsidR="000F11CF" w:rsidRPr="000F11CF">
        <w:rPr>
          <w:i w:val="0"/>
          <w:szCs w:val="20"/>
          <w:lang w:val="es-CR"/>
        </w:rPr>
        <w:t xml:space="preserve">, Miguel Lucas </w:t>
      </w:r>
      <w:proofErr w:type="spellStart"/>
      <w:r w:rsidR="000F11CF" w:rsidRPr="000F11CF">
        <w:rPr>
          <w:i w:val="0"/>
          <w:szCs w:val="20"/>
          <w:lang w:val="es-CR"/>
        </w:rPr>
        <w:t>Vaíl</w:t>
      </w:r>
      <w:proofErr w:type="spellEnd"/>
      <w:r w:rsidR="000F11CF" w:rsidRPr="000F11CF">
        <w:rPr>
          <w:i w:val="0"/>
          <w:szCs w:val="20"/>
          <w:lang w:val="es-CR"/>
        </w:rPr>
        <w:t xml:space="preserve">, </w:t>
      </w:r>
      <w:r w:rsidR="006511FF">
        <w:rPr>
          <w:i w:val="0"/>
          <w:szCs w:val="20"/>
          <w:lang w:val="es-CR"/>
        </w:rPr>
        <w:t xml:space="preserve">Sandra </w:t>
      </w:r>
      <w:r w:rsidR="000F11CF" w:rsidRPr="000F11CF">
        <w:rPr>
          <w:i w:val="0"/>
          <w:szCs w:val="20"/>
          <w:lang w:val="es-CR"/>
        </w:rPr>
        <w:t>Lisbeth Zepeda Herrera, Petrona López Robledo, Rita Mariana Dubón Orozco, Mar</w:t>
      </w:r>
      <w:r w:rsidR="009A64BF">
        <w:rPr>
          <w:i w:val="0"/>
          <w:szCs w:val="20"/>
          <w:lang w:val="es-CR"/>
        </w:rPr>
        <w:t>í</w:t>
      </w:r>
      <w:r w:rsidR="000F11CF" w:rsidRPr="000F11CF">
        <w:rPr>
          <w:i w:val="0"/>
          <w:szCs w:val="20"/>
          <w:lang w:val="es-CR"/>
        </w:rPr>
        <w:t xml:space="preserve">a Blanca </w:t>
      </w:r>
      <w:proofErr w:type="spellStart"/>
      <w:r w:rsidR="000F11CF" w:rsidRPr="000F11CF">
        <w:rPr>
          <w:i w:val="0"/>
          <w:szCs w:val="20"/>
          <w:lang w:val="es-CR"/>
        </w:rPr>
        <w:t>Va</w:t>
      </w:r>
      <w:r w:rsidR="006511FF">
        <w:rPr>
          <w:i w:val="0"/>
          <w:szCs w:val="20"/>
          <w:lang w:val="es-CR"/>
        </w:rPr>
        <w:t>í</w:t>
      </w:r>
      <w:r w:rsidR="000F11CF" w:rsidRPr="000F11CF">
        <w:rPr>
          <w:i w:val="0"/>
          <w:szCs w:val="20"/>
          <w:lang w:val="es-CR"/>
        </w:rPr>
        <w:t>l</w:t>
      </w:r>
      <w:proofErr w:type="spellEnd"/>
      <w:r w:rsidR="000F11CF" w:rsidRPr="000F11CF">
        <w:rPr>
          <w:i w:val="0"/>
          <w:szCs w:val="20"/>
          <w:lang w:val="es-CR"/>
        </w:rPr>
        <w:t xml:space="preserve"> López, José Rubén Delgado López</w:t>
      </w:r>
      <w:r w:rsidR="006511FF">
        <w:rPr>
          <w:i w:val="0"/>
          <w:szCs w:val="20"/>
          <w:lang w:val="es-CR"/>
        </w:rPr>
        <w:t>, Elsa Miriam Estrada Ruí</w:t>
      </w:r>
      <w:r w:rsidR="000F11CF" w:rsidRPr="000F11CF">
        <w:rPr>
          <w:i w:val="0"/>
          <w:szCs w:val="20"/>
          <w:lang w:val="es-CR"/>
        </w:rPr>
        <w:t xml:space="preserve">z, Guadalupe </w:t>
      </w:r>
      <w:r w:rsidR="006511FF">
        <w:rPr>
          <w:i w:val="0"/>
          <w:szCs w:val="20"/>
          <w:lang w:val="es-CR"/>
        </w:rPr>
        <w:t xml:space="preserve">Herminia </w:t>
      </w:r>
      <w:proofErr w:type="spellStart"/>
      <w:r w:rsidR="006511FF">
        <w:rPr>
          <w:i w:val="0"/>
          <w:szCs w:val="20"/>
          <w:lang w:val="es-CR"/>
        </w:rPr>
        <w:t>Cayaxo</w:t>
      </w:r>
      <w:r w:rsidR="000F11CF" w:rsidRPr="000F11CF">
        <w:rPr>
          <w:i w:val="0"/>
          <w:szCs w:val="20"/>
          <w:lang w:val="es-CR"/>
        </w:rPr>
        <w:t>n</w:t>
      </w:r>
      <w:proofErr w:type="spellEnd"/>
      <w:r w:rsidR="000F11CF" w:rsidRPr="000F11CF">
        <w:rPr>
          <w:i w:val="0"/>
          <w:szCs w:val="20"/>
          <w:lang w:val="es-CR"/>
        </w:rPr>
        <w:t xml:space="preserve"> García, Juana </w:t>
      </w:r>
      <w:r w:rsidR="006511FF">
        <w:rPr>
          <w:i w:val="0"/>
          <w:szCs w:val="20"/>
          <w:lang w:val="es-CR"/>
        </w:rPr>
        <w:t xml:space="preserve">Aguilar, Melvin </w:t>
      </w:r>
      <w:proofErr w:type="spellStart"/>
      <w:r w:rsidR="006511FF">
        <w:rPr>
          <w:i w:val="0"/>
          <w:szCs w:val="20"/>
          <w:lang w:val="es-CR"/>
        </w:rPr>
        <w:t>Yovani</w:t>
      </w:r>
      <w:proofErr w:type="spellEnd"/>
      <w:r w:rsidR="006511FF">
        <w:rPr>
          <w:i w:val="0"/>
          <w:szCs w:val="20"/>
          <w:lang w:val="es-CR"/>
        </w:rPr>
        <w:t xml:space="preserve"> Ajtu</w:t>
      </w:r>
      <w:r w:rsidR="000F11CF" w:rsidRPr="000F11CF">
        <w:rPr>
          <w:i w:val="0"/>
          <w:szCs w:val="20"/>
          <w:lang w:val="es-CR"/>
        </w:rPr>
        <w:t xml:space="preserve">n Escobar, Felipe </w:t>
      </w:r>
      <w:proofErr w:type="spellStart"/>
      <w:r w:rsidR="000F11CF" w:rsidRPr="000F11CF">
        <w:rPr>
          <w:i w:val="0"/>
          <w:szCs w:val="20"/>
          <w:lang w:val="es-CR"/>
        </w:rPr>
        <w:t>Tebalan</w:t>
      </w:r>
      <w:proofErr w:type="spellEnd"/>
      <w:r w:rsidR="000F11CF" w:rsidRPr="000F11CF">
        <w:rPr>
          <w:i w:val="0"/>
          <w:szCs w:val="20"/>
          <w:lang w:val="es-CR"/>
        </w:rPr>
        <w:t xml:space="preserve"> Ordo</w:t>
      </w:r>
      <w:r w:rsidR="006511FF">
        <w:rPr>
          <w:i w:val="0"/>
          <w:szCs w:val="20"/>
          <w:lang w:val="es-CR"/>
        </w:rPr>
        <w:t xml:space="preserve">ñez, Martina Candelaria </w:t>
      </w:r>
      <w:proofErr w:type="spellStart"/>
      <w:r w:rsidR="006511FF">
        <w:rPr>
          <w:i w:val="0"/>
          <w:szCs w:val="20"/>
          <w:lang w:val="es-CR"/>
        </w:rPr>
        <w:t>A</w:t>
      </w:r>
      <w:r w:rsidR="000F11CF" w:rsidRPr="000F11CF">
        <w:rPr>
          <w:i w:val="0"/>
          <w:szCs w:val="20"/>
          <w:lang w:val="es-CR"/>
        </w:rPr>
        <w:t>lvarez</w:t>
      </w:r>
      <w:proofErr w:type="spellEnd"/>
      <w:r w:rsidR="000F11CF" w:rsidRPr="000F11CF">
        <w:rPr>
          <w:i w:val="0"/>
          <w:szCs w:val="20"/>
          <w:lang w:val="es-CR"/>
        </w:rPr>
        <w:t xml:space="preserve"> Estrada, </w:t>
      </w:r>
      <w:proofErr w:type="spellStart"/>
      <w:r w:rsidR="000F11CF" w:rsidRPr="000F11CF">
        <w:rPr>
          <w:i w:val="0"/>
          <w:szCs w:val="20"/>
          <w:lang w:val="es-CR"/>
        </w:rPr>
        <w:t>Ismerai</w:t>
      </w:r>
      <w:proofErr w:type="spellEnd"/>
      <w:r w:rsidR="000F11CF" w:rsidRPr="000F11CF">
        <w:rPr>
          <w:i w:val="0"/>
          <w:szCs w:val="20"/>
          <w:lang w:val="es-CR"/>
        </w:rPr>
        <w:t xml:space="preserve"> </w:t>
      </w:r>
      <w:proofErr w:type="spellStart"/>
      <w:r w:rsidR="000F11CF" w:rsidRPr="000F11CF">
        <w:rPr>
          <w:i w:val="0"/>
          <w:szCs w:val="20"/>
          <w:lang w:val="es-CR"/>
        </w:rPr>
        <w:t>Olibia</w:t>
      </w:r>
      <w:proofErr w:type="spellEnd"/>
      <w:r w:rsidR="000F11CF" w:rsidRPr="000F11CF">
        <w:rPr>
          <w:i w:val="0"/>
          <w:szCs w:val="20"/>
          <w:lang w:val="es-CR"/>
        </w:rPr>
        <w:t xml:space="preserve"> García </w:t>
      </w:r>
      <w:proofErr w:type="spellStart"/>
      <w:r w:rsidR="000F11CF" w:rsidRPr="000F11CF">
        <w:rPr>
          <w:i w:val="0"/>
          <w:szCs w:val="20"/>
          <w:lang w:val="es-CR"/>
        </w:rPr>
        <w:t>Castañon</w:t>
      </w:r>
      <w:proofErr w:type="spellEnd"/>
      <w:r w:rsidR="000F11CF" w:rsidRPr="000F11CF">
        <w:rPr>
          <w:i w:val="0"/>
          <w:szCs w:val="20"/>
          <w:lang w:val="es-CR"/>
        </w:rPr>
        <w:t xml:space="preserve">, Santos </w:t>
      </w:r>
      <w:proofErr w:type="spellStart"/>
      <w:r w:rsidR="000F11CF" w:rsidRPr="000F11CF">
        <w:rPr>
          <w:i w:val="0"/>
          <w:szCs w:val="20"/>
          <w:lang w:val="es-CR"/>
        </w:rPr>
        <w:t>Isacar</w:t>
      </w:r>
      <w:proofErr w:type="spellEnd"/>
      <w:r w:rsidR="000F11CF" w:rsidRPr="000F11CF">
        <w:rPr>
          <w:i w:val="0"/>
          <w:szCs w:val="20"/>
          <w:lang w:val="es-CR"/>
        </w:rPr>
        <w:t xml:space="preserve"> Vásquez Barrios, Marta Alicia Maldonado Paz, Dora Marina Martínez </w:t>
      </w:r>
      <w:proofErr w:type="spellStart"/>
      <w:r w:rsidR="000F11CF" w:rsidRPr="000F11CF">
        <w:rPr>
          <w:i w:val="0"/>
          <w:szCs w:val="20"/>
          <w:lang w:val="es-CR"/>
        </w:rPr>
        <w:t>Sofoifa</w:t>
      </w:r>
      <w:proofErr w:type="spellEnd"/>
      <w:r w:rsidR="000F11CF" w:rsidRPr="000F11CF">
        <w:rPr>
          <w:i w:val="0"/>
          <w:szCs w:val="20"/>
          <w:lang w:val="es-CR"/>
        </w:rPr>
        <w:t xml:space="preserve">, Israel </w:t>
      </w:r>
      <w:proofErr w:type="spellStart"/>
      <w:r w:rsidR="000F11CF" w:rsidRPr="000F11CF">
        <w:rPr>
          <w:i w:val="0"/>
          <w:szCs w:val="20"/>
          <w:lang w:val="es-CR"/>
        </w:rPr>
        <w:t>P</w:t>
      </w:r>
      <w:r w:rsidR="006511FF">
        <w:rPr>
          <w:i w:val="0"/>
          <w:szCs w:val="20"/>
          <w:lang w:val="es-CR"/>
        </w:rPr>
        <w:t>e</w:t>
      </w:r>
      <w:r w:rsidR="000F11CF" w:rsidRPr="000F11CF">
        <w:rPr>
          <w:i w:val="0"/>
          <w:szCs w:val="20"/>
          <w:lang w:val="es-CR"/>
        </w:rPr>
        <w:t>rez</w:t>
      </w:r>
      <w:proofErr w:type="spellEnd"/>
      <w:r w:rsidR="000F11CF" w:rsidRPr="000F11CF">
        <w:rPr>
          <w:i w:val="0"/>
          <w:szCs w:val="20"/>
          <w:lang w:val="es-CR"/>
        </w:rPr>
        <w:t xml:space="preserve"> Charal, Teresa Magdalena Ramírez Castro, Jorge Armando Tavares Barreno, </w:t>
      </w:r>
      <w:r w:rsidR="00833D7D">
        <w:rPr>
          <w:i w:val="0"/>
          <w:szCs w:val="20"/>
          <w:lang w:val="es-CR"/>
        </w:rPr>
        <w:t>Santos Vásquez Oliveros,</w:t>
      </w:r>
      <w:r w:rsidR="006511FF">
        <w:rPr>
          <w:i w:val="0"/>
          <w:szCs w:val="20"/>
          <w:lang w:val="es-CR"/>
        </w:rPr>
        <w:t xml:space="preserve"> Iris Carolina Vicente Ba</w:t>
      </w:r>
      <w:r w:rsidR="00573F6B">
        <w:rPr>
          <w:i w:val="0"/>
          <w:szCs w:val="20"/>
          <w:lang w:val="es-CR"/>
        </w:rPr>
        <w:t>ri</w:t>
      </w:r>
      <w:r w:rsidR="000F11CF" w:rsidRPr="000F11CF">
        <w:rPr>
          <w:i w:val="0"/>
          <w:szCs w:val="20"/>
          <w:lang w:val="es-CR"/>
        </w:rPr>
        <w:t>llas, Facundo Gómez Reyes, Reina López Mujica, Alberto Quic</w:t>
      </w:r>
      <w:r w:rsidR="006511FF">
        <w:rPr>
          <w:i w:val="0"/>
          <w:szCs w:val="20"/>
          <w:lang w:val="es-CR"/>
        </w:rPr>
        <w:t xml:space="preserve">hé </w:t>
      </w:r>
      <w:proofErr w:type="spellStart"/>
      <w:r w:rsidR="006511FF">
        <w:rPr>
          <w:i w:val="0"/>
          <w:szCs w:val="20"/>
          <w:lang w:val="es-CR"/>
        </w:rPr>
        <w:t>Cuxeva</w:t>
      </w:r>
      <w:proofErr w:type="spellEnd"/>
      <w:r w:rsidR="006511FF">
        <w:rPr>
          <w:i w:val="0"/>
          <w:szCs w:val="20"/>
          <w:lang w:val="es-CR"/>
        </w:rPr>
        <w:t xml:space="preserve">, Silvia Mirtala </w:t>
      </w:r>
      <w:proofErr w:type="spellStart"/>
      <w:r w:rsidR="006511FF">
        <w:rPr>
          <w:i w:val="0"/>
          <w:szCs w:val="20"/>
          <w:lang w:val="es-CR"/>
        </w:rPr>
        <w:t>A</w:t>
      </w:r>
      <w:r w:rsidR="000F11CF" w:rsidRPr="000F11CF">
        <w:rPr>
          <w:i w:val="0"/>
          <w:szCs w:val="20"/>
          <w:lang w:val="es-CR"/>
        </w:rPr>
        <w:t>lvarez</w:t>
      </w:r>
      <w:proofErr w:type="spellEnd"/>
      <w:r w:rsidR="000F11CF" w:rsidRPr="000F11CF">
        <w:rPr>
          <w:i w:val="0"/>
          <w:szCs w:val="20"/>
          <w:lang w:val="es-CR"/>
        </w:rPr>
        <w:t xml:space="preserve"> Villatoro y Corina </w:t>
      </w:r>
      <w:proofErr w:type="spellStart"/>
      <w:r w:rsidR="000F11CF" w:rsidRPr="000F11CF">
        <w:rPr>
          <w:i w:val="0"/>
          <w:szCs w:val="20"/>
          <w:lang w:val="es-CR"/>
        </w:rPr>
        <w:t>Dianeth</w:t>
      </w:r>
      <w:proofErr w:type="spellEnd"/>
      <w:r w:rsidR="000F11CF" w:rsidRPr="000F11CF">
        <w:rPr>
          <w:i w:val="0"/>
          <w:szCs w:val="20"/>
          <w:lang w:val="es-CR"/>
        </w:rPr>
        <w:t xml:space="preserve"> Robledo Alvarado.</w:t>
      </w:r>
    </w:p>
    <w:p w14:paraId="4C39039F" w14:textId="77777777" w:rsidR="00EE1E0E" w:rsidRDefault="00EE1E0E" w:rsidP="00E92CA8">
      <w:pPr>
        <w:rPr>
          <w:rFonts w:eastAsia="Verdana"/>
          <w:bCs/>
          <w:lang w:eastAsia="x-none"/>
        </w:rPr>
      </w:pPr>
    </w:p>
    <w:p w14:paraId="26E172E9" w14:textId="5084D914" w:rsidR="00C42183" w:rsidRDefault="00C42183" w:rsidP="00E92CA8">
      <w:pPr>
        <w:pStyle w:val="Ttulo1"/>
        <w:spacing w:before="0" w:after="0"/>
      </w:pPr>
      <w:bookmarkStart w:id="85" w:name="_Toc527466494"/>
      <w:r w:rsidRPr="0060216C">
        <w:lastRenderedPageBreak/>
        <w:t>VIIi</w:t>
      </w:r>
      <w:r w:rsidR="00531BE3">
        <w:t>-2</w:t>
      </w:r>
      <w:r w:rsidRPr="0060216C">
        <w:rPr>
          <w:lang w:val="x-none"/>
        </w:rPr>
        <w:br/>
      </w:r>
      <w:r w:rsidRPr="0060216C">
        <w:t>DERECHO A LAS GARANTÍAS JUDICIALES Y A LA PROTECCIÓN JUDICIAL EN RELACIÓN CON LAS OBLIGACIONES DE RESPETAR Y GARANTIZAR LOS DERECHOS (ARTÍCULOS 8</w:t>
      </w:r>
      <w:r w:rsidR="00A913B5" w:rsidRPr="001A563C">
        <w:rPr>
          <w:b w:val="0"/>
          <w:bCs w:val="0"/>
          <w:caps w:val="0"/>
          <w:kern w:val="32"/>
          <w:sz w:val="16"/>
          <w:szCs w:val="16"/>
          <w:vertAlign w:val="superscript"/>
          <w:lang w:val="x-none" w:eastAsia="x-none"/>
        </w:rPr>
        <w:footnoteReference w:id="195"/>
      </w:r>
      <w:r w:rsidRPr="0060216C">
        <w:t>, 25</w:t>
      </w:r>
      <w:r w:rsidR="00A913B5" w:rsidRPr="001A563C">
        <w:rPr>
          <w:b w:val="0"/>
          <w:bCs w:val="0"/>
          <w:caps w:val="0"/>
          <w:kern w:val="32"/>
          <w:sz w:val="16"/>
          <w:szCs w:val="16"/>
          <w:vertAlign w:val="superscript"/>
          <w:lang w:val="x-none" w:eastAsia="x-none"/>
        </w:rPr>
        <w:footnoteReference w:id="196"/>
      </w:r>
      <w:r w:rsidRPr="0060216C">
        <w:t xml:space="preserve"> Y 1.1</w:t>
      </w:r>
      <w:r w:rsidR="00A913B5" w:rsidRPr="001A563C">
        <w:rPr>
          <w:b w:val="0"/>
          <w:bCs w:val="0"/>
          <w:caps w:val="0"/>
          <w:kern w:val="32"/>
          <w:sz w:val="16"/>
          <w:szCs w:val="16"/>
          <w:vertAlign w:val="superscript"/>
          <w:lang w:val="x-none" w:eastAsia="x-none"/>
        </w:rPr>
        <w:footnoteReference w:id="197"/>
      </w:r>
      <w:r w:rsidRPr="0060216C">
        <w:t xml:space="preserve"> DE LA CONVENCIÓN AMERICANA)</w:t>
      </w:r>
      <w:bookmarkEnd w:id="85"/>
    </w:p>
    <w:p w14:paraId="110435F2" w14:textId="77777777" w:rsidR="008E387F" w:rsidRPr="008E387F" w:rsidRDefault="008E387F" w:rsidP="008E387F">
      <w:pPr>
        <w:rPr>
          <w:lang w:val="es-CR" w:eastAsia="es-ES"/>
        </w:rPr>
      </w:pPr>
    </w:p>
    <w:p w14:paraId="1579A25B" w14:textId="77777777" w:rsidR="00C42183" w:rsidRDefault="00C42183" w:rsidP="00E92CA8">
      <w:pPr>
        <w:pStyle w:val="Ttulo2"/>
        <w:numPr>
          <w:ilvl w:val="0"/>
          <w:numId w:val="33"/>
        </w:numPr>
        <w:spacing w:before="0" w:after="0"/>
        <w:rPr>
          <w:u w:color="000000"/>
        </w:rPr>
      </w:pPr>
      <w:bookmarkStart w:id="86" w:name="_Toc527466495"/>
      <w:r w:rsidRPr="00EE1E0E">
        <w:rPr>
          <w:u w:color="000000"/>
        </w:rPr>
        <w:t>Alegatos de la Comisión y de las partes</w:t>
      </w:r>
      <w:bookmarkEnd w:id="86"/>
    </w:p>
    <w:p w14:paraId="3B3FCFE2" w14:textId="77777777" w:rsidR="008E387F" w:rsidRPr="008E387F" w:rsidRDefault="008E387F" w:rsidP="008E387F">
      <w:pPr>
        <w:rPr>
          <w:lang w:val="es-CR"/>
        </w:rPr>
      </w:pPr>
    </w:p>
    <w:p w14:paraId="64FDD904" w14:textId="0896CD82" w:rsidR="00C42183" w:rsidRPr="008E387F" w:rsidRDefault="00C42183" w:rsidP="00E92CA8">
      <w:pPr>
        <w:pStyle w:val="Estilo1"/>
        <w:numPr>
          <w:ilvl w:val="0"/>
          <w:numId w:val="3"/>
        </w:numPr>
        <w:tabs>
          <w:tab w:val="left" w:pos="709"/>
          <w:tab w:val="left" w:pos="1134"/>
        </w:tabs>
        <w:spacing w:after="0"/>
        <w:ind w:left="0" w:right="-4" w:firstLine="0"/>
        <w:rPr>
          <w:rFonts w:cs="Arial"/>
          <w:i w:val="0"/>
          <w:color w:val="000000"/>
          <w:u w:color="000000"/>
          <w:lang w:val="es-CO"/>
        </w:rPr>
      </w:pPr>
      <w:r w:rsidRPr="0060216C">
        <w:rPr>
          <w:rFonts w:eastAsia="Cambria" w:cs="Cambria"/>
          <w:i w:val="0"/>
          <w:color w:val="000000"/>
          <w:u w:color="000000"/>
          <w:lang w:eastAsia="es-ES"/>
        </w:rPr>
        <w:t>L</w:t>
      </w:r>
      <w:r w:rsidRPr="0060216C">
        <w:rPr>
          <w:rFonts w:eastAsia="Cambria" w:cs="Cambria"/>
          <w:i w:val="0"/>
          <w:color w:val="000000"/>
          <w:spacing w:val="1"/>
          <w:u w:color="000000"/>
          <w:lang w:val="es-CO" w:eastAsia="es-ES"/>
        </w:rPr>
        <w:t xml:space="preserve">a </w:t>
      </w:r>
      <w:r w:rsidRPr="004D76E0">
        <w:rPr>
          <w:rFonts w:eastAsia="Cambria" w:cs="Cambria"/>
          <w:b/>
          <w:color w:val="000000"/>
          <w:spacing w:val="1"/>
          <w:u w:color="000000"/>
          <w:lang w:val="es-CO" w:eastAsia="es-ES"/>
        </w:rPr>
        <w:t>Comisión</w:t>
      </w:r>
      <w:r w:rsidRPr="0060216C">
        <w:rPr>
          <w:rFonts w:eastAsia="Cambria" w:cs="Cambria"/>
          <w:i w:val="0"/>
          <w:color w:val="000000"/>
          <w:spacing w:val="1"/>
          <w:u w:color="000000"/>
          <w:lang w:val="es-CO" w:eastAsia="es-ES"/>
        </w:rPr>
        <w:t xml:space="preserve"> sostuvo que el</w:t>
      </w:r>
      <w:r w:rsidRPr="0060216C">
        <w:rPr>
          <w:rFonts w:eastAsia="Cambria" w:cs="Cambria"/>
          <w:i w:val="0"/>
          <w:color w:val="000000"/>
          <w:spacing w:val="30"/>
          <w:u w:color="000000"/>
          <w:lang w:val="es-CO" w:eastAsia="es-ES"/>
        </w:rPr>
        <w:t xml:space="preserve"> </w:t>
      </w:r>
      <w:r w:rsidRPr="0060216C">
        <w:rPr>
          <w:rFonts w:eastAsia="Cambria" w:cs="Cambria"/>
          <w:i w:val="0"/>
          <w:color w:val="000000"/>
          <w:spacing w:val="-1"/>
          <w:u w:color="000000"/>
          <w:lang w:val="es-CO" w:eastAsia="es-ES"/>
        </w:rPr>
        <w:t>re</w:t>
      </w:r>
      <w:r w:rsidRPr="0060216C">
        <w:rPr>
          <w:rFonts w:eastAsia="Cambria" w:cs="Cambria"/>
          <w:i w:val="0"/>
          <w:color w:val="000000"/>
          <w:spacing w:val="1"/>
          <w:u w:color="000000"/>
          <w:lang w:val="es-CO" w:eastAsia="es-ES"/>
        </w:rPr>
        <w:t>sul</w:t>
      </w:r>
      <w:r w:rsidRPr="0060216C">
        <w:rPr>
          <w:rFonts w:eastAsia="Cambria" w:cs="Cambria"/>
          <w:i w:val="0"/>
          <w:color w:val="000000"/>
          <w:u w:color="000000"/>
          <w:lang w:val="es-CO" w:eastAsia="es-ES"/>
        </w:rPr>
        <w:t>t</w:t>
      </w:r>
      <w:r w:rsidRPr="0060216C">
        <w:rPr>
          <w:rFonts w:eastAsia="Cambria" w:cs="Cambria"/>
          <w:i w:val="0"/>
          <w:color w:val="000000"/>
          <w:spacing w:val="1"/>
          <w:u w:color="000000"/>
          <w:lang w:val="es-CO" w:eastAsia="es-ES"/>
        </w:rPr>
        <w:t>ad</w:t>
      </w:r>
      <w:r w:rsidRPr="0060216C">
        <w:rPr>
          <w:rFonts w:eastAsia="Cambria" w:cs="Cambria"/>
          <w:i w:val="0"/>
          <w:color w:val="000000"/>
          <w:u w:color="000000"/>
          <w:lang w:val="es-CO" w:eastAsia="es-ES"/>
        </w:rPr>
        <w:t>o</w:t>
      </w:r>
      <w:r w:rsidRPr="0060216C">
        <w:rPr>
          <w:rFonts w:eastAsia="Cambria" w:cs="Cambria"/>
          <w:i w:val="0"/>
          <w:color w:val="000000"/>
          <w:spacing w:val="20"/>
          <w:u w:color="000000"/>
          <w:lang w:val="es-CO" w:eastAsia="es-ES"/>
        </w:rPr>
        <w:t xml:space="preserve"> </w:t>
      </w:r>
      <w:r w:rsidRPr="0060216C">
        <w:rPr>
          <w:rFonts w:eastAsia="Cambria" w:cs="Cambria"/>
          <w:i w:val="0"/>
          <w:color w:val="000000"/>
          <w:spacing w:val="3"/>
          <w:u w:color="000000"/>
          <w:lang w:val="es-CO" w:eastAsia="es-ES"/>
        </w:rPr>
        <w:t xml:space="preserve">del recurso de amparo intentado ante la Corte </w:t>
      </w:r>
      <w:r w:rsidR="00AF0430">
        <w:rPr>
          <w:rFonts w:eastAsia="Cambria" w:cs="Cambria"/>
          <w:i w:val="0"/>
          <w:color w:val="000000"/>
          <w:spacing w:val="3"/>
          <w:u w:color="000000"/>
          <w:lang w:val="es-CO" w:eastAsia="es-ES"/>
        </w:rPr>
        <w:t>de Constitucionalidad</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f</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tó</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1"/>
          <w:u w:color="000000"/>
          <w:lang w:val="es-CO" w:eastAsia="es-ES"/>
        </w:rPr>
        <w:t>n</w:t>
      </w:r>
      <w:r w:rsidRPr="0060216C">
        <w:rPr>
          <w:rFonts w:eastAsia="Cambria" w:cs="Cambria"/>
          <w:i w:val="0"/>
          <w:color w:val="000000"/>
          <w:u w:color="000000"/>
          <w:lang w:val="es-CO" w:eastAsia="es-ES"/>
        </w:rPr>
        <w:t>o</w:t>
      </w:r>
      <w:r w:rsidRPr="0060216C">
        <w:rPr>
          <w:rFonts w:eastAsia="Cambria" w:cs="Cambria"/>
          <w:i w:val="0"/>
          <w:color w:val="000000"/>
          <w:spacing w:val="26"/>
          <w:u w:color="000000"/>
          <w:lang w:val="es-CO" w:eastAsia="es-ES"/>
        </w:rPr>
        <w:t xml:space="preserve"> </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ó</w:t>
      </w:r>
      <w:r w:rsidRPr="0060216C">
        <w:rPr>
          <w:rFonts w:eastAsia="Cambria" w:cs="Cambria"/>
          <w:i w:val="0"/>
          <w:color w:val="000000"/>
          <w:spacing w:val="1"/>
          <w:u w:color="000000"/>
          <w:lang w:val="es-CO" w:eastAsia="es-ES"/>
        </w:rPr>
        <w:t>l</w:t>
      </w:r>
      <w:r w:rsidRPr="0060216C">
        <w:rPr>
          <w:rFonts w:eastAsia="Cambria" w:cs="Cambria"/>
          <w:i w:val="0"/>
          <w:color w:val="000000"/>
          <w:u w:color="000000"/>
          <w:lang w:val="es-CO" w:eastAsia="es-ES"/>
        </w:rPr>
        <w:t>o</w:t>
      </w:r>
      <w:r w:rsidRPr="0060216C">
        <w:rPr>
          <w:rFonts w:eastAsia="Cambria" w:cs="Cambria"/>
          <w:i w:val="0"/>
          <w:color w:val="000000"/>
          <w:spacing w:val="24"/>
          <w:u w:color="000000"/>
          <w:lang w:val="es-CO" w:eastAsia="es-ES"/>
        </w:rPr>
        <w:t xml:space="preserve"> </w:t>
      </w:r>
      <w:r w:rsidRPr="0060216C">
        <w:rPr>
          <w:rFonts w:eastAsia="Cambria" w:cs="Cambria"/>
          <w:i w:val="0"/>
          <w:color w:val="000000"/>
          <w:u w:color="000000"/>
          <w:lang w:val="es-CO" w:eastAsia="es-ES"/>
        </w:rPr>
        <w:t>a</w:t>
      </w:r>
      <w:r w:rsidRPr="0060216C">
        <w:rPr>
          <w:rFonts w:eastAsia="Cambria" w:cs="Cambria"/>
          <w:i w:val="0"/>
          <w:color w:val="000000"/>
          <w:spacing w:val="28"/>
          <w:u w:color="000000"/>
          <w:lang w:val="es-CO" w:eastAsia="es-ES"/>
        </w:rPr>
        <w:t xml:space="preserve"> </w:t>
      </w:r>
      <w:r w:rsidRPr="0060216C">
        <w:rPr>
          <w:rFonts w:eastAsia="Cambria" w:cs="Cambria"/>
          <w:i w:val="0"/>
          <w:color w:val="000000"/>
          <w:spacing w:val="1"/>
          <w:u w:color="000000"/>
          <w:lang w:val="es-CO" w:eastAsia="es-ES"/>
        </w:rPr>
        <w:t>la</w:t>
      </w:r>
      <w:r w:rsidRPr="0060216C">
        <w:rPr>
          <w:rFonts w:eastAsia="Cambria" w:cs="Cambria"/>
          <w:i w:val="0"/>
          <w:color w:val="000000"/>
          <w:u w:color="000000"/>
          <w:lang w:val="es-CO" w:eastAsia="es-ES"/>
        </w:rPr>
        <w:t>s</w:t>
      </w:r>
      <w:r w:rsidRPr="0060216C">
        <w:rPr>
          <w:rFonts w:eastAsia="Cambria" w:cs="Cambria"/>
          <w:i w:val="0"/>
          <w:color w:val="000000"/>
          <w:spacing w:val="27"/>
          <w:u w:color="000000"/>
          <w:lang w:val="es-CO" w:eastAsia="es-ES"/>
        </w:rPr>
        <w:t xml:space="preserve"> </w:t>
      </w:r>
      <w:r w:rsidRPr="0060216C">
        <w:rPr>
          <w:rFonts w:eastAsia="Cambria" w:cs="Cambria"/>
          <w:i w:val="0"/>
          <w:color w:val="000000"/>
          <w:u w:color="000000"/>
          <w:lang w:val="es-CO" w:eastAsia="es-ES"/>
        </w:rPr>
        <w:t>t</w:t>
      </w:r>
      <w:r w:rsidRPr="0060216C">
        <w:rPr>
          <w:rFonts w:eastAsia="Cambria" w:cs="Cambria"/>
          <w:i w:val="0"/>
          <w:color w:val="000000"/>
          <w:spacing w:val="2"/>
          <w:u w:color="000000"/>
          <w:lang w:val="es-CO" w:eastAsia="es-ES"/>
        </w:rPr>
        <w:t>r</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 xml:space="preserve">e </w:t>
      </w:r>
      <w:r w:rsidRPr="0060216C">
        <w:rPr>
          <w:rFonts w:eastAsia="Cambria" w:cs="Cambria"/>
          <w:i w:val="0"/>
          <w:color w:val="000000"/>
          <w:spacing w:val="1"/>
          <w:u w:color="000000"/>
          <w:lang w:val="es-CO" w:eastAsia="es-ES"/>
        </w:rPr>
        <w:t>v</w:t>
      </w:r>
      <w:r w:rsidRPr="0060216C">
        <w:rPr>
          <w:rFonts w:eastAsia="Cambria" w:cs="Cambria"/>
          <w:i w:val="0"/>
          <w:color w:val="000000"/>
          <w:u w:color="000000"/>
          <w:lang w:val="es-CO" w:eastAsia="es-ES"/>
        </w:rPr>
        <w:t>í</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tim</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 xml:space="preserve">s </w:t>
      </w:r>
      <w:r w:rsidRPr="0060216C">
        <w:rPr>
          <w:rFonts w:eastAsia="Cambria" w:cs="Cambria"/>
          <w:i w:val="0"/>
          <w:color w:val="000000"/>
          <w:spacing w:val="-1"/>
          <w:u w:color="000000"/>
          <w:lang w:val="es-CO" w:eastAsia="es-ES"/>
        </w:rPr>
        <w:t>q</w:t>
      </w:r>
      <w:r w:rsidRPr="0060216C">
        <w:rPr>
          <w:rFonts w:eastAsia="Cambria" w:cs="Cambria"/>
          <w:i w:val="0"/>
          <w:color w:val="000000"/>
          <w:spacing w:val="3"/>
          <w:u w:color="000000"/>
          <w:lang w:val="es-CO" w:eastAsia="es-ES"/>
        </w:rPr>
        <w:t>u</w:t>
      </w:r>
      <w:r w:rsidRPr="0060216C">
        <w:rPr>
          <w:rFonts w:eastAsia="Cambria" w:cs="Cambria"/>
          <w:i w:val="0"/>
          <w:color w:val="000000"/>
          <w:u w:color="000000"/>
          <w:lang w:val="es-CO" w:eastAsia="es-ES"/>
        </w:rPr>
        <w:t>e</w:t>
      </w:r>
      <w:r w:rsidRPr="0060216C">
        <w:rPr>
          <w:rFonts w:eastAsia="Cambria" w:cs="Cambria"/>
          <w:i w:val="0"/>
          <w:color w:val="000000"/>
          <w:spacing w:val="2"/>
          <w:u w:color="000000"/>
          <w:lang w:val="es-CO" w:eastAsia="es-ES"/>
        </w:rPr>
        <w:t xml:space="preserve"> </w:t>
      </w:r>
      <w:r w:rsidRPr="0060216C">
        <w:rPr>
          <w:rFonts w:eastAsia="Cambria" w:cs="Cambria"/>
          <w:i w:val="0"/>
          <w:color w:val="000000"/>
          <w:spacing w:val="1"/>
          <w:u w:color="000000"/>
          <w:lang w:val="es-CO" w:eastAsia="es-ES"/>
        </w:rPr>
        <w:t>l</w:t>
      </w:r>
      <w:r w:rsidRPr="0060216C">
        <w:rPr>
          <w:rFonts w:eastAsia="Cambria" w:cs="Cambria"/>
          <w:i w:val="0"/>
          <w:color w:val="000000"/>
          <w:u w:color="000000"/>
          <w:lang w:val="es-CO" w:eastAsia="es-ES"/>
        </w:rPr>
        <w:t>o</w:t>
      </w:r>
      <w:r w:rsidRPr="0060216C">
        <w:rPr>
          <w:rFonts w:eastAsia="Cambria" w:cs="Cambria"/>
          <w:i w:val="0"/>
          <w:color w:val="000000"/>
          <w:spacing w:val="4"/>
          <w:u w:color="000000"/>
          <w:lang w:val="es-CO" w:eastAsia="es-ES"/>
        </w:rPr>
        <w:t xml:space="preserve"> </w:t>
      </w:r>
      <w:r w:rsidRPr="0060216C">
        <w:rPr>
          <w:rFonts w:eastAsia="Cambria" w:cs="Cambria"/>
          <w:i w:val="0"/>
          <w:color w:val="000000"/>
          <w:u w:color="000000"/>
          <w:lang w:val="es-CO" w:eastAsia="es-ES"/>
        </w:rPr>
        <w:t>f</w:t>
      </w:r>
      <w:r w:rsidRPr="0060216C">
        <w:rPr>
          <w:rFonts w:eastAsia="Cambria" w:cs="Cambria"/>
          <w:i w:val="0"/>
          <w:color w:val="000000"/>
          <w:spacing w:val="2"/>
          <w:u w:color="000000"/>
          <w:lang w:val="es-CO" w:eastAsia="es-ES"/>
        </w:rPr>
        <w:t>i</w:t>
      </w:r>
      <w:r w:rsidRPr="0060216C">
        <w:rPr>
          <w:rFonts w:eastAsia="Cambria" w:cs="Cambria"/>
          <w:i w:val="0"/>
          <w:color w:val="000000"/>
          <w:spacing w:val="-1"/>
          <w:u w:color="000000"/>
          <w:lang w:val="es-CO" w:eastAsia="es-ES"/>
        </w:rPr>
        <w:t>r</w:t>
      </w:r>
      <w:r w:rsidRPr="0060216C">
        <w:rPr>
          <w:rFonts w:eastAsia="Cambria" w:cs="Cambria"/>
          <w:i w:val="0"/>
          <w:color w:val="000000"/>
          <w:u w:color="000000"/>
          <w:lang w:val="es-CO" w:eastAsia="es-ES"/>
        </w:rPr>
        <w:t>m</w:t>
      </w:r>
      <w:r w:rsidRPr="0060216C">
        <w:rPr>
          <w:rFonts w:eastAsia="Cambria" w:cs="Cambria"/>
          <w:i w:val="0"/>
          <w:color w:val="000000"/>
          <w:spacing w:val="1"/>
          <w:u w:color="000000"/>
          <w:lang w:val="es-CO" w:eastAsia="es-ES"/>
        </w:rPr>
        <w:t>a</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on,</w:t>
      </w:r>
      <w:r w:rsidRPr="0060216C">
        <w:rPr>
          <w:rFonts w:eastAsia="Cambria" w:cs="Cambria"/>
          <w:i w:val="0"/>
          <w:color w:val="000000"/>
          <w:spacing w:val="-2"/>
          <w:u w:color="000000"/>
          <w:lang w:val="es-CO" w:eastAsia="es-ES"/>
        </w:rPr>
        <w:t xml:space="preserve"> </w:t>
      </w:r>
      <w:r w:rsidRPr="0060216C">
        <w:rPr>
          <w:rFonts w:eastAsia="Cambria" w:cs="Cambria"/>
          <w:i w:val="0"/>
          <w:color w:val="000000"/>
          <w:spacing w:val="1"/>
          <w:u w:color="000000"/>
          <w:lang w:val="es-CO" w:eastAsia="es-ES"/>
        </w:rPr>
        <w:t>s</w:t>
      </w:r>
      <w:r w:rsidRPr="0060216C">
        <w:rPr>
          <w:rFonts w:eastAsia="Cambria" w:cs="Cambria"/>
          <w:i w:val="0"/>
          <w:color w:val="000000"/>
          <w:spacing w:val="2"/>
          <w:u w:color="000000"/>
          <w:lang w:val="es-CO" w:eastAsia="es-ES"/>
        </w:rPr>
        <w:t>in</w:t>
      </w:r>
      <w:r w:rsidRPr="0060216C">
        <w:rPr>
          <w:rFonts w:eastAsia="Cambria" w:cs="Cambria"/>
          <w:i w:val="0"/>
          <w:color w:val="000000"/>
          <w:u w:color="000000"/>
          <w:lang w:val="es-CO" w:eastAsia="es-ES"/>
        </w:rPr>
        <w:t>o</w:t>
      </w:r>
      <w:r w:rsidRPr="0060216C">
        <w:rPr>
          <w:rFonts w:eastAsia="Cambria" w:cs="Cambria"/>
          <w:i w:val="0"/>
          <w:color w:val="000000"/>
          <w:spacing w:val="2"/>
          <w:u w:color="000000"/>
          <w:lang w:val="es-CO" w:eastAsia="es-ES"/>
        </w:rPr>
        <w:t xml:space="preserve"> </w:t>
      </w:r>
      <w:r w:rsidRPr="0060216C">
        <w:rPr>
          <w:rFonts w:eastAsia="Cambria" w:cs="Cambria"/>
          <w:i w:val="0"/>
          <w:color w:val="000000"/>
          <w:u w:color="000000"/>
          <w:lang w:val="es-CO" w:eastAsia="es-ES"/>
        </w:rPr>
        <w:t>a</w:t>
      </w:r>
      <w:r w:rsidRPr="0060216C">
        <w:rPr>
          <w:rFonts w:eastAsia="Cambria" w:cs="Cambria"/>
          <w:i w:val="0"/>
          <w:color w:val="000000"/>
          <w:spacing w:val="7"/>
          <w:u w:color="000000"/>
          <w:lang w:val="es-CO" w:eastAsia="es-ES"/>
        </w:rPr>
        <w:t xml:space="preserve"> </w:t>
      </w:r>
      <w:r w:rsidRPr="0060216C">
        <w:rPr>
          <w:rFonts w:eastAsia="Cambria" w:cs="Cambria"/>
          <w:i w:val="0"/>
          <w:color w:val="000000"/>
          <w:u w:color="000000"/>
          <w:lang w:val="es-CO" w:eastAsia="es-ES"/>
        </w:rPr>
        <w:t>tod</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s</w:t>
      </w:r>
      <w:r w:rsidRPr="0060216C">
        <w:rPr>
          <w:rFonts w:eastAsia="Cambria" w:cs="Cambria"/>
          <w:i w:val="0"/>
          <w:color w:val="000000"/>
          <w:spacing w:val="2"/>
          <w:u w:color="000000"/>
          <w:lang w:val="es-CO" w:eastAsia="es-ES"/>
        </w:rPr>
        <w:t xml:space="preserve"> </w:t>
      </w:r>
      <w:r w:rsidRPr="0060216C">
        <w:rPr>
          <w:rFonts w:eastAsia="Cambria" w:cs="Cambria"/>
          <w:i w:val="0"/>
          <w:color w:val="000000"/>
          <w:spacing w:val="1"/>
          <w:u w:color="000000"/>
          <w:lang w:val="es-CO" w:eastAsia="es-ES"/>
        </w:rPr>
        <w:t>la</w:t>
      </w:r>
      <w:r w:rsidRPr="0060216C">
        <w:rPr>
          <w:rFonts w:eastAsia="Cambria" w:cs="Cambria"/>
          <w:i w:val="0"/>
          <w:color w:val="000000"/>
          <w:u w:color="000000"/>
          <w:lang w:val="es-CO" w:eastAsia="es-ES"/>
        </w:rPr>
        <w:t>s</w:t>
      </w:r>
      <w:r w:rsidRPr="0060216C">
        <w:rPr>
          <w:rFonts w:eastAsia="Cambria" w:cs="Cambria"/>
          <w:i w:val="0"/>
          <w:color w:val="000000"/>
          <w:spacing w:val="5"/>
          <w:u w:color="000000"/>
          <w:lang w:val="es-CO" w:eastAsia="es-ES"/>
        </w:rPr>
        <w:t xml:space="preserve"> </w:t>
      </w:r>
      <w:r w:rsidRPr="0060216C">
        <w:rPr>
          <w:rFonts w:eastAsia="Cambria" w:cs="Cambria"/>
          <w:i w:val="0"/>
          <w:color w:val="000000"/>
          <w:spacing w:val="1"/>
          <w:u w:color="000000"/>
          <w:lang w:val="es-CO" w:eastAsia="es-ES"/>
        </w:rPr>
        <w:t>v</w:t>
      </w:r>
      <w:r w:rsidRPr="0060216C">
        <w:rPr>
          <w:rFonts w:eastAsia="Cambria" w:cs="Cambria"/>
          <w:i w:val="0"/>
          <w:color w:val="000000"/>
          <w:u w:color="000000"/>
          <w:lang w:val="es-CO" w:eastAsia="es-ES"/>
        </w:rPr>
        <w:t>í</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tim</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s</w:t>
      </w:r>
      <w:r w:rsidRPr="0060216C">
        <w:rPr>
          <w:rFonts w:eastAsia="Cambria" w:cs="Cambria"/>
          <w:i w:val="0"/>
          <w:color w:val="000000"/>
          <w:spacing w:val="1"/>
          <w:u w:color="000000"/>
          <w:lang w:val="es-CO" w:eastAsia="es-ES"/>
        </w:rPr>
        <w:t xml:space="preserve"> </w:t>
      </w:r>
      <w:r w:rsidRPr="0060216C">
        <w:rPr>
          <w:rFonts w:eastAsia="Cambria" w:cs="Cambria"/>
          <w:i w:val="0"/>
          <w:color w:val="000000"/>
          <w:spacing w:val="3"/>
          <w:u w:color="000000"/>
          <w:lang w:val="es-CO" w:eastAsia="es-ES"/>
        </w:rPr>
        <w:t>d</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l</w:t>
      </w:r>
      <w:r w:rsidRPr="0060216C">
        <w:rPr>
          <w:rFonts w:eastAsia="Cambria" w:cs="Cambria"/>
          <w:i w:val="0"/>
          <w:color w:val="000000"/>
          <w:spacing w:val="4"/>
          <w:u w:color="000000"/>
          <w:lang w:val="es-CO" w:eastAsia="es-ES"/>
        </w:rPr>
        <w:t xml:space="preserve"> </w:t>
      </w:r>
      <w:r w:rsidRPr="0060216C">
        <w:rPr>
          <w:rFonts w:eastAsia="Cambria" w:cs="Cambria"/>
          <w:i w:val="0"/>
          <w:color w:val="000000"/>
          <w:u w:color="000000"/>
          <w:lang w:val="es-CO" w:eastAsia="es-ES"/>
        </w:rPr>
        <w:t>p</w:t>
      </w:r>
      <w:r w:rsidRPr="0060216C">
        <w:rPr>
          <w:rFonts w:eastAsia="Cambria" w:cs="Cambria"/>
          <w:i w:val="0"/>
          <w:color w:val="000000"/>
          <w:spacing w:val="2"/>
          <w:u w:color="000000"/>
          <w:lang w:val="es-CO" w:eastAsia="es-ES"/>
        </w:rPr>
        <w:t>r</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se</w:t>
      </w:r>
      <w:r w:rsidRPr="0060216C">
        <w:rPr>
          <w:rFonts w:eastAsia="Cambria" w:cs="Cambria"/>
          <w:i w:val="0"/>
          <w:color w:val="000000"/>
          <w:spacing w:val="-1"/>
          <w:u w:color="000000"/>
          <w:lang w:val="es-CO" w:eastAsia="es-ES"/>
        </w:rPr>
        <w:t>n</w:t>
      </w:r>
      <w:r w:rsidRPr="0060216C">
        <w:rPr>
          <w:rFonts w:eastAsia="Cambria" w:cs="Cambria"/>
          <w:i w:val="0"/>
          <w:color w:val="000000"/>
          <w:u w:color="000000"/>
          <w:lang w:val="es-CO" w:eastAsia="es-ES"/>
        </w:rPr>
        <w:t xml:space="preserve">te </w:t>
      </w:r>
      <w:r w:rsidRPr="0060216C">
        <w:rPr>
          <w:rFonts w:eastAsia="Cambria" w:cs="Cambria"/>
          <w:i w:val="0"/>
          <w:color w:val="000000"/>
          <w:spacing w:val="1"/>
          <w:u w:color="000000"/>
          <w:lang w:val="es-CO" w:eastAsia="es-ES"/>
        </w:rPr>
        <w:t>cas</w:t>
      </w:r>
      <w:r w:rsidRPr="0060216C">
        <w:rPr>
          <w:rFonts w:eastAsia="Cambria" w:cs="Cambria"/>
          <w:i w:val="0"/>
          <w:color w:val="000000"/>
          <w:u w:color="000000"/>
          <w:lang w:val="es-CO" w:eastAsia="es-ES"/>
        </w:rPr>
        <w:t>o</w:t>
      </w:r>
      <w:r w:rsidRPr="00AF0430">
        <w:rPr>
          <w:rFonts w:eastAsia="Cambria" w:cs="Cambria"/>
          <w:i w:val="0"/>
          <w:color w:val="000000"/>
          <w:u w:color="000000"/>
          <w:lang w:val="es-CO" w:eastAsia="es-ES"/>
        </w:rPr>
        <w:t>.</w:t>
      </w:r>
      <w:r w:rsidRPr="0060216C">
        <w:rPr>
          <w:rFonts w:eastAsia="Cambria" w:cs="Cambria"/>
          <w:i w:val="0"/>
          <w:color w:val="000000"/>
          <w:u w:color="000000"/>
          <w:lang w:val="es-CO" w:eastAsia="es-ES"/>
        </w:rPr>
        <w:t xml:space="preserve"> Adicionalmente, </w:t>
      </w:r>
      <w:r w:rsidRPr="0060216C">
        <w:rPr>
          <w:rFonts w:eastAsia="Cambria" w:cs="Cambria"/>
          <w:i w:val="0"/>
          <w:color w:val="000000"/>
          <w:spacing w:val="2"/>
          <w:u w:color="000000"/>
          <w:lang w:eastAsia="es-ES"/>
        </w:rPr>
        <w:t>señaló que</w:t>
      </w:r>
      <w:r w:rsidRPr="0060216C">
        <w:rPr>
          <w:rFonts w:eastAsia="Cambria" w:cs="Cambria"/>
          <w:i w:val="0"/>
          <w:color w:val="000000"/>
          <w:u w:color="000000"/>
          <w:lang w:eastAsia="es-ES"/>
        </w:rPr>
        <w:t xml:space="preserve"> </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l</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1"/>
          <w:u w:color="000000"/>
          <w:lang w:val="es-CO" w:eastAsia="es-ES"/>
        </w:rPr>
        <w:t>Estado</w:t>
      </w:r>
      <w:r w:rsidRPr="0060216C">
        <w:rPr>
          <w:rFonts w:eastAsia="Cambria" w:cs="Cambria"/>
          <w:i w:val="0"/>
          <w:color w:val="000000"/>
          <w:u w:color="000000"/>
          <w:lang w:val="es-CO" w:eastAsia="es-ES"/>
        </w:rPr>
        <w:t xml:space="preserve"> Guatemalteco</w:t>
      </w:r>
      <w:r w:rsidRPr="0060216C">
        <w:rPr>
          <w:rFonts w:eastAsia="Cambria" w:cs="Cambria"/>
          <w:i w:val="0"/>
          <w:color w:val="000000"/>
          <w:spacing w:val="22"/>
          <w:u w:color="000000"/>
          <w:lang w:val="es-CO" w:eastAsia="es-ES"/>
        </w:rPr>
        <w:t xml:space="preserve"> </w:t>
      </w:r>
      <w:r w:rsidRPr="0060216C">
        <w:rPr>
          <w:rFonts w:eastAsia="Cambria" w:cs="Cambria"/>
          <w:i w:val="0"/>
          <w:color w:val="000000"/>
          <w:spacing w:val="2"/>
          <w:u w:color="000000"/>
          <w:lang w:val="es-CO" w:eastAsia="es-ES"/>
        </w:rPr>
        <w:t>n</w:t>
      </w:r>
      <w:r w:rsidRPr="0060216C">
        <w:rPr>
          <w:rFonts w:eastAsia="Cambria" w:cs="Cambria"/>
          <w:i w:val="0"/>
          <w:color w:val="000000"/>
          <w:u w:color="000000"/>
          <w:lang w:val="es-CO" w:eastAsia="es-ES"/>
        </w:rPr>
        <w:t>o</w:t>
      </w:r>
      <w:r w:rsidRPr="0060216C">
        <w:rPr>
          <w:rFonts w:eastAsia="Cambria" w:cs="Cambria"/>
          <w:i w:val="0"/>
          <w:color w:val="000000"/>
          <w:spacing w:val="24"/>
          <w:u w:color="000000"/>
          <w:lang w:val="es-CO" w:eastAsia="es-ES"/>
        </w:rPr>
        <w:t xml:space="preserve"> </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xp</w:t>
      </w:r>
      <w:r w:rsidRPr="0060216C">
        <w:rPr>
          <w:rFonts w:eastAsia="Cambria" w:cs="Cambria"/>
          <w:i w:val="0"/>
          <w:color w:val="000000"/>
          <w:spacing w:val="1"/>
          <w:u w:color="000000"/>
          <w:lang w:val="es-CO" w:eastAsia="es-ES"/>
        </w:rPr>
        <w:t>l</w:t>
      </w:r>
      <w:r w:rsidRPr="0060216C">
        <w:rPr>
          <w:rFonts w:eastAsia="Cambria" w:cs="Cambria"/>
          <w:i w:val="0"/>
          <w:color w:val="000000"/>
          <w:u w:color="000000"/>
          <w:lang w:val="es-CO" w:eastAsia="es-ES"/>
        </w:rPr>
        <w:t>i</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ó</w:t>
      </w:r>
      <w:r w:rsidRPr="0060216C">
        <w:rPr>
          <w:rFonts w:eastAsia="Cambria" w:cs="Cambria"/>
          <w:i w:val="0"/>
          <w:color w:val="000000"/>
          <w:spacing w:val="20"/>
          <w:u w:color="000000"/>
          <w:lang w:val="es-CO" w:eastAsia="es-ES"/>
        </w:rPr>
        <w:t xml:space="preserve"> </w:t>
      </w:r>
      <w:r w:rsidRPr="0060216C">
        <w:rPr>
          <w:rFonts w:eastAsia="Cambria" w:cs="Cambria"/>
          <w:i w:val="0"/>
          <w:color w:val="000000"/>
          <w:spacing w:val="1"/>
          <w:u w:color="000000"/>
          <w:lang w:val="es-CO" w:eastAsia="es-ES"/>
        </w:rPr>
        <w:t>l</w:t>
      </w:r>
      <w:r w:rsidRPr="0060216C">
        <w:rPr>
          <w:rFonts w:eastAsia="Cambria" w:cs="Cambria"/>
          <w:i w:val="0"/>
          <w:color w:val="000000"/>
          <w:u w:color="000000"/>
          <w:lang w:val="es-CO" w:eastAsia="es-ES"/>
        </w:rPr>
        <w:t>a</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3"/>
          <w:u w:color="000000"/>
          <w:lang w:val="es-CO" w:eastAsia="es-ES"/>
        </w:rPr>
        <w:t>d</w:t>
      </w:r>
      <w:r w:rsidRPr="0060216C">
        <w:rPr>
          <w:rFonts w:eastAsia="Cambria" w:cs="Cambria"/>
          <w:i w:val="0"/>
          <w:color w:val="000000"/>
          <w:spacing w:val="-1"/>
          <w:u w:color="000000"/>
          <w:lang w:val="es-CO" w:eastAsia="es-ES"/>
        </w:rPr>
        <w:t>e</w:t>
      </w:r>
      <w:r w:rsidRPr="0060216C">
        <w:rPr>
          <w:rFonts w:eastAsia="Cambria" w:cs="Cambria"/>
          <w:i w:val="0"/>
          <w:color w:val="000000"/>
          <w:spacing w:val="3"/>
          <w:u w:color="000000"/>
          <w:lang w:val="es-CO" w:eastAsia="es-ES"/>
        </w:rPr>
        <w:t>m</w:t>
      </w:r>
      <w:r w:rsidRPr="0060216C">
        <w:rPr>
          <w:rFonts w:eastAsia="Cambria" w:cs="Cambria"/>
          <w:i w:val="0"/>
          <w:color w:val="000000"/>
          <w:u w:color="000000"/>
          <w:lang w:val="es-CO" w:eastAsia="es-ES"/>
        </w:rPr>
        <w:t>ora</w:t>
      </w:r>
      <w:r w:rsidRPr="0060216C">
        <w:rPr>
          <w:rFonts w:eastAsia="Cambria" w:cs="Cambria"/>
          <w:i w:val="0"/>
          <w:color w:val="000000"/>
          <w:spacing w:val="22"/>
          <w:u w:color="000000"/>
          <w:lang w:val="es-CO" w:eastAsia="es-ES"/>
        </w:rPr>
        <w:t xml:space="preserve"> </w:t>
      </w:r>
      <w:r w:rsidRPr="0060216C">
        <w:rPr>
          <w:rFonts w:eastAsia="Cambria" w:cs="Cambria"/>
          <w:i w:val="0"/>
          <w:color w:val="000000"/>
          <w:u w:color="000000"/>
          <w:lang w:val="es-CO" w:eastAsia="es-ES"/>
        </w:rPr>
        <w:t>de</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1"/>
          <w:u w:color="000000"/>
          <w:lang w:val="es-CO" w:eastAsia="es-ES"/>
        </w:rPr>
        <w:t>s</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is</w:t>
      </w:r>
      <w:r w:rsidRPr="0060216C">
        <w:rPr>
          <w:rFonts w:eastAsia="Cambria" w:cs="Cambria"/>
          <w:i w:val="0"/>
          <w:color w:val="000000"/>
          <w:spacing w:val="26"/>
          <w:u w:color="000000"/>
          <w:lang w:val="es-CO" w:eastAsia="es-ES"/>
        </w:rPr>
        <w:t xml:space="preserve"> </w:t>
      </w:r>
      <w:r w:rsidRPr="0060216C">
        <w:rPr>
          <w:rFonts w:eastAsia="Cambria" w:cs="Cambria"/>
          <w:i w:val="0"/>
          <w:color w:val="000000"/>
          <w:spacing w:val="3"/>
          <w:u w:color="000000"/>
          <w:lang w:val="es-CO" w:eastAsia="es-ES"/>
        </w:rPr>
        <w:t>m</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s</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s</w:t>
      </w:r>
      <w:r w:rsidRPr="0060216C">
        <w:rPr>
          <w:rFonts w:eastAsia="Cambria" w:cs="Cambria"/>
          <w:i w:val="0"/>
          <w:color w:val="000000"/>
          <w:spacing w:val="24"/>
          <w:u w:color="000000"/>
          <w:lang w:val="es-CO" w:eastAsia="es-ES"/>
        </w:rPr>
        <w:t xml:space="preserve"> </w:t>
      </w:r>
      <w:r w:rsidRPr="0060216C">
        <w:rPr>
          <w:rFonts w:eastAsia="Cambria" w:cs="Cambria"/>
          <w:i w:val="0"/>
          <w:color w:val="000000"/>
          <w:u w:color="000000"/>
          <w:lang w:val="es-CO" w:eastAsia="es-ES"/>
        </w:rPr>
        <w:t>p</w:t>
      </w:r>
      <w:r w:rsidRPr="0060216C">
        <w:rPr>
          <w:rFonts w:eastAsia="Cambria" w:cs="Cambria"/>
          <w:i w:val="0"/>
          <w:color w:val="000000"/>
          <w:spacing w:val="1"/>
          <w:u w:color="000000"/>
          <w:lang w:val="es-CO" w:eastAsia="es-ES"/>
        </w:rPr>
        <w:t>a</w:t>
      </w:r>
      <w:r w:rsidRPr="0060216C">
        <w:rPr>
          <w:rFonts w:eastAsia="Cambria" w:cs="Cambria"/>
          <w:i w:val="0"/>
          <w:color w:val="000000"/>
          <w:spacing w:val="-1"/>
          <w:u w:color="000000"/>
          <w:lang w:val="es-CO" w:eastAsia="es-ES"/>
        </w:rPr>
        <w:t>r</w:t>
      </w:r>
      <w:r w:rsidRPr="0060216C">
        <w:rPr>
          <w:rFonts w:eastAsia="Cambria" w:cs="Cambria"/>
          <w:i w:val="0"/>
          <w:color w:val="000000"/>
          <w:u w:color="000000"/>
          <w:lang w:val="es-CO" w:eastAsia="es-ES"/>
        </w:rPr>
        <w:t>a</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1"/>
          <w:u w:color="000000"/>
          <w:lang w:val="es-CO" w:eastAsia="es-ES"/>
        </w:rPr>
        <w:t>re</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o</w:t>
      </w:r>
      <w:r w:rsidRPr="0060216C">
        <w:rPr>
          <w:rFonts w:eastAsia="Cambria" w:cs="Cambria"/>
          <w:i w:val="0"/>
          <w:color w:val="000000"/>
          <w:spacing w:val="1"/>
          <w:u w:color="000000"/>
          <w:lang w:val="es-CO" w:eastAsia="es-ES"/>
        </w:rPr>
        <w:t>l</w:t>
      </w:r>
      <w:r w:rsidRPr="0060216C">
        <w:rPr>
          <w:rFonts w:eastAsia="Cambria" w:cs="Cambria"/>
          <w:i w:val="0"/>
          <w:color w:val="000000"/>
          <w:spacing w:val="3"/>
          <w:u w:color="000000"/>
          <w:lang w:val="es-CO" w:eastAsia="es-ES"/>
        </w:rPr>
        <w:t>v</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r</w:t>
      </w:r>
      <w:r w:rsidRPr="0060216C">
        <w:rPr>
          <w:rFonts w:eastAsia="Cambria" w:cs="Cambria"/>
          <w:i w:val="0"/>
          <w:color w:val="000000"/>
          <w:spacing w:val="20"/>
          <w:u w:color="000000"/>
          <w:lang w:val="es-CO" w:eastAsia="es-ES"/>
        </w:rPr>
        <w:t xml:space="preserve"> </w:t>
      </w:r>
      <w:r w:rsidRPr="0060216C">
        <w:rPr>
          <w:rFonts w:eastAsia="Cambria" w:cs="Cambria"/>
          <w:i w:val="0"/>
          <w:color w:val="000000"/>
          <w:spacing w:val="1"/>
          <w:u w:color="000000"/>
          <w:lang w:val="es-CO" w:eastAsia="es-ES"/>
        </w:rPr>
        <w:t>u</w:t>
      </w:r>
      <w:r w:rsidRPr="0060216C">
        <w:rPr>
          <w:rFonts w:eastAsia="Cambria" w:cs="Cambria"/>
          <w:i w:val="0"/>
          <w:color w:val="000000"/>
          <w:u w:color="000000"/>
          <w:lang w:val="es-CO" w:eastAsia="es-ES"/>
        </w:rPr>
        <w:t>n</w:t>
      </w:r>
      <w:r w:rsidRPr="0060216C">
        <w:rPr>
          <w:rFonts w:eastAsia="Cambria" w:cs="Cambria"/>
          <w:i w:val="0"/>
          <w:color w:val="000000"/>
          <w:spacing w:val="25"/>
          <w:u w:color="000000"/>
          <w:lang w:val="es-CO" w:eastAsia="es-ES"/>
        </w:rPr>
        <w:t xml:space="preserve"> </w:t>
      </w:r>
      <w:r w:rsidRPr="0060216C">
        <w:rPr>
          <w:rFonts w:eastAsia="Cambria" w:cs="Cambria"/>
          <w:i w:val="0"/>
          <w:color w:val="000000"/>
          <w:spacing w:val="2"/>
          <w:u w:color="000000"/>
          <w:lang w:val="es-CO" w:eastAsia="es-ES"/>
        </w:rPr>
        <w:t>r</w:t>
      </w:r>
      <w:r w:rsidRPr="0060216C">
        <w:rPr>
          <w:rFonts w:eastAsia="Cambria" w:cs="Cambria"/>
          <w:i w:val="0"/>
          <w:color w:val="000000"/>
          <w:spacing w:val="1"/>
          <w:u w:color="000000"/>
          <w:lang w:val="es-CO" w:eastAsia="es-ES"/>
        </w:rPr>
        <w:t>ecu</w:t>
      </w:r>
      <w:r w:rsidRPr="0060216C">
        <w:rPr>
          <w:rFonts w:eastAsia="Cambria" w:cs="Cambria"/>
          <w:i w:val="0"/>
          <w:color w:val="000000"/>
          <w:spacing w:val="-1"/>
          <w:u w:color="000000"/>
          <w:lang w:val="es-CO" w:eastAsia="es-ES"/>
        </w:rPr>
        <w:t>r</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o</w:t>
      </w:r>
      <w:r w:rsidRPr="0060216C">
        <w:rPr>
          <w:rFonts w:eastAsia="Cambria" w:cs="Cambria"/>
          <w:i w:val="0"/>
          <w:color w:val="000000"/>
          <w:spacing w:val="19"/>
          <w:u w:color="000000"/>
          <w:lang w:val="es-CO" w:eastAsia="es-ES"/>
        </w:rPr>
        <w:t xml:space="preserve"> </w:t>
      </w:r>
      <w:r w:rsidRPr="0060216C">
        <w:rPr>
          <w:rFonts w:eastAsia="Cambria" w:cs="Cambria"/>
          <w:i w:val="0"/>
          <w:color w:val="000000"/>
          <w:spacing w:val="-1"/>
          <w:u w:color="000000"/>
          <w:lang w:val="es-CO" w:eastAsia="es-ES"/>
        </w:rPr>
        <w:t>q</w:t>
      </w:r>
      <w:r w:rsidRPr="0060216C">
        <w:rPr>
          <w:rFonts w:eastAsia="Cambria" w:cs="Cambria"/>
          <w:i w:val="0"/>
          <w:color w:val="000000"/>
          <w:spacing w:val="3"/>
          <w:u w:color="000000"/>
          <w:lang w:val="es-CO" w:eastAsia="es-ES"/>
        </w:rPr>
        <w:t>u</w:t>
      </w:r>
      <w:r w:rsidRPr="0060216C">
        <w:rPr>
          <w:rFonts w:eastAsia="Cambria" w:cs="Cambria"/>
          <w:i w:val="0"/>
          <w:color w:val="000000"/>
          <w:u w:color="000000"/>
          <w:lang w:val="es-CO" w:eastAsia="es-ES"/>
        </w:rPr>
        <w:t>e</w:t>
      </w:r>
      <w:r w:rsidRPr="0060216C">
        <w:rPr>
          <w:rFonts w:eastAsia="Cambria" w:cs="Cambria"/>
          <w:i w:val="0"/>
          <w:color w:val="000000"/>
          <w:spacing w:val="24"/>
          <w:u w:color="000000"/>
          <w:lang w:val="es-CO" w:eastAsia="es-ES"/>
        </w:rPr>
        <w:t xml:space="preserve"> </w:t>
      </w:r>
      <w:r w:rsidRPr="0060216C">
        <w:rPr>
          <w:rFonts w:eastAsia="Cambria" w:cs="Cambria"/>
          <w:i w:val="0"/>
          <w:color w:val="000000"/>
          <w:u w:color="000000"/>
          <w:lang w:val="es-CO" w:eastAsia="es-ES"/>
        </w:rPr>
        <w:t>p</w:t>
      </w:r>
      <w:r w:rsidRPr="0060216C">
        <w:rPr>
          <w:rFonts w:eastAsia="Cambria" w:cs="Cambria"/>
          <w:i w:val="0"/>
          <w:color w:val="000000"/>
          <w:spacing w:val="2"/>
          <w:u w:color="000000"/>
          <w:lang w:val="es-CO" w:eastAsia="es-ES"/>
        </w:rPr>
        <w:t>o</w:t>
      </w:r>
      <w:r w:rsidRPr="0060216C">
        <w:rPr>
          <w:rFonts w:eastAsia="Cambria" w:cs="Cambria"/>
          <w:i w:val="0"/>
          <w:color w:val="000000"/>
          <w:u w:color="000000"/>
          <w:lang w:val="es-CO" w:eastAsia="es-ES"/>
        </w:rPr>
        <w:t>r</w:t>
      </w:r>
      <w:r w:rsidRPr="0060216C">
        <w:rPr>
          <w:rFonts w:eastAsia="Cambria" w:cs="Cambria"/>
          <w:i w:val="0"/>
          <w:color w:val="000000"/>
          <w:spacing w:val="22"/>
          <w:u w:color="000000"/>
          <w:lang w:val="es-CO" w:eastAsia="es-ES"/>
        </w:rPr>
        <w:t xml:space="preserve"> </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u</w:t>
      </w:r>
      <w:r w:rsidRPr="0060216C">
        <w:rPr>
          <w:rFonts w:eastAsia="Cambria" w:cs="Cambria"/>
          <w:i w:val="0"/>
          <w:color w:val="000000"/>
          <w:spacing w:val="27"/>
          <w:u w:color="000000"/>
          <w:lang w:val="es-CO" w:eastAsia="es-ES"/>
        </w:rPr>
        <w:t xml:space="preserve"> </w:t>
      </w:r>
      <w:r w:rsidRPr="0060216C">
        <w:rPr>
          <w:rFonts w:eastAsia="Cambria" w:cs="Cambria"/>
          <w:i w:val="0"/>
          <w:color w:val="000000"/>
          <w:u w:color="000000"/>
          <w:lang w:val="es-CO" w:eastAsia="es-ES"/>
        </w:rPr>
        <w:t>p</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op</w:t>
      </w:r>
      <w:r w:rsidRPr="0060216C">
        <w:rPr>
          <w:rFonts w:eastAsia="Cambria" w:cs="Cambria"/>
          <w:i w:val="0"/>
          <w:color w:val="000000"/>
          <w:spacing w:val="-1"/>
          <w:u w:color="000000"/>
          <w:lang w:val="es-CO" w:eastAsia="es-ES"/>
        </w:rPr>
        <w:t>i</w:t>
      </w:r>
      <w:r w:rsidRPr="0060216C">
        <w:rPr>
          <w:rFonts w:eastAsia="Cambria" w:cs="Cambria"/>
          <w:i w:val="0"/>
          <w:color w:val="000000"/>
          <w:u w:color="000000"/>
          <w:lang w:val="es-CO" w:eastAsia="es-ES"/>
        </w:rPr>
        <w:t xml:space="preserve">a </w:t>
      </w:r>
      <w:r w:rsidRPr="0060216C">
        <w:rPr>
          <w:rFonts w:eastAsia="Cambria" w:cs="Cambria"/>
          <w:i w:val="0"/>
          <w:color w:val="000000"/>
          <w:spacing w:val="-1"/>
          <w:u w:color="000000"/>
          <w:lang w:val="es-CO" w:eastAsia="es-ES"/>
        </w:rPr>
        <w:t>n</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tu</w:t>
      </w:r>
      <w:r w:rsidRPr="0060216C">
        <w:rPr>
          <w:rFonts w:eastAsia="Cambria" w:cs="Cambria"/>
          <w:i w:val="0"/>
          <w:color w:val="000000"/>
          <w:spacing w:val="-1"/>
          <w:u w:color="000000"/>
          <w:lang w:val="es-CO" w:eastAsia="es-ES"/>
        </w:rPr>
        <w:t>r</w:t>
      </w:r>
      <w:r w:rsidRPr="0060216C">
        <w:rPr>
          <w:rFonts w:eastAsia="Cambria" w:cs="Cambria"/>
          <w:i w:val="0"/>
          <w:color w:val="000000"/>
          <w:spacing w:val="1"/>
          <w:u w:color="000000"/>
          <w:lang w:val="es-CO" w:eastAsia="es-ES"/>
        </w:rPr>
        <w:t>al</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z</w:t>
      </w:r>
      <w:r w:rsidRPr="0060216C">
        <w:rPr>
          <w:rFonts w:eastAsia="Cambria" w:cs="Cambria"/>
          <w:i w:val="0"/>
          <w:color w:val="000000"/>
          <w:u w:color="000000"/>
          <w:lang w:val="es-CO" w:eastAsia="es-ES"/>
        </w:rPr>
        <w:t xml:space="preserve">a </w:t>
      </w:r>
      <w:r w:rsidRPr="0060216C">
        <w:rPr>
          <w:rFonts w:eastAsia="Cambria" w:cs="Cambria"/>
          <w:i w:val="0"/>
          <w:color w:val="000000"/>
          <w:spacing w:val="3"/>
          <w:u w:color="000000"/>
          <w:lang w:val="es-CO" w:eastAsia="es-ES"/>
        </w:rPr>
        <w:t>d</w:t>
      </w:r>
      <w:r w:rsidRPr="0060216C">
        <w:rPr>
          <w:rFonts w:eastAsia="Cambria" w:cs="Cambria"/>
          <w:i w:val="0"/>
          <w:color w:val="000000"/>
          <w:spacing w:val="-1"/>
          <w:u w:color="000000"/>
          <w:lang w:val="es-CO" w:eastAsia="es-ES"/>
        </w:rPr>
        <w:t>e</w:t>
      </w:r>
      <w:r w:rsidRPr="0060216C">
        <w:rPr>
          <w:rFonts w:eastAsia="Cambria" w:cs="Cambria"/>
          <w:i w:val="0"/>
          <w:color w:val="000000"/>
          <w:spacing w:val="2"/>
          <w:u w:color="000000"/>
          <w:lang w:val="es-CO" w:eastAsia="es-ES"/>
        </w:rPr>
        <w:t>b</w:t>
      </w:r>
      <w:r w:rsidRPr="0060216C">
        <w:rPr>
          <w:rFonts w:eastAsia="Cambria" w:cs="Cambria"/>
          <w:i w:val="0"/>
          <w:color w:val="000000"/>
          <w:u w:color="000000"/>
          <w:lang w:val="es-CO" w:eastAsia="es-ES"/>
        </w:rPr>
        <w:t>ía</w:t>
      </w:r>
      <w:r w:rsidRPr="0060216C">
        <w:rPr>
          <w:rFonts w:eastAsia="Cambria" w:cs="Cambria"/>
          <w:i w:val="0"/>
          <w:color w:val="000000"/>
          <w:spacing w:val="5"/>
          <w:u w:color="000000"/>
          <w:lang w:val="es-CO" w:eastAsia="es-ES"/>
        </w:rPr>
        <w:t xml:space="preserve"> </w:t>
      </w:r>
      <w:r w:rsidRPr="0060216C">
        <w:rPr>
          <w:rFonts w:eastAsia="Cambria" w:cs="Cambria"/>
          <w:i w:val="0"/>
          <w:color w:val="000000"/>
          <w:spacing w:val="1"/>
          <w:u w:color="000000"/>
          <w:lang w:val="es-CO" w:eastAsia="es-ES"/>
        </w:rPr>
        <w:t>se</w:t>
      </w:r>
      <w:r w:rsidRPr="0060216C">
        <w:rPr>
          <w:rFonts w:eastAsia="Cambria" w:cs="Cambria"/>
          <w:i w:val="0"/>
          <w:color w:val="000000"/>
          <w:u w:color="000000"/>
          <w:lang w:val="es-CO" w:eastAsia="es-ES"/>
        </w:rPr>
        <w:t>r</w:t>
      </w:r>
      <w:r w:rsidRPr="0060216C">
        <w:rPr>
          <w:rFonts w:eastAsia="Cambria" w:cs="Cambria"/>
          <w:i w:val="0"/>
          <w:color w:val="000000"/>
          <w:spacing w:val="7"/>
          <w:u w:color="000000"/>
          <w:lang w:val="es-CO" w:eastAsia="es-ES"/>
        </w:rPr>
        <w:t xml:space="preserve"> </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x</w:t>
      </w:r>
      <w:r w:rsidRPr="0060216C">
        <w:rPr>
          <w:rFonts w:eastAsia="Cambria" w:cs="Cambria"/>
          <w:i w:val="0"/>
          <w:color w:val="000000"/>
          <w:spacing w:val="2"/>
          <w:u w:color="000000"/>
          <w:lang w:val="es-CO" w:eastAsia="es-ES"/>
        </w:rPr>
        <w:t>p</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d</w:t>
      </w:r>
      <w:r w:rsidRPr="0060216C">
        <w:rPr>
          <w:rFonts w:eastAsia="Cambria" w:cs="Cambria"/>
          <w:i w:val="0"/>
          <w:color w:val="000000"/>
          <w:spacing w:val="2"/>
          <w:u w:color="000000"/>
          <w:lang w:val="es-CO" w:eastAsia="es-ES"/>
        </w:rPr>
        <w:t>i</w:t>
      </w:r>
      <w:r w:rsidRPr="0060216C">
        <w:rPr>
          <w:rFonts w:eastAsia="Cambria" w:cs="Cambria"/>
          <w:i w:val="0"/>
          <w:color w:val="000000"/>
          <w:u w:color="000000"/>
          <w:lang w:val="es-CO" w:eastAsia="es-ES"/>
        </w:rPr>
        <w:t>to y en su decisión omit</w:t>
      </w:r>
      <w:r w:rsidRPr="0060216C">
        <w:rPr>
          <w:rFonts w:eastAsia="Cambria" w:cs="Cambria"/>
          <w:i w:val="0"/>
          <w:color w:val="000000"/>
          <w:spacing w:val="2"/>
          <w:u w:color="000000"/>
          <w:lang w:val="es-CO" w:eastAsia="es-ES"/>
        </w:rPr>
        <w:t>i</w:t>
      </w:r>
      <w:r w:rsidRPr="0060216C">
        <w:rPr>
          <w:rFonts w:eastAsia="Cambria" w:cs="Cambria"/>
          <w:i w:val="0"/>
          <w:color w:val="000000"/>
          <w:u w:color="000000"/>
          <w:lang w:val="es-CO" w:eastAsia="es-ES"/>
        </w:rPr>
        <w:t>ó</w:t>
      </w:r>
      <w:r w:rsidRPr="0060216C">
        <w:rPr>
          <w:rFonts w:eastAsia="Cambria" w:cs="Cambria"/>
          <w:i w:val="0"/>
          <w:color w:val="000000"/>
          <w:spacing w:val="-7"/>
          <w:u w:color="000000"/>
          <w:lang w:val="es-CO" w:eastAsia="es-ES"/>
        </w:rPr>
        <w:t xml:space="preserve"> </w:t>
      </w:r>
      <w:r w:rsidRPr="0060216C">
        <w:rPr>
          <w:rFonts w:eastAsia="Cambria" w:cs="Cambria"/>
          <w:i w:val="0"/>
          <w:color w:val="000000"/>
          <w:u w:color="000000"/>
          <w:lang w:val="es-CO" w:eastAsia="es-ES"/>
        </w:rPr>
        <w:t>p</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o</w:t>
      </w:r>
      <w:r w:rsidRPr="0060216C">
        <w:rPr>
          <w:rFonts w:eastAsia="Cambria" w:cs="Cambria"/>
          <w:i w:val="0"/>
          <w:color w:val="000000"/>
          <w:spacing w:val="-1"/>
          <w:u w:color="000000"/>
          <w:lang w:val="es-CO" w:eastAsia="es-ES"/>
        </w:rPr>
        <w:t>n</w:t>
      </w:r>
      <w:r w:rsidRPr="0060216C">
        <w:rPr>
          <w:rFonts w:eastAsia="Cambria" w:cs="Cambria"/>
          <w:i w:val="0"/>
          <w:color w:val="000000"/>
          <w:spacing w:val="3"/>
          <w:u w:color="000000"/>
          <w:lang w:val="es-CO" w:eastAsia="es-ES"/>
        </w:rPr>
        <w:t>u</w:t>
      </w:r>
      <w:r w:rsidRPr="0060216C">
        <w:rPr>
          <w:rFonts w:eastAsia="Cambria" w:cs="Cambria"/>
          <w:i w:val="0"/>
          <w:color w:val="000000"/>
          <w:spacing w:val="-1"/>
          <w:u w:color="000000"/>
          <w:lang w:val="es-CO" w:eastAsia="es-ES"/>
        </w:rPr>
        <w:t>n</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i</w:t>
      </w:r>
      <w:r w:rsidRPr="0060216C">
        <w:rPr>
          <w:rFonts w:eastAsia="Cambria" w:cs="Cambria"/>
          <w:i w:val="0"/>
          <w:color w:val="000000"/>
          <w:spacing w:val="1"/>
          <w:u w:color="000000"/>
          <w:lang w:val="es-CO" w:eastAsia="es-ES"/>
        </w:rPr>
        <w:t>a</w:t>
      </w:r>
      <w:r w:rsidRPr="0060216C">
        <w:rPr>
          <w:rFonts w:eastAsia="Cambria" w:cs="Cambria"/>
          <w:i w:val="0"/>
          <w:color w:val="000000"/>
          <w:spacing w:val="-1"/>
          <w:u w:color="000000"/>
          <w:lang w:val="es-CO" w:eastAsia="es-ES"/>
        </w:rPr>
        <w:t>r</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e</w:t>
      </w:r>
      <w:r w:rsidRPr="0060216C">
        <w:rPr>
          <w:rFonts w:eastAsia="Cambria" w:cs="Cambria"/>
          <w:i w:val="0"/>
          <w:color w:val="000000"/>
          <w:spacing w:val="-10"/>
          <w:u w:color="000000"/>
          <w:lang w:val="es-CO" w:eastAsia="es-ES"/>
        </w:rPr>
        <w:t xml:space="preserve"> </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o</w:t>
      </w:r>
      <w:r w:rsidRPr="0060216C">
        <w:rPr>
          <w:rFonts w:eastAsia="Cambria" w:cs="Cambria"/>
          <w:i w:val="0"/>
          <w:color w:val="000000"/>
          <w:spacing w:val="2"/>
          <w:u w:color="000000"/>
          <w:lang w:val="es-CO" w:eastAsia="es-ES"/>
        </w:rPr>
        <w:t>br</w:t>
      </w:r>
      <w:r w:rsidRPr="0060216C">
        <w:rPr>
          <w:rFonts w:eastAsia="Cambria" w:cs="Cambria"/>
          <w:i w:val="0"/>
          <w:color w:val="000000"/>
          <w:u w:color="000000"/>
          <w:lang w:val="es-CO" w:eastAsia="es-ES"/>
        </w:rPr>
        <w:t>e</w:t>
      </w:r>
      <w:r w:rsidRPr="0060216C">
        <w:rPr>
          <w:rFonts w:eastAsia="Cambria" w:cs="Cambria"/>
          <w:i w:val="0"/>
          <w:color w:val="000000"/>
          <w:spacing w:val="-4"/>
          <w:u w:color="000000"/>
          <w:lang w:val="es-CO" w:eastAsia="es-ES"/>
        </w:rPr>
        <w:t xml:space="preserve"> </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l</w:t>
      </w:r>
      <w:r w:rsidRPr="0060216C">
        <w:rPr>
          <w:rFonts w:eastAsia="Cambria" w:cs="Cambria"/>
          <w:i w:val="0"/>
          <w:color w:val="000000"/>
          <w:spacing w:val="-2"/>
          <w:u w:color="000000"/>
          <w:lang w:val="es-CO" w:eastAsia="es-ES"/>
        </w:rPr>
        <w:t xml:space="preserve"> </w:t>
      </w:r>
      <w:r w:rsidRPr="0060216C">
        <w:rPr>
          <w:rFonts w:eastAsia="Cambria" w:cs="Cambria"/>
          <w:i w:val="0"/>
          <w:color w:val="000000"/>
          <w:u w:color="000000"/>
          <w:lang w:val="es-CO" w:eastAsia="es-ES"/>
        </w:rPr>
        <w:t>f</w:t>
      </w:r>
      <w:r w:rsidRPr="0060216C">
        <w:rPr>
          <w:rFonts w:eastAsia="Cambria" w:cs="Cambria"/>
          <w:i w:val="0"/>
          <w:color w:val="000000"/>
          <w:spacing w:val="2"/>
          <w:u w:color="000000"/>
          <w:lang w:val="es-CO" w:eastAsia="es-ES"/>
        </w:rPr>
        <w:t>o</w:t>
      </w:r>
      <w:r w:rsidRPr="0060216C">
        <w:rPr>
          <w:rFonts w:eastAsia="Cambria" w:cs="Cambria"/>
          <w:i w:val="0"/>
          <w:color w:val="000000"/>
          <w:spacing w:val="-1"/>
          <w:u w:color="000000"/>
          <w:lang w:val="es-CO" w:eastAsia="es-ES"/>
        </w:rPr>
        <w:t>n</w:t>
      </w:r>
      <w:r w:rsidRPr="0060216C">
        <w:rPr>
          <w:rFonts w:eastAsia="Cambria" w:cs="Cambria"/>
          <w:i w:val="0"/>
          <w:color w:val="000000"/>
          <w:spacing w:val="3"/>
          <w:u w:color="000000"/>
          <w:lang w:val="es-CO" w:eastAsia="es-ES"/>
        </w:rPr>
        <w:t>d</w:t>
      </w:r>
      <w:r w:rsidRPr="0060216C">
        <w:rPr>
          <w:rFonts w:eastAsia="Cambria" w:cs="Cambria"/>
          <w:i w:val="0"/>
          <w:color w:val="000000"/>
          <w:u w:color="000000"/>
          <w:lang w:val="es-CO" w:eastAsia="es-ES"/>
        </w:rPr>
        <w:t>o</w:t>
      </w:r>
      <w:r w:rsidRPr="0060216C">
        <w:rPr>
          <w:rFonts w:eastAsia="Cambria" w:cs="Cambria"/>
          <w:i w:val="0"/>
          <w:color w:val="000000"/>
          <w:spacing w:val="-6"/>
          <w:u w:color="000000"/>
          <w:lang w:val="es-CO" w:eastAsia="es-ES"/>
        </w:rPr>
        <w:t xml:space="preserve"> </w:t>
      </w:r>
      <w:r w:rsidRPr="0060216C">
        <w:rPr>
          <w:rFonts w:eastAsia="Cambria" w:cs="Cambria"/>
          <w:i w:val="0"/>
          <w:color w:val="000000"/>
          <w:spacing w:val="3"/>
          <w:u w:color="000000"/>
          <w:lang w:val="es-CO" w:eastAsia="es-ES"/>
        </w:rPr>
        <w:t>d</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l</w:t>
      </w:r>
      <w:r w:rsidRPr="0060216C">
        <w:rPr>
          <w:rFonts w:eastAsia="Cambria" w:cs="Cambria"/>
          <w:i w:val="0"/>
          <w:color w:val="000000"/>
          <w:spacing w:val="-3"/>
          <w:u w:color="000000"/>
          <w:lang w:val="es-CO" w:eastAsia="es-ES"/>
        </w:rPr>
        <w:t xml:space="preserve"> </w:t>
      </w:r>
      <w:r w:rsidRPr="0060216C">
        <w:rPr>
          <w:rFonts w:eastAsia="Cambria" w:cs="Cambria"/>
          <w:i w:val="0"/>
          <w:color w:val="000000"/>
          <w:spacing w:val="1"/>
          <w:u w:color="000000"/>
          <w:lang w:val="es-CO" w:eastAsia="es-ES"/>
        </w:rPr>
        <w:t>asu</w:t>
      </w:r>
      <w:r w:rsidRPr="0060216C">
        <w:rPr>
          <w:rFonts w:eastAsia="Cambria" w:cs="Cambria"/>
          <w:i w:val="0"/>
          <w:color w:val="000000"/>
          <w:spacing w:val="-1"/>
          <w:u w:color="000000"/>
          <w:lang w:val="es-CO" w:eastAsia="es-ES"/>
        </w:rPr>
        <w:t>n</w:t>
      </w:r>
      <w:r w:rsidRPr="0060216C">
        <w:rPr>
          <w:rFonts w:eastAsia="Cambria" w:cs="Cambria"/>
          <w:i w:val="0"/>
          <w:color w:val="000000"/>
          <w:u w:color="000000"/>
          <w:lang w:val="es-CO" w:eastAsia="es-ES"/>
        </w:rPr>
        <w:t>to</w:t>
      </w:r>
      <w:r w:rsidRPr="00AF0430">
        <w:rPr>
          <w:rFonts w:eastAsia="Cambria" w:cs="Cambria"/>
          <w:i w:val="0"/>
          <w:color w:val="000000"/>
          <w:u w:color="000000"/>
          <w:lang w:val="es-CO" w:eastAsia="es-ES"/>
        </w:rPr>
        <w:t xml:space="preserve">. </w:t>
      </w:r>
      <w:r w:rsidRPr="0060216C">
        <w:rPr>
          <w:rFonts w:eastAsia="Cambria" w:cs="Cambria"/>
          <w:i w:val="0"/>
          <w:color w:val="000000"/>
          <w:u w:color="000000"/>
          <w:lang w:val="es-CO" w:eastAsia="es-ES"/>
        </w:rPr>
        <w:t>Asimismo, consideró que el contenido sustantivo de la decisión de la Corte Constitucional no se ajustó a los parámetros del derecho a la tutela judicial, en tanto dicha Corte omitió pronunciarse sobre el fondo del asunto y justificó la declaratoria de improcedencia del recurso de amparo basándose en una medida adoptada por el gobierno que tenía un carácter temporal y extraordinario y que tampoco se enfocaba en la situación general reclamada.</w:t>
      </w:r>
      <w:r w:rsidRPr="0060216C">
        <w:rPr>
          <w:rFonts w:eastAsia="Cambria" w:cs="Cambria"/>
          <w:i w:val="0"/>
          <w:color w:val="000000"/>
          <w:spacing w:val="1"/>
          <w:u w:color="000000"/>
          <w:lang w:val="es-CO" w:eastAsia="es-ES"/>
        </w:rPr>
        <w:t xml:space="preserve">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 xml:space="preserve">n </w:t>
      </w:r>
      <w:r w:rsidRPr="0060216C">
        <w:rPr>
          <w:rFonts w:eastAsia="Cambria" w:cs="Cambria"/>
          <w:i w:val="0"/>
          <w:color w:val="000000"/>
          <w:spacing w:val="1"/>
          <w:u w:color="000000"/>
          <w:lang w:eastAsia="es-ES"/>
        </w:rPr>
        <w:t>v</w:t>
      </w:r>
      <w:r w:rsidRPr="0060216C">
        <w:rPr>
          <w:rFonts w:eastAsia="Cambria" w:cs="Cambria"/>
          <w:i w:val="0"/>
          <w:color w:val="000000"/>
          <w:u w:color="000000"/>
          <w:lang w:eastAsia="es-ES"/>
        </w:rPr>
        <w:t>irt</w:t>
      </w:r>
      <w:r w:rsidRPr="0060216C">
        <w:rPr>
          <w:rFonts w:eastAsia="Cambria" w:cs="Cambria"/>
          <w:i w:val="0"/>
          <w:color w:val="000000"/>
          <w:spacing w:val="3"/>
          <w:u w:color="000000"/>
          <w:lang w:eastAsia="es-ES"/>
        </w:rPr>
        <w:t>u</w:t>
      </w:r>
      <w:r w:rsidRPr="0060216C">
        <w:rPr>
          <w:rFonts w:eastAsia="Cambria" w:cs="Cambria"/>
          <w:i w:val="0"/>
          <w:color w:val="000000"/>
          <w:u w:color="000000"/>
          <w:lang w:eastAsia="es-ES"/>
        </w:rPr>
        <w:t>d de</w:t>
      </w:r>
      <w:r w:rsidRPr="0060216C">
        <w:rPr>
          <w:rFonts w:eastAsia="Cambria" w:cs="Cambria"/>
          <w:i w:val="0"/>
          <w:color w:val="000000"/>
          <w:spacing w:val="31"/>
          <w:u w:color="000000"/>
          <w:lang w:eastAsia="es-ES"/>
        </w:rPr>
        <w:t xml:space="preserve"> </w:t>
      </w:r>
      <w:r w:rsidRPr="0060216C">
        <w:rPr>
          <w:rFonts w:eastAsia="Cambria" w:cs="Cambria"/>
          <w:i w:val="0"/>
          <w:color w:val="000000"/>
          <w:spacing w:val="1"/>
          <w:u w:color="000000"/>
          <w:lang w:eastAsia="es-ES"/>
        </w:rPr>
        <w:t>lo anterior, la Comisión concluyó que el Estado v</w:t>
      </w:r>
      <w:r w:rsidRPr="0060216C">
        <w:rPr>
          <w:rFonts w:eastAsia="Cambria" w:cs="Cambria"/>
          <w:i w:val="0"/>
          <w:color w:val="000000"/>
          <w:u w:color="000000"/>
          <w:lang w:eastAsia="es-ES"/>
        </w:rPr>
        <w:t>io</w:t>
      </w:r>
      <w:r w:rsidRPr="0060216C">
        <w:rPr>
          <w:rFonts w:eastAsia="Cambria" w:cs="Cambria"/>
          <w:i w:val="0"/>
          <w:color w:val="000000"/>
          <w:spacing w:val="1"/>
          <w:u w:color="000000"/>
          <w:lang w:eastAsia="es-ES"/>
        </w:rPr>
        <w:t>l</w:t>
      </w:r>
      <w:r w:rsidRPr="0060216C">
        <w:rPr>
          <w:rFonts w:eastAsia="Cambria" w:cs="Cambria"/>
          <w:i w:val="0"/>
          <w:color w:val="000000"/>
          <w:u w:color="000000"/>
          <w:lang w:eastAsia="es-ES"/>
        </w:rPr>
        <w:t>ó</w:t>
      </w:r>
      <w:r w:rsidRPr="0060216C">
        <w:rPr>
          <w:rFonts w:eastAsia="Cambria" w:cs="Cambria"/>
          <w:i w:val="0"/>
          <w:color w:val="000000"/>
          <w:spacing w:val="18"/>
          <w:u w:color="000000"/>
          <w:lang w:eastAsia="es-ES"/>
        </w:rPr>
        <w:t xml:space="preserve">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 xml:space="preserve">l </w:t>
      </w:r>
      <w:r w:rsidRPr="0060216C">
        <w:rPr>
          <w:rFonts w:eastAsia="Cambria" w:cs="Cambria"/>
          <w:i w:val="0"/>
          <w:color w:val="000000"/>
          <w:spacing w:val="3"/>
          <w:u w:color="000000"/>
          <w:lang w:eastAsia="es-ES"/>
        </w:rPr>
        <w:t>d</w:t>
      </w:r>
      <w:r w:rsidRPr="0060216C">
        <w:rPr>
          <w:rFonts w:eastAsia="Cambria" w:cs="Cambria"/>
          <w:i w:val="0"/>
          <w:color w:val="000000"/>
          <w:spacing w:val="-1"/>
          <w:u w:color="000000"/>
          <w:lang w:eastAsia="es-ES"/>
        </w:rPr>
        <w:t>e</w:t>
      </w:r>
      <w:r w:rsidRPr="0060216C">
        <w:rPr>
          <w:rFonts w:eastAsia="Cambria" w:cs="Cambria"/>
          <w:i w:val="0"/>
          <w:color w:val="000000"/>
          <w:spacing w:val="2"/>
          <w:u w:color="000000"/>
          <w:lang w:eastAsia="es-ES"/>
        </w:rPr>
        <w:t>r</w:t>
      </w:r>
      <w:r w:rsidRPr="0060216C">
        <w:rPr>
          <w:rFonts w:eastAsia="Cambria" w:cs="Cambria"/>
          <w:i w:val="0"/>
          <w:color w:val="000000"/>
          <w:spacing w:val="-1"/>
          <w:u w:color="000000"/>
          <w:lang w:eastAsia="es-ES"/>
        </w:rPr>
        <w:t>e</w:t>
      </w:r>
      <w:r w:rsidRPr="0060216C">
        <w:rPr>
          <w:rFonts w:eastAsia="Cambria" w:cs="Cambria"/>
          <w:i w:val="0"/>
          <w:color w:val="000000"/>
          <w:spacing w:val="1"/>
          <w:u w:color="000000"/>
          <w:lang w:eastAsia="es-ES"/>
        </w:rPr>
        <w:t>ch</w:t>
      </w:r>
      <w:r w:rsidRPr="0060216C">
        <w:rPr>
          <w:rFonts w:eastAsia="Cambria" w:cs="Cambria"/>
          <w:i w:val="0"/>
          <w:color w:val="000000"/>
          <w:u w:color="000000"/>
          <w:lang w:eastAsia="es-ES"/>
        </w:rPr>
        <w:t>o</w:t>
      </w:r>
      <w:r w:rsidRPr="0060216C">
        <w:rPr>
          <w:rFonts w:eastAsia="Cambria" w:cs="Cambria"/>
          <w:i w:val="0"/>
          <w:color w:val="000000"/>
          <w:spacing w:val="15"/>
          <w:u w:color="000000"/>
          <w:lang w:eastAsia="es-ES"/>
        </w:rPr>
        <w:t xml:space="preserve"> </w:t>
      </w:r>
      <w:r w:rsidRPr="0060216C">
        <w:rPr>
          <w:rFonts w:eastAsia="Cambria" w:cs="Cambria"/>
          <w:i w:val="0"/>
          <w:color w:val="000000"/>
          <w:u w:color="000000"/>
          <w:lang w:eastAsia="es-ES"/>
        </w:rPr>
        <w:t>a</w:t>
      </w:r>
      <w:r w:rsidRPr="0060216C">
        <w:rPr>
          <w:rFonts w:eastAsia="Cambria" w:cs="Cambria"/>
          <w:i w:val="0"/>
          <w:color w:val="000000"/>
          <w:spacing w:val="23"/>
          <w:u w:color="000000"/>
          <w:lang w:eastAsia="es-ES"/>
        </w:rPr>
        <w:t xml:space="preserve"> </w:t>
      </w:r>
      <w:r w:rsidRPr="0060216C">
        <w:rPr>
          <w:rFonts w:eastAsia="Cambria" w:cs="Cambria"/>
          <w:i w:val="0"/>
          <w:color w:val="000000"/>
          <w:spacing w:val="1"/>
          <w:u w:color="000000"/>
          <w:lang w:eastAsia="es-ES"/>
        </w:rPr>
        <w:t>l</w:t>
      </w:r>
      <w:r w:rsidRPr="0060216C">
        <w:rPr>
          <w:rFonts w:eastAsia="Cambria" w:cs="Cambria"/>
          <w:i w:val="0"/>
          <w:color w:val="000000"/>
          <w:u w:color="000000"/>
          <w:lang w:eastAsia="es-ES"/>
        </w:rPr>
        <w:t>a p</w:t>
      </w:r>
      <w:r w:rsidRPr="0060216C">
        <w:rPr>
          <w:rFonts w:eastAsia="Cambria" w:cs="Cambria"/>
          <w:i w:val="0"/>
          <w:color w:val="000000"/>
          <w:spacing w:val="-1"/>
          <w:u w:color="000000"/>
          <w:lang w:eastAsia="es-ES"/>
        </w:rPr>
        <w:t>r</w:t>
      </w:r>
      <w:r w:rsidRPr="0060216C">
        <w:rPr>
          <w:rFonts w:eastAsia="Cambria" w:cs="Cambria"/>
          <w:i w:val="0"/>
          <w:color w:val="000000"/>
          <w:u w:color="000000"/>
          <w:lang w:eastAsia="es-ES"/>
        </w:rPr>
        <w:t>ot</w:t>
      </w:r>
      <w:r w:rsidRPr="0060216C">
        <w:rPr>
          <w:rFonts w:eastAsia="Cambria" w:cs="Cambria"/>
          <w:i w:val="0"/>
          <w:color w:val="000000"/>
          <w:spacing w:val="-1"/>
          <w:u w:color="000000"/>
          <w:lang w:eastAsia="es-ES"/>
        </w:rPr>
        <w:t>e</w:t>
      </w:r>
      <w:r w:rsidRPr="0060216C">
        <w:rPr>
          <w:rFonts w:eastAsia="Cambria" w:cs="Cambria"/>
          <w:i w:val="0"/>
          <w:color w:val="000000"/>
          <w:spacing w:val="1"/>
          <w:u w:color="000000"/>
          <w:lang w:eastAsia="es-ES"/>
        </w:rPr>
        <w:t>cc</w:t>
      </w:r>
      <w:r w:rsidRPr="0060216C">
        <w:rPr>
          <w:rFonts w:eastAsia="Cambria" w:cs="Cambria"/>
          <w:i w:val="0"/>
          <w:color w:val="000000"/>
          <w:u w:color="000000"/>
          <w:lang w:eastAsia="es-ES"/>
        </w:rPr>
        <w:t>i</w:t>
      </w:r>
      <w:r w:rsidRPr="0060216C">
        <w:rPr>
          <w:rFonts w:eastAsia="Cambria" w:cs="Cambria"/>
          <w:i w:val="0"/>
          <w:color w:val="000000"/>
          <w:spacing w:val="2"/>
          <w:u w:color="000000"/>
          <w:lang w:eastAsia="es-ES"/>
        </w:rPr>
        <w:t>ó</w:t>
      </w:r>
      <w:r w:rsidRPr="0060216C">
        <w:rPr>
          <w:rFonts w:eastAsia="Cambria" w:cs="Cambria"/>
          <w:i w:val="0"/>
          <w:color w:val="000000"/>
          <w:u w:color="000000"/>
          <w:lang w:eastAsia="es-ES"/>
        </w:rPr>
        <w:t>n</w:t>
      </w:r>
      <w:r w:rsidRPr="0060216C">
        <w:rPr>
          <w:rFonts w:eastAsia="Cambria" w:cs="Cambria"/>
          <w:i w:val="0"/>
          <w:color w:val="000000"/>
          <w:spacing w:val="13"/>
          <w:u w:color="000000"/>
          <w:lang w:eastAsia="es-ES"/>
        </w:rPr>
        <w:t xml:space="preserve"> </w:t>
      </w:r>
      <w:r w:rsidRPr="0060216C">
        <w:rPr>
          <w:rFonts w:eastAsia="Cambria" w:cs="Cambria"/>
          <w:i w:val="0"/>
          <w:color w:val="000000"/>
          <w:u w:color="000000"/>
          <w:lang w:eastAsia="es-ES"/>
        </w:rPr>
        <w:t>j</w:t>
      </w:r>
      <w:r w:rsidRPr="0060216C">
        <w:rPr>
          <w:rFonts w:eastAsia="Cambria" w:cs="Cambria"/>
          <w:i w:val="0"/>
          <w:color w:val="000000"/>
          <w:spacing w:val="1"/>
          <w:u w:color="000000"/>
          <w:lang w:eastAsia="es-ES"/>
        </w:rPr>
        <w:t>u</w:t>
      </w:r>
      <w:r w:rsidRPr="0060216C">
        <w:rPr>
          <w:rFonts w:eastAsia="Cambria" w:cs="Cambria"/>
          <w:i w:val="0"/>
          <w:color w:val="000000"/>
          <w:spacing w:val="3"/>
          <w:u w:color="000000"/>
          <w:lang w:eastAsia="es-ES"/>
        </w:rPr>
        <w:t>d</w:t>
      </w:r>
      <w:r w:rsidRPr="0060216C">
        <w:rPr>
          <w:rFonts w:eastAsia="Cambria" w:cs="Cambria"/>
          <w:i w:val="0"/>
          <w:color w:val="000000"/>
          <w:u w:color="000000"/>
          <w:lang w:eastAsia="es-ES"/>
        </w:rPr>
        <w:t>i</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i</w:t>
      </w:r>
      <w:r w:rsidRPr="0060216C">
        <w:rPr>
          <w:rFonts w:eastAsia="Cambria" w:cs="Cambria"/>
          <w:i w:val="0"/>
          <w:color w:val="000000"/>
          <w:spacing w:val="1"/>
          <w:u w:color="000000"/>
          <w:lang w:eastAsia="es-ES"/>
        </w:rPr>
        <w:t>a</w:t>
      </w:r>
      <w:r w:rsidRPr="0060216C">
        <w:rPr>
          <w:rFonts w:eastAsia="Cambria" w:cs="Cambria"/>
          <w:i w:val="0"/>
          <w:color w:val="000000"/>
          <w:u w:color="000000"/>
          <w:lang w:eastAsia="es-ES"/>
        </w:rPr>
        <w:t xml:space="preserve">l </w:t>
      </w:r>
      <w:r w:rsidRPr="0060216C">
        <w:rPr>
          <w:rFonts w:eastAsia="Cambria" w:cs="Cambria"/>
          <w:i w:val="0"/>
          <w:color w:val="000000"/>
          <w:spacing w:val="-1"/>
          <w:u w:color="000000"/>
          <w:lang w:eastAsia="es-ES"/>
        </w:rPr>
        <w:t>e</w:t>
      </w:r>
      <w:r w:rsidRPr="0060216C">
        <w:rPr>
          <w:rFonts w:eastAsia="Cambria" w:cs="Cambria"/>
          <w:i w:val="0"/>
          <w:color w:val="000000"/>
          <w:spacing w:val="1"/>
          <w:u w:color="000000"/>
          <w:lang w:eastAsia="es-ES"/>
        </w:rPr>
        <w:t>s</w:t>
      </w:r>
      <w:r w:rsidRPr="0060216C">
        <w:rPr>
          <w:rFonts w:eastAsia="Cambria" w:cs="Cambria"/>
          <w:i w:val="0"/>
          <w:color w:val="000000"/>
          <w:u w:color="000000"/>
          <w:lang w:eastAsia="es-ES"/>
        </w:rPr>
        <w:t>t</w:t>
      </w:r>
      <w:r w:rsidRPr="0060216C">
        <w:rPr>
          <w:rFonts w:eastAsia="Cambria" w:cs="Cambria"/>
          <w:i w:val="0"/>
          <w:color w:val="000000"/>
          <w:spacing w:val="1"/>
          <w:u w:color="000000"/>
          <w:lang w:eastAsia="es-ES"/>
        </w:rPr>
        <w:t>a</w:t>
      </w:r>
      <w:r w:rsidRPr="0060216C">
        <w:rPr>
          <w:rFonts w:eastAsia="Cambria" w:cs="Cambria"/>
          <w:i w:val="0"/>
          <w:color w:val="000000"/>
          <w:spacing w:val="-1"/>
          <w:u w:color="000000"/>
          <w:lang w:eastAsia="es-ES"/>
        </w:rPr>
        <w:t>b</w:t>
      </w:r>
      <w:r w:rsidRPr="0060216C">
        <w:rPr>
          <w:rFonts w:eastAsia="Cambria" w:cs="Cambria"/>
          <w:i w:val="0"/>
          <w:color w:val="000000"/>
          <w:spacing w:val="1"/>
          <w:u w:color="000000"/>
          <w:lang w:eastAsia="es-ES"/>
        </w:rPr>
        <w:t>l</w:t>
      </w:r>
      <w:r w:rsidRPr="0060216C">
        <w:rPr>
          <w:rFonts w:eastAsia="Cambria" w:cs="Cambria"/>
          <w:i w:val="0"/>
          <w:color w:val="000000"/>
          <w:spacing w:val="-1"/>
          <w:u w:color="000000"/>
          <w:lang w:eastAsia="es-ES"/>
        </w:rPr>
        <w:t>e</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i</w:t>
      </w:r>
      <w:r w:rsidRPr="0060216C">
        <w:rPr>
          <w:rFonts w:eastAsia="Cambria" w:cs="Cambria"/>
          <w:i w:val="0"/>
          <w:color w:val="000000"/>
          <w:spacing w:val="3"/>
          <w:u w:color="000000"/>
          <w:lang w:eastAsia="es-ES"/>
        </w:rPr>
        <w:t>d</w:t>
      </w:r>
      <w:r w:rsidRPr="0060216C">
        <w:rPr>
          <w:rFonts w:eastAsia="Cambria" w:cs="Cambria"/>
          <w:i w:val="0"/>
          <w:color w:val="000000"/>
          <w:u w:color="000000"/>
          <w:lang w:eastAsia="es-ES"/>
        </w:rPr>
        <w:t xml:space="preserve">o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 xml:space="preserve">n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 xml:space="preserve">l </w:t>
      </w:r>
      <w:r w:rsidRPr="0060216C">
        <w:rPr>
          <w:rFonts w:eastAsia="Cambria" w:cs="Cambria"/>
          <w:i w:val="0"/>
          <w:color w:val="000000"/>
          <w:spacing w:val="1"/>
          <w:u w:color="000000"/>
          <w:lang w:eastAsia="es-ES"/>
        </w:rPr>
        <w:t>a</w:t>
      </w:r>
      <w:r w:rsidRPr="0060216C">
        <w:rPr>
          <w:rFonts w:eastAsia="Cambria" w:cs="Cambria"/>
          <w:i w:val="0"/>
          <w:color w:val="000000"/>
          <w:spacing w:val="-1"/>
          <w:u w:color="000000"/>
          <w:lang w:eastAsia="es-ES"/>
        </w:rPr>
        <w:t>r</w:t>
      </w:r>
      <w:r w:rsidRPr="0060216C">
        <w:rPr>
          <w:rFonts w:eastAsia="Cambria" w:cs="Cambria"/>
          <w:i w:val="0"/>
          <w:color w:val="000000"/>
          <w:u w:color="000000"/>
          <w:lang w:eastAsia="es-ES"/>
        </w:rPr>
        <w:t>tí</w:t>
      </w:r>
      <w:r w:rsidRPr="0060216C">
        <w:rPr>
          <w:rFonts w:eastAsia="Cambria" w:cs="Cambria"/>
          <w:i w:val="0"/>
          <w:color w:val="000000"/>
          <w:spacing w:val="1"/>
          <w:u w:color="000000"/>
          <w:lang w:eastAsia="es-ES"/>
        </w:rPr>
        <w:t>cul</w:t>
      </w:r>
      <w:r w:rsidRPr="0060216C">
        <w:rPr>
          <w:rFonts w:eastAsia="Cambria" w:cs="Cambria"/>
          <w:i w:val="0"/>
          <w:color w:val="000000"/>
          <w:u w:color="000000"/>
          <w:lang w:eastAsia="es-ES"/>
        </w:rPr>
        <w:t>o 25</w:t>
      </w:r>
      <w:r w:rsidR="00AF0430">
        <w:rPr>
          <w:rFonts w:eastAsia="Cambria" w:cs="Cambria"/>
          <w:i w:val="0"/>
          <w:color w:val="000000"/>
          <w:u w:color="000000"/>
          <w:lang w:eastAsia="es-ES"/>
        </w:rPr>
        <w:t>.1</w:t>
      </w:r>
      <w:r w:rsidRPr="0060216C">
        <w:rPr>
          <w:rFonts w:eastAsia="Cambria" w:cs="Cambria"/>
          <w:i w:val="0"/>
          <w:color w:val="000000"/>
          <w:u w:color="000000"/>
          <w:lang w:eastAsia="es-ES"/>
        </w:rPr>
        <w:t xml:space="preserve"> </w:t>
      </w:r>
      <w:r w:rsidRPr="0060216C">
        <w:rPr>
          <w:rFonts w:eastAsia="Cambria" w:cs="Cambria"/>
          <w:i w:val="0"/>
          <w:color w:val="000000"/>
          <w:spacing w:val="3"/>
          <w:u w:color="000000"/>
          <w:lang w:eastAsia="es-ES"/>
        </w:rPr>
        <w:t>d</w:t>
      </w:r>
      <w:r w:rsidRPr="0060216C">
        <w:rPr>
          <w:rFonts w:eastAsia="Cambria" w:cs="Cambria"/>
          <w:i w:val="0"/>
          <w:color w:val="000000"/>
          <w:u w:color="000000"/>
          <w:lang w:eastAsia="es-ES"/>
        </w:rPr>
        <w:t xml:space="preserve">e </w:t>
      </w:r>
      <w:r w:rsidRPr="0060216C">
        <w:rPr>
          <w:rFonts w:eastAsia="Cambria" w:cs="Cambria"/>
          <w:i w:val="0"/>
          <w:color w:val="000000"/>
          <w:spacing w:val="1"/>
          <w:u w:color="000000"/>
          <w:lang w:eastAsia="es-ES"/>
        </w:rPr>
        <w:t>l</w:t>
      </w:r>
      <w:r w:rsidRPr="0060216C">
        <w:rPr>
          <w:rFonts w:eastAsia="Cambria" w:cs="Cambria"/>
          <w:i w:val="0"/>
          <w:color w:val="000000"/>
          <w:u w:color="000000"/>
          <w:lang w:eastAsia="es-ES"/>
        </w:rPr>
        <w:t xml:space="preserve">a </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o</w:t>
      </w:r>
      <w:r w:rsidRPr="0060216C">
        <w:rPr>
          <w:rFonts w:eastAsia="Cambria" w:cs="Cambria"/>
          <w:i w:val="0"/>
          <w:color w:val="000000"/>
          <w:spacing w:val="-1"/>
          <w:u w:color="000000"/>
          <w:lang w:eastAsia="es-ES"/>
        </w:rPr>
        <w:t>n</w:t>
      </w:r>
      <w:r w:rsidRPr="0060216C">
        <w:rPr>
          <w:rFonts w:eastAsia="Cambria" w:cs="Cambria"/>
          <w:i w:val="0"/>
          <w:color w:val="000000"/>
          <w:spacing w:val="1"/>
          <w:u w:color="000000"/>
          <w:lang w:eastAsia="es-ES"/>
        </w:rPr>
        <w:t>ve</w:t>
      </w:r>
      <w:r w:rsidRPr="0060216C">
        <w:rPr>
          <w:rFonts w:eastAsia="Cambria" w:cs="Cambria"/>
          <w:i w:val="0"/>
          <w:color w:val="000000"/>
          <w:spacing w:val="-1"/>
          <w:u w:color="000000"/>
          <w:lang w:eastAsia="es-ES"/>
        </w:rPr>
        <w:t>n</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 xml:space="preserve">ión </w:t>
      </w:r>
      <w:r w:rsidRPr="0060216C">
        <w:rPr>
          <w:rFonts w:eastAsia="Cambria" w:cs="Cambria"/>
          <w:i w:val="0"/>
          <w:color w:val="000000"/>
          <w:spacing w:val="1"/>
          <w:u w:color="000000"/>
          <w:lang w:eastAsia="es-ES"/>
        </w:rPr>
        <w:t>A</w:t>
      </w:r>
      <w:r w:rsidRPr="0060216C">
        <w:rPr>
          <w:rFonts w:eastAsia="Cambria" w:cs="Cambria"/>
          <w:i w:val="0"/>
          <w:color w:val="000000"/>
          <w:u w:color="000000"/>
          <w:lang w:eastAsia="es-ES"/>
        </w:rPr>
        <w:t>m</w:t>
      </w:r>
      <w:r w:rsidRPr="0060216C">
        <w:rPr>
          <w:rFonts w:eastAsia="Cambria" w:cs="Cambria"/>
          <w:i w:val="0"/>
          <w:color w:val="000000"/>
          <w:spacing w:val="-1"/>
          <w:u w:color="000000"/>
          <w:lang w:eastAsia="es-ES"/>
        </w:rPr>
        <w:t>e</w:t>
      </w:r>
      <w:r w:rsidRPr="0060216C">
        <w:rPr>
          <w:rFonts w:eastAsia="Cambria" w:cs="Cambria"/>
          <w:i w:val="0"/>
          <w:color w:val="000000"/>
          <w:spacing w:val="2"/>
          <w:u w:color="000000"/>
          <w:lang w:eastAsia="es-ES"/>
        </w:rPr>
        <w:t>r</w:t>
      </w:r>
      <w:r w:rsidRPr="0060216C">
        <w:rPr>
          <w:rFonts w:eastAsia="Cambria" w:cs="Cambria"/>
          <w:i w:val="0"/>
          <w:color w:val="000000"/>
          <w:u w:color="000000"/>
          <w:lang w:eastAsia="es-ES"/>
        </w:rPr>
        <w:t>i</w:t>
      </w:r>
      <w:r w:rsidRPr="0060216C">
        <w:rPr>
          <w:rFonts w:eastAsia="Cambria" w:cs="Cambria"/>
          <w:i w:val="0"/>
          <w:color w:val="000000"/>
          <w:spacing w:val="1"/>
          <w:u w:color="000000"/>
          <w:lang w:eastAsia="es-ES"/>
        </w:rPr>
        <w:t>ca</w:t>
      </w:r>
      <w:r w:rsidRPr="0060216C">
        <w:rPr>
          <w:rFonts w:eastAsia="Cambria" w:cs="Cambria"/>
          <w:i w:val="0"/>
          <w:color w:val="000000"/>
          <w:spacing w:val="-1"/>
          <w:u w:color="000000"/>
          <w:lang w:eastAsia="es-ES"/>
        </w:rPr>
        <w:t>n</w:t>
      </w:r>
      <w:r w:rsidRPr="0060216C">
        <w:rPr>
          <w:rFonts w:eastAsia="Cambria" w:cs="Cambria"/>
          <w:i w:val="0"/>
          <w:color w:val="000000"/>
          <w:spacing w:val="1"/>
          <w:u w:color="000000"/>
          <w:lang w:eastAsia="es-ES"/>
        </w:rPr>
        <w:t>a</w:t>
      </w:r>
      <w:r w:rsidRPr="0060216C">
        <w:rPr>
          <w:rFonts w:eastAsia="Cambria" w:cs="Cambria"/>
          <w:i w:val="0"/>
          <w:color w:val="000000"/>
          <w:u w:color="000000"/>
          <w:lang w:eastAsia="es-ES"/>
        </w:rPr>
        <w:t>,</w:t>
      </w:r>
      <w:r w:rsidRPr="0060216C">
        <w:rPr>
          <w:rFonts w:eastAsia="Cambria" w:cs="Cambria"/>
          <w:i w:val="0"/>
          <w:color w:val="000000"/>
          <w:spacing w:val="28"/>
          <w:u w:color="000000"/>
          <w:lang w:eastAsia="es-ES"/>
        </w:rPr>
        <w:t xml:space="preserve">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n</w:t>
      </w:r>
      <w:r w:rsidRPr="0060216C">
        <w:rPr>
          <w:rFonts w:eastAsia="Cambria" w:cs="Cambria"/>
          <w:i w:val="0"/>
          <w:color w:val="000000"/>
          <w:spacing w:val="37"/>
          <w:u w:color="000000"/>
          <w:lang w:eastAsia="es-ES"/>
        </w:rPr>
        <w:t xml:space="preserve"> </w:t>
      </w:r>
      <w:r w:rsidRPr="0060216C">
        <w:rPr>
          <w:rFonts w:eastAsia="Cambria" w:cs="Cambria"/>
          <w:i w:val="0"/>
          <w:color w:val="000000"/>
          <w:spacing w:val="-1"/>
          <w:u w:color="000000"/>
          <w:lang w:eastAsia="es-ES"/>
        </w:rPr>
        <w:t>re</w:t>
      </w:r>
      <w:r w:rsidRPr="0060216C">
        <w:rPr>
          <w:rFonts w:eastAsia="Cambria" w:cs="Cambria"/>
          <w:i w:val="0"/>
          <w:color w:val="000000"/>
          <w:spacing w:val="1"/>
          <w:u w:color="000000"/>
          <w:lang w:eastAsia="es-ES"/>
        </w:rPr>
        <w:t>lac</w:t>
      </w:r>
      <w:r w:rsidRPr="0060216C">
        <w:rPr>
          <w:rFonts w:eastAsia="Cambria" w:cs="Cambria"/>
          <w:i w:val="0"/>
          <w:color w:val="000000"/>
          <w:u w:color="000000"/>
          <w:lang w:eastAsia="es-ES"/>
        </w:rPr>
        <w:t>ión</w:t>
      </w:r>
      <w:r w:rsidRPr="0060216C">
        <w:rPr>
          <w:rFonts w:eastAsia="Cambria" w:cs="Cambria"/>
          <w:i w:val="0"/>
          <w:color w:val="000000"/>
          <w:spacing w:val="30"/>
          <w:u w:color="000000"/>
          <w:lang w:eastAsia="es-ES"/>
        </w:rPr>
        <w:t xml:space="preserve"> </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on</w:t>
      </w:r>
      <w:r w:rsidRPr="0060216C">
        <w:rPr>
          <w:rFonts w:eastAsia="Cambria" w:cs="Cambria"/>
          <w:i w:val="0"/>
          <w:color w:val="000000"/>
          <w:spacing w:val="34"/>
          <w:u w:color="000000"/>
          <w:lang w:eastAsia="es-ES"/>
        </w:rPr>
        <w:t xml:space="preserve">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l</w:t>
      </w:r>
      <w:r w:rsidRPr="0060216C">
        <w:rPr>
          <w:rFonts w:eastAsia="Cambria" w:cs="Cambria"/>
          <w:i w:val="0"/>
          <w:color w:val="000000"/>
          <w:spacing w:val="37"/>
          <w:u w:color="000000"/>
          <w:lang w:eastAsia="es-ES"/>
        </w:rPr>
        <w:t xml:space="preserve"> </w:t>
      </w:r>
      <w:r w:rsidRPr="0060216C">
        <w:rPr>
          <w:rFonts w:eastAsia="Cambria" w:cs="Cambria"/>
          <w:i w:val="0"/>
          <w:color w:val="000000"/>
          <w:spacing w:val="1"/>
          <w:u w:color="000000"/>
          <w:lang w:eastAsia="es-ES"/>
        </w:rPr>
        <w:t>a</w:t>
      </w:r>
      <w:r w:rsidRPr="0060216C">
        <w:rPr>
          <w:rFonts w:eastAsia="Cambria" w:cs="Cambria"/>
          <w:i w:val="0"/>
          <w:color w:val="000000"/>
          <w:spacing w:val="-1"/>
          <w:u w:color="000000"/>
          <w:lang w:eastAsia="es-ES"/>
        </w:rPr>
        <w:t>r</w:t>
      </w:r>
      <w:r w:rsidRPr="0060216C">
        <w:rPr>
          <w:rFonts w:eastAsia="Cambria" w:cs="Cambria"/>
          <w:i w:val="0"/>
          <w:color w:val="000000"/>
          <w:u w:color="000000"/>
          <w:lang w:eastAsia="es-ES"/>
        </w:rPr>
        <w:t>tí</w:t>
      </w:r>
      <w:r w:rsidRPr="0060216C">
        <w:rPr>
          <w:rFonts w:eastAsia="Cambria" w:cs="Cambria"/>
          <w:i w:val="0"/>
          <w:color w:val="000000"/>
          <w:spacing w:val="1"/>
          <w:u w:color="000000"/>
          <w:lang w:eastAsia="es-ES"/>
        </w:rPr>
        <w:t>cul</w:t>
      </w:r>
      <w:r w:rsidRPr="0060216C">
        <w:rPr>
          <w:rFonts w:eastAsia="Cambria" w:cs="Cambria"/>
          <w:i w:val="0"/>
          <w:color w:val="000000"/>
          <w:u w:color="000000"/>
          <w:lang w:eastAsia="es-ES"/>
        </w:rPr>
        <w:t>o</w:t>
      </w:r>
      <w:r w:rsidRPr="0060216C">
        <w:rPr>
          <w:rFonts w:eastAsia="Cambria" w:cs="Cambria"/>
          <w:i w:val="0"/>
          <w:color w:val="000000"/>
          <w:spacing w:val="31"/>
          <w:u w:color="000000"/>
          <w:lang w:eastAsia="es-ES"/>
        </w:rPr>
        <w:t xml:space="preserve"> </w:t>
      </w:r>
      <w:r w:rsidRPr="0060216C">
        <w:rPr>
          <w:rFonts w:eastAsia="Cambria" w:cs="Cambria"/>
          <w:i w:val="0"/>
          <w:color w:val="000000"/>
          <w:u w:color="000000"/>
          <w:lang w:eastAsia="es-ES"/>
        </w:rPr>
        <w:t>1.1</w:t>
      </w:r>
      <w:r w:rsidRPr="0060216C">
        <w:rPr>
          <w:rFonts w:eastAsia="Cambria" w:cs="Cambria"/>
          <w:i w:val="0"/>
          <w:color w:val="000000"/>
          <w:spacing w:val="35"/>
          <w:u w:color="000000"/>
          <w:lang w:eastAsia="es-ES"/>
        </w:rPr>
        <w:t xml:space="preserve"> </w:t>
      </w:r>
      <w:r w:rsidRPr="0060216C">
        <w:rPr>
          <w:rFonts w:eastAsia="Cambria" w:cs="Cambria"/>
          <w:i w:val="0"/>
          <w:color w:val="000000"/>
          <w:spacing w:val="3"/>
          <w:u w:color="000000"/>
          <w:lang w:eastAsia="es-ES"/>
        </w:rPr>
        <w:t>d</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l</w:t>
      </w:r>
      <w:r w:rsidRPr="0060216C">
        <w:rPr>
          <w:rFonts w:eastAsia="Cambria" w:cs="Cambria"/>
          <w:i w:val="0"/>
          <w:color w:val="000000"/>
          <w:spacing w:val="36"/>
          <w:u w:color="000000"/>
          <w:lang w:eastAsia="es-ES"/>
        </w:rPr>
        <w:t xml:space="preserve"> </w:t>
      </w:r>
      <w:r w:rsidRPr="0060216C">
        <w:rPr>
          <w:rFonts w:eastAsia="Cambria" w:cs="Cambria"/>
          <w:i w:val="0"/>
          <w:color w:val="000000"/>
          <w:u w:color="000000"/>
          <w:lang w:eastAsia="es-ES"/>
        </w:rPr>
        <w:t>mi</w:t>
      </w:r>
      <w:r w:rsidRPr="0060216C">
        <w:rPr>
          <w:rFonts w:eastAsia="Cambria" w:cs="Cambria"/>
          <w:i w:val="0"/>
          <w:color w:val="000000"/>
          <w:spacing w:val="1"/>
          <w:u w:color="000000"/>
          <w:lang w:eastAsia="es-ES"/>
        </w:rPr>
        <w:t>s</w:t>
      </w:r>
      <w:r w:rsidRPr="0060216C">
        <w:rPr>
          <w:rFonts w:eastAsia="Cambria" w:cs="Cambria"/>
          <w:i w:val="0"/>
          <w:color w:val="000000"/>
          <w:u w:color="000000"/>
          <w:lang w:eastAsia="es-ES"/>
        </w:rPr>
        <w:t>mo</w:t>
      </w:r>
      <w:r w:rsidRPr="0060216C">
        <w:rPr>
          <w:rFonts w:eastAsia="Cambria" w:cs="Cambria"/>
          <w:i w:val="0"/>
          <w:color w:val="000000"/>
          <w:spacing w:val="34"/>
          <w:u w:color="000000"/>
          <w:lang w:eastAsia="es-ES"/>
        </w:rPr>
        <w:t xml:space="preserve"> </w:t>
      </w:r>
      <w:r w:rsidRPr="0060216C">
        <w:rPr>
          <w:rFonts w:eastAsia="Cambria" w:cs="Cambria"/>
          <w:i w:val="0"/>
          <w:color w:val="000000"/>
          <w:u w:color="000000"/>
          <w:lang w:eastAsia="es-ES"/>
        </w:rPr>
        <w:t>i</w:t>
      </w:r>
      <w:r w:rsidRPr="0060216C">
        <w:rPr>
          <w:rFonts w:eastAsia="Cambria" w:cs="Cambria"/>
          <w:i w:val="0"/>
          <w:color w:val="000000"/>
          <w:spacing w:val="-1"/>
          <w:u w:color="000000"/>
          <w:lang w:eastAsia="es-ES"/>
        </w:rPr>
        <w:t>n</w:t>
      </w:r>
      <w:r w:rsidRPr="0060216C">
        <w:rPr>
          <w:rFonts w:eastAsia="Cambria" w:cs="Cambria"/>
          <w:i w:val="0"/>
          <w:color w:val="000000"/>
          <w:spacing w:val="1"/>
          <w:u w:color="000000"/>
          <w:lang w:eastAsia="es-ES"/>
        </w:rPr>
        <w:t>s</w:t>
      </w:r>
      <w:r w:rsidRPr="0060216C">
        <w:rPr>
          <w:rFonts w:eastAsia="Cambria" w:cs="Cambria"/>
          <w:i w:val="0"/>
          <w:color w:val="000000"/>
          <w:u w:color="000000"/>
          <w:lang w:eastAsia="es-ES"/>
        </w:rPr>
        <w:t>t</w:t>
      </w:r>
      <w:r w:rsidRPr="0060216C">
        <w:rPr>
          <w:rFonts w:eastAsia="Cambria" w:cs="Cambria"/>
          <w:i w:val="0"/>
          <w:color w:val="000000"/>
          <w:spacing w:val="-1"/>
          <w:u w:color="000000"/>
          <w:lang w:eastAsia="es-ES"/>
        </w:rPr>
        <w:t>r</w:t>
      </w:r>
      <w:r w:rsidRPr="0060216C">
        <w:rPr>
          <w:rFonts w:eastAsia="Cambria" w:cs="Cambria"/>
          <w:i w:val="0"/>
          <w:color w:val="000000"/>
          <w:spacing w:val="3"/>
          <w:u w:color="000000"/>
          <w:lang w:eastAsia="es-ES"/>
        </w:rPr>
        <w:t>u</w:t>
      </w:r>
      <w:r w:rsidRPr="0060216C">
        <w:rPr>
          <w:rFonts w:eastAsia="Cambria" w:cs="Cambria"/>
          <w:i w:val="0"/>
          <w:color w:val="000000"/>
          <w:u w:color="000000"/>
          <w:lang w:eastAsia="es-ES"/>
        </w:rPr>
        <w:t>m</w:t>
      </w:r>
      <w:r w:rsidRPr="0060216C">
        <w:rPr>
          <w:rFonts w:eastAsia="Cambria" w:cs="Cambria"/>
          <w:i w:val="0"/>
          <w:color w:val="000000"/>
          <w:spacing w:val="1"/>
          <w:u w:color="000000"/>
          <w:lang w:eastAsia="es-ES"/>
        </w:rPr>
        <w:t>e</w:t>
      </w:r>
      <w:r w:rsidRPr="0060216C">
        <w:rPr>
          <w:rFonts w:eastAsia="Cambria" w:cs="Cambria"/>
          <w:i w:val="0"/>
          <w:color w:val="000000"/>
          <w:spacing w:val="-1"/>
          <w:u w:color="000000"/>
          <w:lang w:eastAsia="es-ES"/>
        </w:rPr>
        <w:t>n</w:t>
      </w:r>
      <w:r w:rsidRPr="0060216C">
        <w:rPr>
          <w:rFonts w:eastAsia="Cambria" w:cs="Cambria"/>
          <w:i w:val="0"/>
          <w:color w:val="000000"/>
          <w:u w:color="000000"/>
          <w:lang w:eastAsia="es-ES"/>
        </w:rPr>
        <w:t>to,</w:t>
      </w:r>
      <w:r w:rsidRPr="0060216C">
        <w:rPr>
          <w:rFonts w:eastAsia="Cambria" w:cs="Cambria"/>
          <w:i w:val="0"/>
          <w:color w:val="000000"/>
          <w:spacing w:val="29"/>
          <w:u w:color="000000"/>
          <w:lang w:eastAsia="es-ES"/>
        </w:rPr>
        <w:t xml:space="preserve"> </w:t>
      </w:r>
      <w:r w:rsidRPr="0060216C">
        <w:rPr>
          <w:rFonts w:eastAsia="Cambria" w:cs="Cambria"/>
          <w:i w:val="0"/>
          <w:color w:val="000000"/>
          <w:spacing w:val="-1"/>
          <w:u w:color="000000"/>
          <w:lang w:eastAsia="es-ES"/>
        </w:rPr>
        <w:t>e</w:t>
      </w:r>
      <w:r w:rsidRPr="0060216C">
        <w:rPr>
          <w:rFonts w:eastAsia="Cambria" w:cs="Cambria"/>
          <w:i w:val="0"/>
          <w:color w:val="000000"/>
          <w:u w:color="000000"/>
          <w:lang w:eastAsia="es-ES"/>
        </w:rPr>
        <w:t>n</w:t>
      </w:r>
      <w:r w:rsidRPr="0060216C">
        <w:rPr>
          <w:rFonts w:eastAsia="Cambria" w:cs="Cambria"/>
          <w:i w:val="0"/>
          <w:color w:val="000000"/>
          <w:spacing w:val="35"/>
          <w:u w:color="000000"/>
          <w:lang w:eastAsia="es-ES"/>
        </w:rPr>
        <w:t xml:space="preserve"> </w:t>
      </w:r>
      <w:r w:rsidRPr="0060216C">
        <w:rPr>
          <w:rFonts w:eastAsia="Cambria" w:cs="Cambria"/>
          <w:i w:val="0"/>
          <w:color w:val="000000"/>
          <w:spacing w:val="2"/>
          <w:u w:color="000000"/>
          <w:lang w:eastAsia="es-ES"/>
        </w:rPr>
        <w:t>p</w:t>
      </w:r>
      <w:r w:rsidRPr="0060216C">
        <w:rPr>
          <w:rFonts w:eastAsia="Cambria" w:cs="Cambria"/>
          <w:i w:val="0"/>
          <w:color w:val="000000"/>
          <w:spacing w:val="-1"/>
          <w:u w:color="000000"/>
          <w:lang w:eastAsia="es-ES"/>
        </w:rPr>
        <w:t>e</w:t>
      </w:r>
      <w:r w:rsidRPr="0060216C">
        <w:rPr>
          <w:rFonts w:eastAsia="Cambria" w:cs="Cambria"/>
          <w:i w:val="0"/>
          <w:color w:val="000000"/>
          <w:spacing w:val="2"/>
          <w:u w:color="000000"/>
          <w:lang w:eastAsia="es-ES"/>
        </w:rPr>
        <w:t>r</w:t>
      </w:r>
      <w:r w:rsidRPr="0060216C">
        <w:rPr>
          <w:rFonts w:eastAsia="Cambria" w:cs="Cambria"/>
          <w:i w:val="0"/>
          <w:color w:val="000000"/>
          <w:u w:color="000000"/>
          <w:lang w:eastAsia="es-ES"/>
        </w:rPr>
        <w:t>j</w:t>
      </w:r>
      <w:r w:rsidRPr="0060216C">
        <w:rPr>
          <w:rFonts w:eastAsia="Cambria" w:cs="Cambria"/>
          <w:i w:val="0"/>
          <w:color w:val="000000"/>
          <w:spacing w:val="1"/>
          <w:u w:color="000000"/>
          <w:lang w:eastAsia="es-ES"/>
        </w:rPr>
        <w:t>u</w:t>
      </w:r>
      <w:r w:rsidRPr="0060216C">
        <w:rPr>
          <w:rFonts w:eastAsia="Cambria" w:cs="Cambria"/>
          <w:i w:val="0"/>
          <w:color w:val="000000"/>
          <w:u w:color="000000"/>
          <w:lang w:eastAsia="es-ES"/>
        </w:rPr>
        <w:t>i</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io</w:t>
      </w:r>
      <w:r w:rsidRPr="0060216C">
        <w:rPr>
          <w:rFonts w:eastAsia="Cambria" w:cs="Cambria"/>
          <w:i w:val="0"/>
          <w:color w:val="000000"/>
          <w:spacing w:val="30"/>
          <w:u w:color="000000"/>
          <w:lang w:eastAsia="es-ES"/>
        </w:rPr>
        <w:t xml:space="preserve"> </w:t>
      </w:r>
      <w:r w:rsidRPr="0060216C">
        <w:rPr>
          <w:rFonts w:eastAsia="Cambria" w:cs="Cambria"/>
          <w:i w:val="0"/>
          <w:color w:val="000000"/>
          <w:spacing w:val="3"/>
          <w:u w:color="000000"/>
          <w:lang w:eastAsia="es-ES"/>
        </w:rPr>
        <w:t>d</w:t>
      </w:r>
      <w:r w:rsidRPr="0060216C">
        <w:rPr>
          <w:rFonts w:eastAsia="Cambria" w:cs="Cambria"/>
          <w:i w:val="0"/>
          <w:color w:val="000000"/>
          <w:u w:color="000000"/>
          <w:lang w:eastAsia="es-ES"/>
        </w:rPr>
        <w:t>e</w:t>
      </w:r>
      <w:r w:rsidRPr="0060216C">
        <w:rPr>
          <w:rFonts w:eastAsia="Cambria" w:cs="Cambria"/>
          <w:i w:val="0"/>
          <w:color w:val="000000"/>
          <w:spacing w:val="35"/>
          <w:u w:color="000000"/>
          <w:lang w:eastAsia="es-ES"/>
        </w:rPr>
        <w:t xml:space="preserve"> </w:t>
      </w:r>
      <w:r w:rsidRPr="0060216C">
        <w:rPr>
          <w:rFonts w:eastAsia="Cambria" w:cs="Cambria"/>
          <w:i w:val="0"/>
          <w:color w:val="000000"/>
          <w:u w:color="000000"/>
          <w:lang w:eastAsia="es-ES"/>
        </w:rPr>
        <w:t>tod</w:t>
      </w:r>
      <w:r w:rsidRPr="0060216C">
        <w:rPr>
          <w:rFonts w:eastAsia="Cambria" w:cs="Cambria"/>
          <w:i w:val="0"/>
          <w:color w:val="000000"/>
          <w:spacing w:val="1"/>
          <w:u w:color="000000"/>
          <w:lang w:eastAsia="es-ES"/>
        </w:rPr>
        <w:t>a</w:t>
      </w:r>
      <w:r w:rsidRPr="0060216C">
        <w:rPr>
          <w:rFonts w:eastAsia="Cambria" w:cs="Cambria"/>
          <w:i w:val="0"/>
          <w:color w:val="000000"/>
          <w:u w:color="000000"/>
          <w:lang w:eastAsia="es-ES"/>
        </w:rPr>
        <w:t>s</w:t>
      </w:r>
      <w:r w:rsidRPr="0060216C">
        <w:rPr>
          <w:rFonts w:eastAsia="Cambria" w:cs="Cambria"/>
          <w:i w:val="0"/>
          <w:color w:val="000000"/>
          <w:spacing w:val="31"/>
          <w:u w:color="000000"/>
          <w:lang w:eastAsia="es-ES"/>
        </w:rPr>
        <w:t xml:space="preserve"> </w:t>
      </w:r>
      <w:r w:rsidRPr="0060216C">
        <w:rPr>
          <w:rFonts w:eastAsia="Cambria" w:cs="Cambria"/>
          <w:i w:val="0"/>
          <w:color w:val="000000"/>
          <w:spacing w:val="1"/>
          <w:u w:color="000000"/>
          <w:lang w:eastAsia="es-ES"/>
        </w:rPr>
        <w:t>la</w:t>
      </w:r>
      <w:r w:rsidRPr="0060216C">
        <w:rPr>
          <w:rFonts w:eastAsia="Cambria" w:cs="Cambria"/>
          <w:i w:val="0"/>
          <w:color w:val="000000"/>
          <w:u w:color="000000"/>
          <w:lang w:eastAsia="es-ES"/>
        </w:rPr>
        <w:t>s</w:t>
      </w:r>
      <w:r w:rsidRPr="0060216C">
        <w:rPr>
          <w:rFonts w:eastAsia="Cambria" w:cs="Cambria"/>
          <w:i w:val="0"/>
          <w:color w:val="000000"/>
          <w:spacing w:val="34"/>
          <w:u w:color="000000"/>
          <w:lang w:eastAsia="es-ES"/>
        </w:rPr>
        <w:t xml:space="preserve"> </w:t>
      </w:r>
      <w:r w:rsidRPr="0060216C">
        <w:rPr>
          <w:rFonts w:eastAsia="Cambria" w:cs="Cambria"/>
          <w:i w:val="0"/>
          <w:color w:val="000000"/>
          <w:spacing w:val="3"/>
          <w:u w:color="000000"/>
          <w:lang w:eastAsia="es-ES"/>
        </w:rPr>
        <w:t>v</w:t>
      </w:r>
      <w:r w:rsidRPr="0060216C">
        <w:rPr>
          <w:rFonts w:eastAsia="Cambria" w:cs="Cambria"/>
          <w:i w:val="0"/>
          <w:color w:val="000000"/>
          <w:u w:color="000000"/>
          <w:lang w:eastAsia="es-ES"/>
        </w:rPr>
        <w:t>í</w:t>
      </w:r>
      <w:r w:rsidRPr="0060216C">
        <w:rPr>
          <w:rFonts w:eastAsia="Cambria" w:cs="Cambria"/>
          <w:i w:val="0"/>
          <w:color w:val="000000"/>
          <w:spacing w:val="1"/>
          <w:u w:color="000000"/>
          <w:lang w:eastAsia="es-ES"/>
        </w:rPr>
        <w:t>c</w:t>
      </w:r>
      <w:r w:rsidRPr="0060216C">
        <w:rPr>
          <w:rFonts w:eastAsia="Cambria" w:cs="Cambria"/>
          <w:i w:val="0"/>
          <w:color w:val="000000"/>
          <w:u w:color="000000"/>
          <w:lang w:eastAsia="es-ES"/>
        </w:rPr>
        <w:t>tim</w:t>
      </w:r>
      <w:r w:rsidRPr="0060216C">
        <w:rPr>
          <w:rFonts w:eastAsia="Cambria" w:cs="Cambria"/>
          <w:i w:val="0"/>
          <w:color w:val="000000"/>
          <w:spacing w:val="1"/>
          <w:u w:color="000000"/>
          <w:lang w:eastAsia="es-ES"/>
        </w:rPr>
        <w:t>a</w:t>
      </w:r>
      <w:r w:rsidRPr="0060216C">
        <w:rPr>
          <w:rFonts w:eastAsia="Cambria" w:cs="Cambria"/>
          <w:i w:val="0"/>
          <w:color w:val="000000"/>
          <w:u w:color="000000"/>
          <w:lang w:eastAsia="es-ES"/>
        </w:rPr>
        <w:t xml:space="preserve">s con excepción de </w:t>
      </w:r>
      <w:r w:rsidRPr="0060216C">
        <w:rPr>
          <w:rFonts w:eastAsia="Cambria" w:cs="Cambria"/>
          <w:i w:val="0"/>
          <w:color w:val="000000"/>
          <w:spacing w:val="1"/>
          <w:u w:color="000000"/>
          <w:lang w:val="es-CO" w:eastAsia="es-ES"/>
        </w:rPr>
        <w:t>Al</w:t>
      </w:r>
      <w:r w:rsidRPr="0060216C">
        <w:rPr>
          <w:rFonts w:eastAsia="Cambria" w:cs="Cambria"/>
          <w:i w:val="0"/>
          <w:color w:val="000000"/>
          <w:spacing w:val="2"/>
          <w:u w:color="000000"/>
          <w:lang w:val="es-CO" w:eastAsia="es-ES"/>
        </w:rPr>
        <w:t>b</w:t>
      </w:r>
      <w:r w:rsidRPr="0060216C">
        <w:rPr>
          <w:rFonts w:eastAsia="Cambria" w:cs="Cambria"/>
          <w:i w:val="0"/>
          <w:color w:val="000000"/>
          <w:spacing w:val="-1"/>
          <w:u w:color="000000"/>
          <w:lang w:val="es-CO" w:eastAsia="es-ES"/>
        </w:rPr>
        <w:t>e</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to</w:t>
      </w:r>
      <w:r w:rsidRPr="0060216C">
        <w:rPr>
          <w:rFonts w:eastAsia="Cambria" w:cs="Cambria"/>
          <w:i w:val="0"/>
          <w:color w:val="000000"/>
          <w:spacing w:val="10"/>
          <w:u w:color="000000"/>
          <w:lang w:val="es-CO" w:eastAsia="es-ES"/>
        </w:rPr>
        <w:t xml:space="preserve"> </w:t>
      </w:r>
      <w:r w:rsidRPr="0060216C">
        <w:rPr>
          <w:rFonts w:eastAsia="Cambria" w:cs="Cambria"/>
          <w:i w:val="0"/>
          <w:color w:val="000000"/>
          <w:u w:color="000000"/>
          <w:lang w:val="es-CO" w:eastAsia="es-ES"/>
        </w:rPr>
        <w:t>Q</w:t>
      </w:r>
      <w:r w:rsidRPr="0060216C">
        <w:rPr>
          <w:rFonts w:eastAsia="Cambria" w:cs="Cambria"/>
          <w:i w:val="0"/>
          <w:color w:val="000000"/>
          <w:spacing w:val="1"/>
          <w:u w:color="000000"/>
          <w:lang w:val="es-CO" w:eastAsia="es-ES"/>
        </w:rPr>
        <w:t>u</w:t>
      </w:r>
      <w:r w:rsidRPr="0060216C">
        <w:rPr>
          <w:rFonts w:eastAsia="Cambria" w:cs="Cambria"/>
          <w:i w:val="0"/>
          <w:color w:val="000000"/>
          <w:u w:color="000000"/>
          <w:lang w:val="es-CO" w:eastAsia="es-ES"/>
        </w:rPr>
        <w:t>i</w:t>
      </w:r>
      <w:r w:rsidRPr="0060216C">
        <w:rPr>
          <w:rFonts w:eastAsia="Cambria" w:cs="Cambria"/>
          <w:i w:val="0"/>
          <w:color w:val="000000"/>
          <w:spacing w:val="1"/>
          <w:u w:color="000000"/>
          <w:lang w:val="es-CO" w:eastAsia="es-ES"/>
        </w:rPr>
        <w:t>ch</w:t>
      </w:r>
      <w:r w:rsidRPr="0060216C">
        <w:rPr>
          <w:rFonts w:eastAsia="Cambria" w:cs="Cambria"/>
          <w:i w:val="0"/>
          <w:color w:val="000000"/>
          <w:u w:color="000000"/>
          <w:lang w:val="es-CO" w:eastAsia="es-ES"/>
        </w:rPr>
        <w:t>é</w:t>
      </w:r>
      <w:r w:rsidRPr="0060216C">
        <w:rPr>
          <w:rFonts w:eastAsia="Cambria" w:cs="Cambria"/>
          <w:i w:val="0"/>
          <w:color w:val="000000"/>
          <w:spacing w:val="7"/>
          <w:u w:color="000000"/>
          <w:lang w:val="es-CO" w:eastAsia="es-ES"/>
        </w:rPr>
        <w:t xml:space="preserve"> </w:t>
      </w:r>
      <w:proofErr w:type="spellStart"/>
      <w:r w:rsidRPr="0060216C">
        <w:rPr>
          <w:rFonts w:eastAsia="Cambria" w:cs="Cambria"/>
          <w:i w:val="0"/>
          <w:color w:val="000000"/>
          <w:spacing w:val="1"/>
          <w:u w:color="000000"/>
          <w:lang w:val="es-CO" w:eastAsia="es-ES"/>
        </w:rPr>
        <w:t>Cu</w:t>
      </w:r>
      <w:r w:rsidR="00AF0430">
        <w:rPr>
          <w:rFonts w:eastAsia="Cambria" w:cs="Cambria"/>
          <w:i w:val="0"/>
          <w:color w:val="000000"/>
          <w:spacing w:val="3"/>
          <w:u w:color="000000"/>
          <w:lang w:val="es-CO" w:eastAsia="es-ES"/>
        </w:rPr>
        <w:t>xeva</w:t>
      </w:r>
      <w:proofErr w:type="spellEnd"/>
      <w:r w:rsidRPr="0060216C">
        <w:rPr>
          <w:rFonts w:eastAsia="Cambria" w:cs="Cambria"/>
          <w:i w:val="0"/>
          <w:color w:val="000000"/>
          <w:u w:color="000000"/>
          <w:lang w:val="es-CO" w:eastAsia="es-ES"/>
        </w:rPr>
        <w:t>,</w:t>
      </w:r>
      <w:r w:rsidRPr="0060216C">
        <w:rPr>
          <w:rFonts w:eastAsia="Cambria" w:cs="Cambria"/>
          <w:i w:val="0"/>
          <w:color w:val="000000"/>
          <w:spacing w:val="9"/>
          <w:u w:color="000000"/>
          <w:lang w:val="es-CO" w:eastAsia="es-ES"/>
        </w:rPr>
        <w:t xml:space="preserve"> </w:t>
      </w:r>
      <w:r w:rsidRPr="0060216C">
        <w:rPr>
          <w:rFonts w:eastAsia="Cambria" w:cs="Cambria"/>
          <w:i w:val="0"/>
          <w:color w:val="000000"/>
          <w:spacing w:val="-1"/>
          <w:u w:color="000000"/>
          <w:lang w:val="es-CO" w:eastAsia="es-ES"/>
        </w:rPr>
        <w:t>q</w:t>
      </w:r>
      <w:r w:rsidRPr="0060216C">
        <w:rPr>
          <w:rFonts w:eastAsia="Cambria" w:cs="Cambria"/>
          <w:i w:val="0"/>
          <w:color w:val="000000"/>
          <w:spacing w:val="1"/>
          <w:u w:color="000000"/>
          <w:lang w:val="es-CO" w:eastAsia="es-ES"/>
        </w:rPr>
        <w:t>u</w:t>
      </w:r>
      <w:r w:rsidRPr="0060216C">
        <w:rPr>
          <w:rFonts w:eastAsia="Cambria" w:cs="Cambria"/>
          <w:i w:val="0"/>
          <w:color w:val="000000"/>
          <w:spacing w:val="2"/>
          <w:u w:color="000000"/>
          <w:lang w:val="es-CO" w:eastAsia="es-ES"/>
        </w:rPr>
        <w:t>i</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n</w:t>
      </w:r>
      <w:r w:rsidRPr="0060216C">
        <w:rPr>
          <w:rFonts w:eastAsia="Cambria" w:cs="Cambria"/>
          <w:i w:val="0"/>
          <w:color w:val="000000"/>
          <w:spacing w:val="10"/>
          <w:u w:color="000000"/>
          <w:lang w:val="es-CO" w:eastAsia="es-ES"/>
        </w:rPr>
        <w:t xml:space="preserve"> </w:t>
      </w:r>
      <w:r w:rsidRPr="0060216C">
        <w:rPr>
          <w:rFonts w:eastAsia="Cambria" w:cs="Cambria"/>
          <w:i w:val="0"/>
          <w:color w:val="000000"/>
          <w:u w:color="000000"/>
          <w:lang w:val="es-CO" w:eastAsia="es-ES"/>
        </w:rPr>
        <w:t>f</w:t>
      </w:r>
      <w:r w:rsidRPr="0060216C">
        <w:rPr>
          <w:rFonts w:eastAsia="Cambria" w:cs="Cambria"/>
          <w:i w:val="0"/>
          <w:color w:val="000000"/>
          <w:spacing w:val="1"/>
          <w:u w:color="000000"/>
          <w:lang w:val="es-CO" w:eastAsia="es-ES"/>
        </w:rPr>
        <w:t>all</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ió</w:t>
      </w:r>
      <w:r w:rsidRPr="0060216C">
        <w:rPr>
          <w:rFonts w:eastAsia="Cambria" w:cs="Cambria"/>
          <w:i w:val="0"/>
          <w:color w:val="000000"/>
          <w:spacing w:val="8"/>
          <w:u w:color="000000"/>
          <w:lang w:val="es-CO" w:eastAsia="es-ES"/>
        </w:rPr>
        <w:t xml:space="preserve"> </w:t>
      </w:r>
      <w:r w:rsidRPr="0060216C">
        <w:rPr>
          <w:rFonts w:eastAsia="Cambria" w:cs="Cambria"/>
          <w:i w:val="0"/>
          <w:color w:val="000000"/>
          <w:spacing w:val="1"/>
          <w:u w:color="000000"/>
          <w:lang w:val="es-CO" w:eastAsia="es-ES"/>
        </w:rPr>
        <w:t>a</w:t>
      </w:r>
      <w:r w:rsidRPr="0060216C">
        <w:rPr>
          <w:rFonts w:eastAsia="Cambria" w:cs="Cambria"/>
          <w:i w:val="0"/>
          <w:color w:val="000000"/>
          <w:spacing w:val="-1"/>
          <w:u w:color="000000"/>
          <w:lang w:val="es-CO" w:eastAsia="es-ES"/>
        </w:rPr>
        <w:t>n</w:t>
      </w:r>
      <w:r w:rsidRPr="0060216C">
        <w:rPr>
          <w:rFonts w:eastAsia="Cambria" w:cs="Cambria"/>
          <w:i w:val="0"/>
          <w:color w:val="000000"/>
          <w:spacing w:val="2"/>
          <w:u w:color="000000"/>
          <w:lang w:val="es-CO" w:eastAsia="es-ES"/>
        </w:rPr>
        <w:t>t</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s</w:t>
      </w:r>
      <w:r w:rsidRPr="0060216C">
        <w:rPr>
          <w:rFonts w:eastAsia="Cambria" w:cs="Cambria"/>
          <w:i w:val="0"/>
          <w:color w:val="000000"/>
          <w:spacing w:val="10"/>
          <w:u w:color="000000"/>
          <w:lang w:val="es-CO" w:eastAsia="es-ES"/>
        </w:rPr>
        <w:t xml:space="preserve"> </w:t>
      </w:r>
      <w:r w:rsidRPr="0060216C">
        <w:rPr>
          <w:rFonts w:eastAsia="Cambria" w:cs="Cambria"/>
          <w:i w:val="0"/>
          <w:color w:val="000000"/>
          <w:spacing w:val="3"/>
          <w:u w:color="000000"/>
          <w:lang w:val="es-CO" w:eastAsia="es-ES"/>
        </w:rPr>
        <w:t>d</w:t>
      </w:r>
      <w:r w:rsidRPr="0060216C">
        <w:rPr>
          <w:rFonts w:eastAsia="Cambria" w:cs="Cambria"/>
          <w:i w:val="0"/>
          <w:color w:val="000000"/>
          <w:u w:color="000000"/>
          <w:lang w:val="es-CO" w:eastAsia="es-ES"/>
        </w:rPr>
        <w:t>e</w:t>
      </w:r>
      <w:r w:rsidRPr="0060216C">
        <w:rPr>
          <w:rFonts w:eastAsia="Cambria" w:cs="Cambria"/>
          <w:i w:val="0"/>
          <w:color w:val="000000"/>
          <w:spacing w:val="11"/>
          <w:u w:color="000000"/>
          <w:lang w:val="es-CO" w:eastAsia="es-ES"/>
        </w:rPr>
        <w:t xml:space="preserve"> </w:t>
      </w:r>
      <w:r w:rsidRPr="0060216C">
        <w:rPr>
          <w:rFonts w:eastAsia="Cambria" w:cs="Cambria"/>
          <w:i w:val="0"/>
          <w:color w:val="000000"/>
          <w:spacing w:val="1"/>
          <w:u w:color="000000"/>
          <w:lang w:val="es-CO" w:eastAsia="es-ES"/>
        </w:rPr>
        <w:t>l</w:t>
      </w:r>
      <w:r w:rsidRPr="0060216C">
        <w:rPr>
          <w:rFonts w:eastAsia="Cambria" w:cs="Cambria"/>
          <w:i w:val="0"/>
          <w:color w:val="000000"/>
          <w:u w:color="000000"/>
          <w:lang w:val="es-CO" w:eastAsia="es-ES"/>
        </w:rPr>
        <w:t>a</w:t>
      </w:r>
      <w:r w:rsidRPr="0060216C">
        <w:rPr>
          <w:rFonts w:eastAsia="Cambria" w:cs="Cambria"/>
          <w:i w:val="0"/>
          <w:color w:val="000000"/>
          <w:spacing w:val="13"/>
          <w:u w:color="000000"/>
          <w:lang w:val="es-CO" w:eastAsia="es-ES"/>
        </w:rPr>
        <w:t xml:space="preserve"> </w:t>
      </w:r>
      <w:r w:rsidRPr="0060216C">
        <w:rPr>
          <w:rFonts w:eastAsia="Cambria" w:cs="Cambria"/>
          <w:i w:val="0"/>
          <w:color w:val="000000"/>
          <w:spacing w:val="2"/>
          <w:u w:color="000000"/>
          <w:lang w:val="es-CO" w:eastAsia="es-ES"/>
        </w:rPr>
        <w:t>in</w:t>
      </w:r>
      <w:r w:rsidRPr="0060216C">
        <w:rPr>
          <w:rFonts w:eastAsia="Cambria" w:cs="Cambria"/>
          <w:i w:val="0"/>
          <w:color w:val="000000"/>
          <w:u w:color="000000"/>
          <w:lang w:val="es-CO" w:eastAsia="es-ES"/>
        </w:rPr>
        <w:t>t</w:t>
      </w:r>
      <w:r w:rsidRPr="0060216C">
        <w:rPr>
          <w:rFonts w:eastAsia="Cambria" w:cs="Cambria"/>
          <w:i w:val="0"/>
          <w:color w:val="000000"/>
          <w:spacing w:val="-1"/>
          <w:u w:color="000000"/>
          <w:lang w:val="es-CO" w:eastAsia="es-ES"/>
        </w:rPr>
        <w:t>e</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po</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i</w:t>
      </w:r>
      <w:r w:rsidRPr="0060216C">
        <w:rPr>
          <w:rFonts w:eastAsia="Cambria" w:cs="Cambria"/>
          <w:i w:val="0"/>
          <w:color w:val="000000"/>
          <w:spacing w:val="1"/>
          <w:u w:color="000000"/>
          <w:lang w:val="es-CO" w:eastAsia="es-ES"/>
        </w:rPr>
        <w:t>c</w:t>
      </w:r>
      <w:r w:rsidRPr="0060216C">
        <w:rPr>
          <w:rFonts w:eastAsia="Cambria" w:cs="Cambria"/>
          <w:i w:val="0"/>
          <w:color w:val="000000"/>
          <w:u w:color="000000"/>
          <w:lang w:val="es-CO" w:eastAsia="es-ES"/>
        </w:rPr>
        <w:t>i</w:t>
      </w:r>
      <w:r w:rsidRPr="0060216C">
        <w:rPr>
          <w:rFonts w:eastAsia="Cambria" w:cs="Cambria"/>
          <w:i w:val="0"/>
          <w:color w:val="000000"/>
          <w:spacing w:val="2"/>
          <w:u w:color="000000"/>
          <w:lang w:val="es-CO" w:eastAsia="es-ES"/>
        </w:rPr>
        <w:t>ó</w:t>
      </w:r>
      <w:r w:rsidRPr="0060216C">
        <w:rPr>
          <w:rFonts w:eastAsia="Cambria" w:cs="Cambria"/>
          <w:i w:val="0"/>
          <w:color w:val="000000"/>
          <w:u w:color="000000"/>
          <w:lang w:val="es-CO" w:eastAsia="es-ES"/>
        </w:rPr>
        <w:t>n</w:t>
      </w:r>
      <w:r w:rsidRPr="0060216C">
        <w:rPr>
          <w:rFonts w:eastAsia="Cambria" w:cs="Cambria"/>
          <w:i w:val="0"/>
          <w:color w:val="000000"/>
          <w:spacing w:val="2"/>
          <w:u w:color="000000"/>
          <w:lang w:val="es-CO" w:eastAsia="es-ES"/>
        </w:rPr>
        <w:t xml:space="preserve"> </w:t>
      </w:r>
      <w:r w:rsidRPr="0060216C">
        <w:rPr>
          <w:rFonts w:eastAsia="Cambria" w:cs="Cambria"/>
          <w:i w:val="0"/>
          <w:color w:val="000000"/>
          <w:u w:color="000000"/>
          <w:lang w:val="es-CO" w:eastAsia="es-ES"/>
        </w:rPr>
        <w:t>y</w:t>
      </w:r>
      <w:r w:rsidRPr="0060216C">
        <w:rPr>
          <w:rFonts w:eastAsia="Cambria" w:cs="Cambria"/>
          <w:i w:val="0"/>
          <w:color w:val="000000"/>
          <w:spacing w:val="16"/>
          <w:u w:color="000000"/>
          <w:lang w:val="es-CO" w:eastAsia="es-ES"/>
        </w:rPr>
        <w:t xml:space="preserve"> </w:t>
      </w:r>
      <w:r w:rsidRPr="0060216C">
        <w:rPr>
          <w:rFonts w:eastAsia="Cambria" w:cs="Cambria"/>
          <w:i w:val="0"/>
          <w:color w:val="000000"/>
          <w:spacing w:val="-1"/>
          <w:u w:color="000000"/>
          <w:lang w:val="es-CO" w:eastAsia="es-ES"/>
        </w:rPr>
        <w:t>re</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o</w:t>
      </w:r>
      <w:r w:rsidRPr="0060216C">
        <w:rPr>
          <w:rFonts w:eastAsia="Cambria" w:cs="Cambria"/>
          <w:i w:val="0"/>
          <w:color w:val="000000"/>
          <w:spacing w:val="1"/>
          <w:u w:color="000000"/>
          <w:lang w:val="es-CO" w:eastAsia="es-ES"/>
        </w:rPr>
        <w:t>luc</w:t>
      </w:r>
      <w:r w:rsidRPr="0060216C">
        <w:rPr>
          <w:rFonts w:eastAsia="Cambria" w:cs="Cambria"/>
          <w:i w:val="0"/>
          <w:color w:val="000000"/>
          <w:u w:color="000000"/>
          <w:lang w:val="es-CO" w:eastAsia="es-ES"/>
        </w:rPr>
        <w:t>i</w:t>
      </w:r>
      <w:r w:rsidRPr="0060216C">
        <w:rPr>
          <w:rFonts w:eastAsia="Cambria" w:cs="Cambria"/>
          <w:i w:val="0"/>
          <w:color w:val="000000"/>
          <w:spacing w:val="2"/>
          <w:u w:color="000000"/>
          <w:lang w:val="es-CO" w:eastAsia="es-ES"/>
        </w:rPr>
        <w:t>ó</w:t>
      </w:r>
      <w:r w:rsidRPr="0060216C">
        <w:rPr>
          <w:rFonts w:eastAsia="Cambria" w:cs="Cambria"/>
          <w:i w:val="0"/>
          <w:color w:val="000000"/>
          <w:u w:color="000000"/>
          <w:lang w:val="es-CO" w:eastAsia="es-ES"/>
        </w:rPr>
        <w:t>n d</w:t>
      </w:r>
      <w:r w:rsidRPr="0060216C">
        <w:rPr>
          <w:rFonts w:eastAsia="Cambria" w:cs="Cambria"/>
          <w:i w:val="0"/>
          <w:color w:val="000000"/>
          <w:spacing w:val="-1"/>
          <w:u w:color="000000"/>
          <w:lang w:val="es-CO" w:eastAsia="es-ES"/>
        </w:rPr>
        <w:t>e</w:t>
      </w:r>
      <w:r w:rsidRPr="0060216C">
        <w:rPr>
          <w:rFonts w:eastAsia="Cambria" w:cs="Cambria"/>
          <w:i w:val="0"/>
          <w:color w:val="000000"/>
          <w:u w:color="000000"/>
          <w:lang w:val="es-CO" w:eastAsia="es-ES"/>
        </w:rPr>
        <w:t>l</w:t>
      </w:r>
      <w:r w:rsidRPr="0060216C">
        <w:rPr>
          <w:rFonts w:eastAsia="Cambria" w:cs="Cambria"/>
          <w:i w:val="0"/>
          <w:color w:val="000000"/>
          <w:spacing w:val="-3"/>
          <w:u w:color="000000"/>
          <w:lang w:val="es-CO" w:eastAsia="es-ES"/>
        </w:rPr>
        <w:t xml:space="preserve"> </w:t>
      </w:r>
      <w:r w:rsidRPr="0060216C">
        <w:rPr>
          <w:rFonts w:eastAsia="Cambria" w:cs="Cambria"/>
          <w:i w:val="0"/>
          <w:color w:val="000000"/>
          <w:spacing w:val="2"/>
          <w:u w:color="000000"/>
          <w:lang w:val="es-CO" w:eastAsia="es-ES"/>
        </w:rPr>
        <w:t>r</w:t>
      </w:r>
      <w:r w:rsidRPr="0060216C">
        <w:rPr>
          <w:rFonts w:eastAsia="Cambria" w:cs="Cambria"/>
          <w:i w:val="0"/>
          <w:color w:val="000000"/>
          <w:spacing w:val="-1"/>
          <w:u w:color="000000"/>
          <w:lang w:val="es-CO" w:eastAsia="es-ES"/>
        </w:rPr>
        <w:t>e</w:t>
      </w:r>
      <w:r w:rsidRPr="0060216C">
        <w:rPr>
          <w:rFonts w:eastAsia="Cambria" w:cs="Cambria"/>
          <w:i w:val="0"/>
          <w:color w:val="000000"/>
          <w:spacing w:val="1"/>
          <w:u w:color="000000"/>
          <w:lang w:val="es-CO" w:eastAsia="es-ES"/>
        </w:rPr>
        <w:t>cu</w:t>
      </w:r>
      <w:r w:rsidRPr="0060216C">
        <w:rPr>
          <w:rFonts w:eastAsia="Cambria" w:cs="Cambria"/>
          <w:i w:val="0"/>
          <w:color w:val="000000"/>
          <w:spacing w:val="-1"/>
          <w:u w:color="000000"/>
          <w:lang w:val="es-CO" w:eastAsia="es-ES"/>
        </w:rPr>
        <w:t>r</w:t>
      </w:r>
      <w:r w:rsidRPr="0060216C">
        <w:rPr>
          <w:rFonts w:eastAsia="Cambria" w:cs="Cambria"/>
          <w:i w:val="0"/>
          <w:color w:val="000000"/>
          <w:spacing w:val="1"/>
          <w:u w:color="000000"/>
          <w:lang w:val="es-CO" w:eastAsia="es-ES"/>
        </w:rPr>
        <w:t>s</w:t>
      </w:r>
      <w:r w:rsidRPr="0060216C">
        <w:rPr>
          <w:rFonts w:eastAsia="Cambria" w:cs="Cambria"/>
          <w:i w:val="0"/>
          <w:color w:val="000000"/>
          <w:u w:color="000000"/>
          <w:lang w:val="es-CO" w:eastAsia="es-ES"/>
        </w:rPr>
        <w:t>o</w:t>
      </w:r>
      <w:r w:rsidRPr="0060216C">
        <w:rPr>
          <w:rFonts w:eastAsia="Cambria" w:cs="Cambria"/>
          <w:i w:val="0"/>
          <w:color w:val="000000"/>
          <w:spacing w:val="-5"/>
          <w:u w:color="000000"/>
          <w:lang w:val="es-CO" w:eastAsia="es-ES"/>
        </w:rPr>
        <w:t xml:space="preserve"> </w:t>
      </w:r>
      <w:r w:rsidRPr="0060216C">
        <w:rPr>
          <w:rFonts w:eastAsia="Cambria" w:cs="Cambria"/>
          <w:i w:val="0"/>
          <w:color w:val="000000"/>
          <w:u w:color="000000"/>
          <w:lang w:val="es-CO" w:eastAsia="es-ES"/>
        </w:rPr>
        <w:t>de</w:t>
      </w:r>
      <w:r w:rsidRPr="0060216C">
        <w:rPr>
          <w:rFonts w:eastAsia="Cambria" w:cs="Cambria"/>
          <w:i w:val="0"/>
          <w:color w:val="000000"/>
          <w:spacing w:val="-1"/>
          <w:u w:color="000000"/>
          <w:lang w:val="es-CO" w:eastAsia="es-ES"/>
        </w:rPr>
        <w:t xml:space="preserve"> </w:t>
      </w:r>
      <w:r w:rsidRPr="0060216C">
        <w:rPr>
          <w:rFonts w:eastAsia="Cambria" w:cs="Cambria"/>
          <w:i w:val="0"/>
          <w:color w:val="000000"/>
          <w:spacing w:val="1"/>
          <w:u w:color="000000"/>
          <w:lang w:val="es-CO" w:eastAsia="es-ES"/>
        </w:rPr>
        <w:t>a</w:t>
      </w:r>
      <w:r w:rsidRPr="0060216C">
        <w:rPr>
          <w:rFonts w:eastAsia="Cambria" w:cs="Cambria"/>
          <w:i w:val="0"/>
          <w:color w:val="000000"/>
          <w:u w:color="000000"/>
          <w:lang w:val="es-CO" w:eastAsia="es-ES"/>
        </w:rPr>
        <w:t>mp</w:t>
      </w:r>
      <w:r w:rsidRPr="0060216C">
        <w:rPr>
          <w:rFonts w:eastAsia="Cambria" w:cs="Cambria"/>
          <w:i w:val="0"/>
          <w:color w:val="000000"/>
          <w:spacing w:val="1"/>
          <w:u w:color="000000"/>
          <w:lang w:val="es-CO" w:eastAsia="es-ES"/>
        </w:rPr>
        <w:t>a</w:t>
      </w:r>
      <w:r w:rsidRPr="0060216C">
        <w:rPr>
          <w:rFonts w:eastAsia="Cambria" w:cs="Cambria"/>
          <w:i w:val="0"/>
          <w:color w:val="000000"/>
          <w:spacing w:val="2"/>
          <w:u w:color="000000"/>
          <w:lang w:val="es-CO" w:eastAsia="es-ES"/>
        </w:rPr>
        <w:t>r</w:t>
      </w:r>
      <w:r w:rsidRPr="0060216C">
        <w:rPr>
          <w:rFonts w:eastAsia="Cambria" w:cs="Cambria"/>
          <w:i w:val="0"/>
          <w:color w:val="000000"/>
          <w:u w:color="000000"/>
          <w:lang w:val="es-CO" w:eastAsia="es-ES"/>
        </w:rPr>
        <w:t>o.</w:t>
      </w:r>
    </w:p>
    <w:p w14:paraId="0CFEC6D1" w14:textId="77777777" w:rsidR="008E387F" w:rsidRPr="0060216C" w:rsidRDefault="008E387F" w:rsidP="008E387F">
      <w:pPr>
        <w:pStyle w:val="Estilo1"/>
        <w:tabs>
          <w:tab w:val="left" w:pos="709"/>
          <w:tab w:val="left" w:pos="1134"/>
        </w:tabs>
        <w:spacing w:after="0"/>
        <w:ind w:left="0" w:right="-4" w:firstLine="0"/>
        <w:rPr>
          <w:rFonts w:cs="Arial"/>
          <w:i w:val="0"/>
          <w:color w:val="000000"/>
          <w:u w:color="000000"/>
          <w:lang w:val="es-CO"/>
        </w:rPr>
      </w:pPr>
    </w:p>
    <w:p w14:paraId="0B90DFE7" w14:textId="0C21AE0D" w:rsidR="00C42183" w:rsidRPr="008E387F" w:rsidRDefault="00C42183" w:rsidP="00E92CA8">
      <w:pPr>
        <w:pStyle w:val="Estilo1"/>
        <w:numPr>
          <w:ilvl w:val="0"/>
          <w:numId w:val="3"/>
        </w:numPr>
        <w:tabs>
          <w:tab w:val="left" w:pos="709"/>
          <w:tab w:val="left" w:pos="1134"/>
        </w:tabs>
        <w:spacing w:after="0"/>
        <w:ind w:left="0" w:right="-4" w:firstLine="0"/>
        <w:rPr>
          <w:rFonts w:cs="Arial"/>
          <w:i w:val="0"/>
          <w:color w:val="000000"/>
          <w:u w:color="000000"/>
          <w:lang w:val="es-CO"/>
        </w:rPr>
      </w:pPr>
      <w:r w:rsidRPr="0060216C">
        <w:rPr>
          <w:rFonts w:eastAsia="Arial" w:cs="Arial"/>
          <w:i w:val="0"/>
          <w:color w:val="000000"/>
          <w:u w:color="000000"/>
          <w:lang w:val="es-CO" w:eastAsia="es-ES"/>
        </w:rPr>
        <w:t xml:space="preserve">Los </w:t>
      </w:r>
      <w:r w:rsidRPr="004D76E0">
        <w:rPr>
          <w:rFonts w:eastAsia="Arial" w:cs="Arial"/>
          <w:b/>
          <w:color w:val="000000"/>
          <w:u w:color="000000"/>
          <w:lang w:val="es-CO" w:eastAsia="es-ES"/>
        </w:rPr>
        <w:t>representantes</w:t>
      </w:r>
      <w:r w:rsidRPr="0060216C">
        <w:rPr>
          <w:rFonts w:eastAsia="Arial" w:cs="Arial"/>
          <w:i w:val="0"/>
          <w:color w:val="000000"/>
          <w:u w:color="000000"/>
          <w:lang w:val="es-CO" w:eastAsia="es-ES"/>
        </w:rPr>
        <w:t xml:space="preserve"> señalaron que la decisión de la Corte </w:t>
      </w:r>
      <w:r w:rsidR="00AF0430">
        <w:rPr>
          <w:rFonts w:eastAsia="Arial" w:cs="Arial"/>
          <w:i w:val="0"/>
          <w:color w:val="000000"/>
          <w:u w:color="000000"/>
          <w:lang w:val="es-CO" w:eastAsia="es-ES"/>
        </w:rPr>
        <w:t xml:space="preserve">de </w:t>
      </w:r>
      <w:r w:rsidRPr="0060216C">
        <w:rPr>
          <w:rFonts w:eastAsia="Arial" w:cs="Arial"/>
          <w:i w:val="0"/>
          <w:color w:val="000000"/>
          <w:u w:color="000000"/>
          <w:lang w:val="es-CO" w:eastAsia="es-ES"/>
        </w:rPr>
        <w:t>Constitucional</w:t>
      </w:r>
      <w:r w:rsidR="00AF0430">
        <w:rPr>
          <w:rFonts w:eastAsia="Arial" w:cs="Arial"/>
          <w:i w:val="0"/>
          <w:color w:val="000000"/>
          <w:u w:color="000000"/>
          <w:lang w:val="es-CO" w:eastAsia="es-ES"/>
        </w:rPr>
        <w:t>idad</w:t>
      </w:r>
      <w:r w:rsidRPr="0060216C">
        <w:rPr>
          <w:rFonts w:eastAsia="Arial" w:cs="Arial"/>
          <w:i w:val="0"/>
          <w:color w:val="000000"/>
          <w:u w:color="000000"/>
          <w:lang w:val="es-CO" w:eastAsia="es-ES"/>
        </w:rPr>
        <w:t xml:space="preserve"> trajo</w:t>
      </w:r>
      <w:r w:rsidRPr="0060216C">
        <w:rPr>
          <w:rFonts w:eastAsia="Arial" w:cs="Arial"/>
          <w:i w:val="0"/>
          <w:color w:val="000000"/>
          <w:spacing w:val="4"/>
          <w:u w:color="000000"/>
          <w:lang w:val="es-CO" w:eastAsia="es-ES"/>
        </w:rPr>
        <w:t xml:space="preserve"> </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m</w:t>
      </w:r>
      <w:r w:rsidRPr="0060216C">
        <w:rPr>
          <w:rFonts w:eastAsia="Arial" w:cs="Arial"/>
          <w:i w:val="0"/>
          <w:color w:val="000000"/>
          <w:u w:color="000000"/>
          <w:lang w:val="es-CO" w:eastAsia="es-ES"/>
        </w:rPr>
        <w:t>o</w:t>
      </w:r>
      <w:r w:rsidRPr="0060216C">
        <w:rPr>
          <w:rFonts w:eastAsia="Arial" w:cs="Arial"/>
          <w:i w:val="0"/>
          <w:color w:val="000000"/>
          <w:spacing w:val="4"/>
          <w:u w:color="000000"/>
          <w:lang w:val="es-CO" w:eastAsia="es-ES"/>
        </w:rPr>
        <w:t xml:space="preserve"> </w:t>
      </w:r>
      <w:r w:rsidRPr="0060216C">
        <w:rPr>
          <w:rFonts w:eastAsia="Arial" w:cs="Arial"/>
          <w:i w:val="0"/>
          <w:color w:val="000000"/>
          <w:spacing w:val="-2"/>
          <w:u w:color="000000"/>
          <w:lang w:val="es-CO" w:eastAsia="es-ES"/>
        </w:rPr>
        <w:t>c</w:t>
      </w:r>
      <w:r w:rsidRPr="0060216C">
        <w:rPr>
          <w:rFonts w:eastAsia="Arial" w:cs="Arial"/>
          <w:i w:val="0"/>
          <w:color w:val="000000"/>
          <w:spacing w:val="1"/>
          <w:u w:color="000000"/>
          <w:lang w:val="es-CO" w:eastAsia="es-ES"/>
        </w:rPr>
        <w:t>on</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e</w:t>
      </w:r>
      <w:r w:rsidRPr="0060216C">
        <w:rPr>
          <w:rFonts w:eastAsia="Arial" w:cs="Arial"/>
          <w:i w:val="0"/>
          <w:color w:val="000000"/>
          <w:spacing w:val="-2"/>
          <w:u w:color="000000"/>
          <w:lang w:val="es-CO" w:eastAsia="es-ES"/>
        </w:rPr>
        <w:t>c</w:t>
      </w:r>
      <w:r w:rsidRPr="0060216C">
        <w:rPr>
          <w:rFonts w:eastAsia="Arial" w:cs="Arial"/>
          <w:i w:val="0"/>
          <w:color w:val="000000"/>
          <w:spacing w:val="1"/>
          <w:u w:color="000000"/>
          <w:lang w:val="es-CO" w:eastAsia="es-ES"/>
        </w:rPr>
        <w:t>u</w:t>
      </w:r>
      <w:r w:rsidRPr="0060216C">
        <w:rPr>
          <w:rFonts w:eastAsia="Arial" w:cs="Arial"/>
          <w:i w:val="0"/>
          <w:color w:val="000000"/>
          <w:spacing w:val="-1"/>
          <w:u w:color="000000"/>
          <w:lang w:val="es-CO" w:eastAsia="es-ES"/>
        </w:rPr>
        <w:t>e</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cia</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s</w:t>
      </w:r>
      <w:r w:rsidRPr="0060216C">
        <w:rPr>
          <w:rFonts w:eastAsia="Arial" w:cs="Arial"/>
          <w:i w:val="0"/>
          <w:color w:val="000000"/>
          <w:spacing w:val="7"/>
          <w:u w:color="000000"/>
          <w:lang w:val="es-CO" w:eastAsia="es-ES"/>
        </w:rPr>
        <w:t xml:space="preserve"> </w:t>
      </w:r>
      <w:r w:rsidRPr="0060216C">
        <w:rPr>
          <w:rFonts w:eastAsia="Arial" w:cs="Arial"/>
          <w:i w:val="0"/>
          <w:color w:val="000000"/>
          <w:spacing w:val="-2"/>
          <w:u w:color="000000"/>
          <w:lang w:val="es-CO" w:eastAsia="es-ES"/>
        </w:rPr>
        <w:t>v</w:t>
      </w:r>
      <w:r w:rsidRPr="0060216C">
        <w:rPr>
          <w:rFonts w:eastAsia="Arial" w:cs="Arial"/>
          <w:i w:val="0"/>
          <w:color w:val="000000"/>
          <w:u w:color="000000"/>
          <w:lang w:val="es-CO" w:eastAsia="es-ES"/>
        </w:rPr>
        <w:t>iol</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cio</w:t>
      </w:r>
      <w:r w:rsidRPr="0060216C">
        <w:rPr>
          <w:rFonts w:eastAsia="Arial" w:cs="Arial"/>
          <w:i w:val="0"/>
          <w:color w:val="000000"/>
          <w:spacing w:val="1"/>
          <w:u w:color="000000"/>
          <w:lang w:val="es-CO" w:eastAsia="es-ES"/>
        </w:rPr>
        <w:t>ne</w:t>
      </w:r>
      <w:r w:rsidRPr="0060216C">
        <w:rPr>
          <w:rFonts w:eastAsia="Arial" w:cs="Arial"/>
          <w:i w:val="0"/>
          <w:color w:val="000000"/>
          <w:u w:color="000000"/>
          <w:lang w:val="es-CO" w:eastAsia="es-ES"/>
        </w:rPr>
        <w:t>s</w:t>
      </w:r>
      <w:r w:rsidRPr="0060216C">
        <w:rPr>
          <w:rFonts w:eastAsia="Arial" w:cs="Arial"/>
          <w:i w:val="0"/>
          <w:color w:val="000000"/>
          <w:spacing w:val="3"/>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istin</w:t>
      </w:r>
      <w:r w:rsidRPr="0060216C">
        <w:rPr>
          <w:rFonts w:eastAsia="Arial" w:cs="Arial"/>
          <w:i w:val="0"/>
          <w:color w:val="000000"/>
          <w:spacing w:val="-1"/>
          <w:u w:color="000000"/>
          <w:lang w:val="es-CO" w:eastAsia="es-ES"/>
        </w:rPr>
        <w:t>t</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s</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a</w:t>
      </w:r>
      <w:r w:rsidRPr="0060216C">
        <w:rPr>
          <w:rFonts w:eastAsia="Arial" w:cs="Arial"/>
          <w:i w:val="0"/>
          <w:color w:val="000000"/>
          <w:spacing w:val="2"/>
          <w:u w:color="000000"/>
          <w:lang w:val="es-CO" w:eastAsia="es-ES"/>
        </w:rPr>
        <w:t xml:space="preserve"> </w:t>
      </w:r>
      <w:r w:rsidRPr="0060216C">
        <w:rPr>
          <w:rFonts w:eastAsia="Arial" w:cs="Arial"/>
          <w:i w:val="0"/>
          <w:color w:val="000000"/>
          <w:u w:color="000000"/>
          <w:lang w:val="es-CO" w:eastAsia="es-ES"/>
        </w:rPr>
        <w:t>los</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re</w:t>
      </w:r>
      <w:r w:rsidRPr="0060216C">
        <w:rPr>
          <w:rFonts w:eastAsia="Arial" w:cs="Arial"/>
          <w:i w:val="0"/>
          <w:color w:val="000000"/>
          <w:spacing w:val="-2"/>
          <w:u w:color="000000"/>
          <w:lang w:val="es-CO" w:eastAsia="es-ES"/>
        </w:rPr>
        <w:t>c</w:t>
      </w:r>
      <w:r w:rsidRPr="0060216C">
        <w:rPr>
          <w:rFonts w:eastAsia="Arial" w:cs="Arial"/>
          <w:i w:val="0"/>
          <w:color w:val="000000"/>
          <w:spacing w:val="1"/>
          <w:u w:color="000000"/>
          <w:lang w:val="es-CO" w:eastAsia="es-ES"/>
        </w:rPr>
        <w:t>h</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e</w:t>
      </w:r>
      <w:r w:rsidRPr="0060216C">
        <w:rPr>
          <w:rFonts w:eastAsia="Arial" w:cs="Arial"/>
          <w:i w:val="0"/>
          <w:color w:val="000000"/>
          <w:spacing w:val="23"/>
          <w:u w:color="000000"/>
          <w:lang w:val="es-CO" w:eastAsia="es-ES"/>
        </w:rPr>
        <w:t xml:space="preserve"> </w:t>
      </w:r>
      <w:r w:rsidRPr="0060216C">
        <w:rPr>
          <w:rFonts w:eastAsia="Arial" w:cs="Arial"/>
          <w:i w:val="0"/>
          <w:color w:val="000000"/>
          <w:u w:color="000000"/>
          <w:lang w:val="es-CO" w:eastAsia="es-ES"/>
        </w:rPr>
        <w:t>las</w:t>
      </w:r>
      <w:r w:rsidRPr="0060216C">
        <w:rPr>
          <w:rFonts w:eastAsia="Arial" w:cs="Arial"/>
          <w:i w:val="0"/>
          <w:color w:val="000000"/>
          <w:spacing w:val="20"/>
          <w:u w:color="000000"/>
          <w:lang w:val="es-CO" w:eastAsia="es-ES"/>
        </w:rPr>
        <w:t xml:space="preserve"> </w:t>
      </w:r>
      <w:r w:rsidRPr="0060216C">
        <w:rPr>
          <w:rFonts w:eastAsia="Arial" w:cs="Arial"/>
          <w:i w:val="0"/>
          <w:color w:val="000000"/>
          <w:spacing w:val="-2"/>
          <w:u w:color="000000"/>
          <w:lang w:val="es-CO" w:eastAsia="es-ES"/>
        </w:rPr>
        <w:t>ví</w:t>
      </w:r>
      <w:r w:rsidRPr="0060216C">
        <w:rPr>
          <w:rFonts w:eastAsia="Arial" w:cs="Arial"/>
          <w:i w:val="0"/>
          <w:color w:val="000000"/>
          <w:u w:color="000000"/>
          <w:lang w:val="es-CO" w:eastAsia="es-ES"/>
        </w:rPr>
        <w:t>cti</w:t>
      </w:r>
      <w:r w:rsidRPr="0060216C">
        <w:rPr>
          <w:rFonts w:eastAsia="Arial" w:cs="Arial"/>
          <w:i w:val="0"/>
          <w:color w:val="000000"/>
          <w:spacing w:val="1"/>
          <w:u w:color="000000"/>
          <w:lang w:val="es-CO" w:eastAsia="es-ES"/>
        </w:rPr>
        <w:t>ma</w:t>
      </w:r>
      <w:r w:rsidRPr="0060216C">
        <w:rPr>
          <w:rFonts w:eastAsia="Arial" w:cs="Arial"/>
          <w:i w:val="0"/>
          <w:color w:val="000000"/>
          <w:u w:color="000000"/>
          <w:lang w:val="es-CO" w:eastAsia="es-ES"/>
        </w:rPr>
        <w:t>s: p</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r</w:t>
      </w:r>
      <w:r w:rsidRPr="0060216C">
        <w:rPr>
          <w:rFonts w:eastAsia="Arial" w:cs="Arial"/>
          <w:i w:val="0"/>
          <w:color w:val="000000"/>
          <w:spacing w:val="19"/>
          <w:u w:color="000000"/>
          <w:lang w:val="es-CO" w:eastAsia="es-ES"/>
        </w:rPr>
        <w:t xml:space="preserve"> </w:t>
      </w:r>
      <w:r w:rsidRPr="0060216C">
        <w:rPr>
          <w:rFonts w:eastAsia="Arial" w:cs="Arial"/>
          <w:i w:val="0"/>
          <w:color w:val="000000"/>
          <w:spacing w:val="-1"/>
          <w:u w:color="000000"/>
          <w:lang w:val="es-CO" w:eastAsia="es-ES"/>
        </w:rPr>
        <w:t>u</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a</w:t>
      </w:r>
      <w:r w:rsidRPr="0060216C">
        <w:rPr>
          <w:rFonts w:eastAsia="Arial" w:cs="Arial"/>
          <w:i w:val="0"/>
          <w:color w:val="000000"/>
          <w:spacing w:val="23"/>
          <w:u w:color="000000"/>
          <w:lang w:val="es-CO" w:eastAsia="es-ES"/>
        </w:rPr>
        <w:t xml:space="preserve"> </w:t>
      </w:r>
      <w:r w:rsidRPr="0060216C">
        <w:rPr>
          <w:rFonts w:eastAsia="Arial" w:cs="Arial"/>
          <w:i w:val="0"/>
          <w:color w:val="000000"/>
          <w:spacing w:val="-1"/>
          <w:u w:color="000000"/>
          <w:lang w:val="es-CO" w:eastAsia="es-ES"/>
        </w:rPr>
        <w:t>p</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rte,</w:t>
      </w:r>
      <w:r w:rsidRPr="0060216C">
        <w:rPr>
          <w:rFonts w:eastAsia="Arial" w:cs="Arial"/>
          <w:i w:val="0"/>
          <w:color w:val="000000"/>
          <w:spacing w:val="18"/>
          <w:u w:color="000000"/>
          <w:lang w:val="es-CO" w:eastAsia="es-ES"/>
        </w:rPr>
        <w:t xml:space="preserve"> </w:t>
      </w:r>
      <w:r w:rsidRPr="0060216C">
        <w:rPr>
          <w:rFonts w:eastAsia="Arial" w:cs="Arial"/>
          <w:i w:val="0"/>
          <w:color w:val="000000"/>
          <w:u w:color="000000"/>
          <w:lang w:val="es-CO" w:eastAsia="es-ES"/>
        </w:rPr>
        <w:t>se</w:t>
      </w:r>
      <w:r w:rsidRPr="0060216C">
        <w:rPr>
          <w:rFonts w:eastAsia="Arial" w:cs="Arial"/>
          <w:i w:val="0"/>
          <w:color w:val="000000"/>
          <w:spacing w:val="23"/>
          <w:u w:color="000000"/>
          <w:lang w:val="es-CO" w:eastAsia="es-ES"/>
        </w:rPr>
        <w:t xml:space="preserve"> </w:t>
      </w:r>
      <w:r w:rsidRPr="0060216C">
        <w:rPr>
          <w:rFonts w:eastAsia="Arial" w:cs="Arial"/>
          <w:i w:val="0"/>
          <w:color w:val="000000"/>
          <w:spacing w:val="-2"/>
          <w:u w:color="000000"/>
          <w:lang w:val="es-CO" w:eastAsia="es-ES"/>
        </w:rPr>
        <w:t>v</w:t>
      </w:r>
      <w:r w:rsidRPr="0060216C">
        <w:rPr>
          <w:rFonts w:eastAsia="Arial" w:cs="Arial"/>
          <w:i w:val="0"/>
          <w:color w:val="000000"/>
          <w:u w:color="000000"/>
          <w:lang w:val="es-CO" w:eastAsia="es-ES"/>
        </w:rPr>
        <w:t>ioló</w:t>
      </w:r>
      <w:r w:rsidRPr="0060216C">
        <w:rPr>
          <w:rFonts w:eastAsia="Arial" w:cs="Arial"/>
          <w:i w:val="0"/>
          <w:color w:val="000000"/>
          <w:spacing w:val="22"/>
          <w:u w:color="000000"/>
          <w:lang w:val="es-CO" w:eastAsia="es-ES"/>
        </w:rPr>
        <w:t xml:space="preserve"> </w:t>
      </w:r>
      <w:r w:rsidRPr="0060216C">
        <w:rPr>
          <w:rFonts w:eastAsia="Arial" w:cs="Arial"/>
          <w:i w:val="0"/>
          <w:color w:val="000000"/>
          <w:u w:color="000000"/>
          <w:lang w:val="es-CO" w:eastAsia="es-ES"/>
        </w:rPr>
        <w:t>su</w:t>
      </w:r>
      <w:r w:rsidRPr="0060216C">
        <w:rPr>
          <w:rFonts w:eastAsia="Arial" w:cs="Arial"/>
          <w:i w:val="0"/>
          <w:color w:val="000000"/>
          <w:spacing w:val="20"/>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rec</w:t>
      </w:r>
      <w:r w:rsidRPr="0060216C">
        <w:rPr>
          <w:rFonts w:eastAsia="Arial" w:cs="Arial"/>
          <w:i w:val="0"/>
          <w:color w:val="000000"/>
          <w:spacing w:val="1"/>
          <w:u w:color="000000"/>
          <w:lang w:val="es-CO" w:eastAsia="es-ES"/>
        </w:rPr>
        <w:t>h</w:t>
      </w:r>
      <w:r w:rsidRPr="0060216C">
        <w:rPr>
          <w:rFonts w:eastAsia="Arial" w:cs="Arial"/>
          <w:i w:val="0"/>
          <w:color w:val="000000"/>
          <w:u w:color="000000"/>
          <w:lang w:val="es-CO" w:eastAsia="es-ES"/>
        </w:rPr>
        <w:t>o</w:t>
      </w:r>
      <w:r w:rsidRPr="0060216C">
        <w:rPr>
          <w:rFonts w:eastAsia="Arial" w:cs="Arial"/>
          <w:i w:val="0"/>
          <w:color w:val="000000"/>
          <w:spacing w:val="20"/>
          <w:u w:color="000000"/>
          <w:lang w:val="es-CO" w:eastAsia="es-ES"/>
        </w:rPr>
        <w:t xml:space="preserve"> </w:t>
      </w:r>
      <w:r w:rsidRPr="0060216C">
        <w:rPr>
          <w:rFonts w:eastAsia="Arial" w:cs="Arial"/>
          <w:i w:val="0"/>
          <w:color w:val="000000"/>
          <w:u w:color="000000"/>
          <w:lang w:val="es-CO" w:eastAsia="es-ES"/>
        </w:rPr>
        <w:t>a</w:t>
      </w:r>
      <w:r w:rsidRPr="0060216C">
        <w:rPr>
          <w:rFonts w:eastAsia="Arial" w:cs="Arial"/>
          <w:i w:val="0"/>
          <w:color w:val="000000"/>
          <w:spacing w:val="20"/>
          <w:u w:color="000000"/>
          <w:lang w:val="es-CO" w:eastAsia="es-ES"/>
        </w:rPr>
        <w:t xml:space="preserve"> </w:t>
      </w:r>
      <w:r w:rsidRPr="0060216C">
        <w:rPr>
          <w:rFonts w:eastAsia="Arial" w:cs="Arial"/>
          <w:i w:val="0"/>
          <w:color w:val="000000"/>
          <w:spacing w:val="1"/>
          <w:u w:color="000000"/>
          <w:lang w:val="es-CO" w:eastAsia="es-ES"/>
        </w:rPr>
        <w:t>ob</w:t>
      </w:r>
      <w:r w:rsidRPr="0060216C">
        <w:rPr>
          <w:rFonts w:eastAsia="Arial" w:cs="Arial"/>
          <w:i w:val="0"/>
          <w:color w:val="000000"/>
          <w:spacing w:val="-2"/>
          <w:u w:color="000000"/>
          <w:lang w:val="es-CO" w:eastAsia="es-ES"/>
        </w:rPr>
        <w:t>t</w:t>
      </w:r>
      <w:r w:rsidRPr="0060216C">
        <w:rPr>
          <w:rFonts w:eastAsia="Arial" w:cs="Arial"/>
          <w:i w:val="0"/>
          <w:color w:val="000000"/>
          <w:spacing w:val="1"/>
          <w:u w:color="000000"/>
          <w:lang w:val="es-CO" w:eastAsia="es-ES"/>
        </w:rPr>
        <w:t>ene</w:t>
      </w:r>
      <w:r w:rsidRPr="0060216C">
        <w:rPr>
          <w:rFonts w:eastAsia="Arial" w:cs="Arial"/>
          <w:i w:val="0"/>
          <w:color w:val="000000"/>
          <w:u w:color="000000"/>
          <w:lang w:val="es-CO" w:eastAsia="es-ES"/>
        </w:rPr>
        <w:t>r</w:t>
      </w:r>
      <w:r w:rsidRPr="0060216C">
        <w:rPr>
          <w:rFonts w:eastAsia="Arial" w:cs="Arial"/>
          <w:i w:val="0"/>
          <w:color w:val="000000"/>
          <w:spacing w:val="18"/>
          <w:u w:color="000000"/>
          <w:lang w:val="es-CO" w:eastAsia="es-ES"/>
        </w:rPr>
        <w:t xml:space="preserve"> </w:t>
      </w:r>
      <w:r w:rsidRPr="0060216C">
        <w:rPr>
          <w:rFonts w:eastAsia="Arial" w:cs="Arial"/>
          <w:i w:val="0"/>
          <w:color w:val="000000"/>
          <w:spacing w:val="1"/>
          <w:u w:color="000000"/>
          <w:lang w:val="es-CO" w:eastAsia="es-ES"/>
        </w:rPr>
        <w:t>un</w:t>
      </w:r>
      <w:r w:rsidRPr="0060216C">
        <w:rPr>
          <w:rFonts w:eastAsia="Arial" w:cs="Arial"/>
          <w:i w:val="0"/>
          <w:color w:val="000000"/>
          <w:u w:color="000000"/>
          <w:lang w:val="es-CO" w:eastAsia="es-ES"/>
        </w:rPr>
        <w:t>a</w:t>
      </w:r>
      <w:r w:rsidRPr="0060216C">
        <w:rPr>
          <w:rFonts w:eastAsia="Arial" w:cs="Arial"/>
          <w:i w:val="0"/>
          <w:color w:val="000000"/>
          <w:spacing w:val="18"/>
          <w:u w:color="000000"/>
          <w:lang w:val="es-CO" w:eastAsia="es-ES"/>
        </w:rPr>
        <w:t xml:space="preserve">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cis</w:t>
      </w:r>
      <w:r w:rsidRPr="0060216C">
        <w:rPr>
          <w:rFonts w:eastAsia="Arial" w:cs="Arial"/>
          <w:i w:val="0"/>
          <w:color w:val="000000"/>
          <w:spacing w:val="-1"/>
          <w:u w:color="000000"/>
          <w:lang w:val="es-CO" w:eastAsia="es-ES"/>
        </w:rPr>
        <w:t>i</w:t>
      </w:r>
      <w:r w:rsidRPr="0060216C">
        <w:rPr>
          <w:rFonts w:eastAsia="Arial" w:cs="Arial"/>
          <w:i w:val="0"/>
          <w:color w:val="000000"/>
          <w:spacing w:val="1"/>
          <w:u w:color="000000"/>
          <w:lang w:val="es-CO" w:eastAsia="es-ES"/>
        </w:rPr>
        <w:t>ó</w:t>
      </w:r>
      <w:r w:rsidRPr="0060216C">
        <w:rPr>
          <w:rFonts w:eastAsia="Arial" w:cs="Arial"/>
          <w:i w:val="0"/>
          <w:color w:val="000000"/>
          <w:u w:color="000000"/>
          <w:lang w:val="es-CO" w:eastAsia="es-ES"/>
        </w:rPr>
        <w:t>n</w:t>
      </w:r>
      <w:r w:rsidRPr="0060216C">
        <w:rPr>
          <w:rFonts w:eastAsia="Arial" w:cs="Arial"/>
          <w:i w:val="0"/>
          <w:color w:val="000000"/>
          <w:spacing w:val="20"/>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 xml:space="preserve">e </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n</w:t>
      </w:r>
      <w:r w:rsidRPr="0060216C">
        <w:rPr>
          <w:rFonts w:eastAsia="Arial" w:cs="Arial"/>
          <w:i w:val="0"/>
          <w:color w:val="000000"/>
          <w:spacing w:val="1"/>
          <w:u w:color="000000"/>
          <w:lang w:val="es-CO" w:eastAsia="es-ES"/>
        </w:rPr>
        <w:t xml:space="preserve"> t</w:t>
      </w:r>
      <w:r w:rsidRPr="0060216C">
        <w:rPr>
          <w:rFonts w:eastAsia="Arial" w:cs="Arial"/>
          <w:i w:val="0"/>
          <w:color w:val="000000"/>
          <w:u w:color="000000"/>
          <w:lang w:val="es-CO" w:eastAsia="es-ES"/>
        </w:rPr>
        <w:t>r</w:t>
      </w:r>
      <w:r w:rsidRPr="0060216C">
        <w:rPr>
          <w:rFonts w:eastAsia="Arial" w:cs="Arial"/>
          <w:i w:val="0"/>
          <w:color w:val="000000"/>
          <w:spacing w:val="-1"/>
          <w:u w:color="000000"/>
          <w:lang w:val="es-CO" w:eastAsia="es-ES"/>
        </w:rPr>
        <w:t>i</w:t>
      </w:r>
      <w:r w:rsidRPr="0060216C">
        <w:rPr>
          <w:rFonts w:eastAsia="Arial" w:cs="Arial"/>
          <w:i w:val="0"/>
          <w:color w:val="000000"/>
          <w:spacing w:val="1"/>
          <w:u w:color="000000"/>
          <w:lang w:val="es-CO" w:eastAsia="es-ES"/>
        </w:rPr>
        <w:t>b</w:t>
      </w:r>
      <w:r w:rsidRPr="0060216C">
        <w:rPr>
          <w:rFonts w:eastAsia="Arial" w:cs="Arial"/>
          <w:i w:val="0"/>
          <w:color w:val="000000"/>
          <w:spacing w:val="-1"/>
          <w:u w:color="000000"/>
          <w:lang w:val="es-CO" w:eastAsia="es-ES"/>
        </w:rPr>
        <w:t>u</w:t>
      </w:r>
      <w:r w:rsidRPr="0060216C">
        <w:rPr>
          <w:rFonts w:eastAsia="Arial" w:cs="Arial"/>
          <w:i w:val="0"/>
          <w:color w:val="000000"/>
          <w:spacing w:val="1"/>
          <w:u w:color="000000"/>
          <w:lang w:val="es-CO" w:eastAsia="es-ES"/>
        </w:rPr>
        <w:t>na</w:t>
      </w:r>
      <w:r w:rsidRPr="0060216C">
        <w:rPr>
          <w:rFonts w:eastAsia="Arial" w:cs="Arial"/>
          <w:i w:val="0"/>
          <w:color w:val="000000"/>
          <w:u w:color="000000"/>
          <w:lang w:val="es-CO" w:eastAsia="es-ES"/>
        </w:rPr>
        <w:t>l</w:t>
      </w:r>
      <w:r w:rsidRPr="0060216C">
        <w:rPr>
          <w:rFonts w:eastAsia="Arial" w:cs="Arial"/>
          <w:i w:val="0"/>
          <w:color w:val="000000"/>
          <w:spacing w:val="-1"/>
          <w:u w:color="000000"/>
          <w:lang w:val="es-CO" w:eastAsia="es-ES"/>
        </w:rPr>
        <w:t xml:space="preserve"> </w:t>
      </w:r>
      <w:r w:rsidRPr="0060216C">
        <w:rPr>
          <w:rFonts w:eastAsia="Arial" w:cs="Arial"/>
          <w:i w:val="0"/>
          <w:color w:val="000000"/>
          <w:spacing w:val="-2"/>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m</w:t>
      </w:r>
      <w:r w:rsidRPr="0060216C">
        <w:rPr>
          <w:rFonts w:eastAsia="Arial" w:cs="Arial"/>
          <w:i w:val="0"/>
          <w:color w:val="000000"/>
          <w:spacing w:val="1"/>
          <w:u w:color="000000"/>
          <w:lang w:val="es-CO" w:eastAsia="es-ES"/>
        </w:rPr>
        <w:t>pe</w:t>
      </w:r>
      <w:r w:rsidRPr="0060216C">
        <w:rPr>
          <w:rFonts w:eastAsia="Arial" w:cs="Arial"/>
          <w:i w:val="0"/>
          <w:color w:val="000000"/>
          <w:spacing w:val="-2"/>
          <w:u w:color="000000"/>
          <w:lang w:val="es-CO" w:eastAsia="es-ES"/>
        </w:rPr>
        <w:t>t</w:t>
      </w:r>
      <w:r w:rsidRPr="0060216C">
        <w:rPr>
          <w:rFonts w:eastAsia="Arial" w:cs="Arial"/>
          <w:i w:val="0"/>
          <w:color w:val="000000"/>
          <w:spacing w:val="1"/>
          <w:u w:color="000000"/>
          <w:lang w:val="es-CO" w:eastAsia="es-ES"/>
        </w:rPr>
        <w:t>en</w:t>
      </w:r>
      <w:r w:rsidRPr="0060216C">
        <w:rPr>
          <w:rFonts w:eastAsia="Arial" w:cs="Arial"/>
          <w:i w:val="0"/>
          <w:color w:val="000000"/>
          <w:spacing w:val="-2"/>
          <w:u w:color="000000"/>
          <w:lang w:val="es-CO" w:eastAsia="es-ES"/>
        </w:rPr>
        <w:t>t</w:t>
      </w:r>
      <w:r w:rsidRPr="0060216C">
        <w:rPr>
          <w:rFonts w:eastAsia="Arial" w:cs="Arial"/>
          <w:i w:val="0"/>
          <w:color w:val="000000"/>
          <w:u w:color="000000"/>
          <w:lang w:val="es-CO" w:eastAsia="es-ES"/>
        </w:rPr>
        <w:t>e,</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rca</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e</w:t>
      </w:r>
      <w:r w:rsidRPr="0060216C">
        <w:rPr>
          <w:rFonts w:eastAsia="Arial" w:cs="Arial"/>
          <w:i w:val="0"/>
          <w:color w:val="000000"/>
          <w:spacing w:val="1"/>
          <w:u w:color="000000"/>
          <w:lang w:val="es-CO" w:eastAsia="es-ES"/>
        </w:rPr>
        <w:t xml:space="preserve"> </w:t>
      </w:r>
      <w:r w:rsidRPr="0060216C">
        <w:rPr>
          <w:rFonts w:eastAsia="Arial" w:cs="Arial"/>
          <w:i w:val="0"/>
          <w:color w:val="000000"/>
          <w:spacing w:val="-2"/>
          <w:u w:color="000000"/>
          <w:lang w:val="es-CO" w:eastAsia="es-ES"/>
        </w:rPr>
        <w:t>s</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lastRenderedPageBreak/>
        <w:t>d</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rec</w:t>
      </w:r>
      <w:r w:rsidRPr="0060216C">
        <w:rPr>
          <w:rFonts w:eastAsia="Arial" w:cs="Arial"/>
          <w:i w:val="0"/>
          <w:color w:val="000000"/>
          <w:spacing w:val="-1"/>
          <w:u w:color="000000"/>
          <w:lang w:val="es-CO" w:eastAsia="es-ES"/>
        </w:rPr>
        <w:t>h</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n</w:t>
      </w:r>
      <w:r w:rsidRPr="0060216C">
        <w:rPr>
          <w:rFonts w:eastAsia="Arial" w:cs="Arial"/>
          <w:i w:val="0"/>
          <w:color w:val="000000"/>
          <w:spacing w:val="-1"/>
          <w:u w:color="000000"/>
          <w:lang w:val="es-CO" w:eastAsia="es-ES"/>
        </w:rPr>
        <w:t xml:space="preserve"> </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n</w:t>
      </w:r>
      <w:r w:rsidRPr="0060216C">
        <w:rPr>
          <w:rFonts w:eastAsia="Arial" w:cs="Arial"/>
          <w:i w:val="0"/>
          <w:color w:val="000000"/>
          <w:spacing w:val="-1"/>
          <w:u w:color="000000"/>
          <w:lang w:val="es-CO" w:eastAsia="es-ES"/>
        </w:rPr>
        <w:t xml:space="preserve"> </w:t>
      </w:r>
      <w:r w:rsidRPr="0060216C">
        <w:rPr>
          <w:rFonts w:eastAsia="Arial" w:cs="Arial"/>
          <w:i w:val="0"/>
          <w:color w:val="000000"/>
          <w:spacing w:val="1"/>
          <w:u w:color="000000"/>
          <w:lang w:val="es-CO" w:eastAsia="es-ES"/>
        </w:rPr>
        <w:t>p</w:t>
      </w:r>
      <w:r w:rsidRPr="0060216C">
        <w:rPr>
          <w:rFonts w:eastAsia="Arial" w:cs="Arial"/>
          <w:i w:val="0"/>
          <w:color w:val="000000"/>
          <w:u w:color="000000"/>
          <w:lang w:val="es-CO" w:eastAsia="es-ES"/>
        </w:rPr>
        <w:t>la</w:t>
      </w:r>
      <w:r w:rsidRPr="0060216C">
        <w:rPr>
          <w:rFonts w:eastAsia="Arial" w:cs="Arial"/>
          <w:i w:val="0"/>
          <w:color w:val="000000"/>
          <w:spacing w:val="-2"/>
          <w:u w:color="000000"/>
          <w:lang w:val="es-CO" w:eastAsia="es-ES"/>
        </w:rPr>
        <w:t>z</w:t>
      </w:r>
      <w:r w:rsidRPr="0060216C">
        <w:rPr>
          <w:rFonts w:eastAsia="Arial" w:cs="Arial"/>
          <w:i w:val="0"/>
          <w:color w:val="000000"/>
          <w:u w:color="000000"/>
          <w:lang w:val="es-CO" w:eastAsia="es-ES"/>
        </w:rPr>
        <w:t>o</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ra</w:t>
      </w:r>
      <w:r w:rsidRPr="0060216C">
        <w:rPr>
          <w:rFonts w:eastAsia="Arial" w:cs="Arial"/>
          <w:i w:val="0"/>
          <w:color w:val="000000"/>
          <w:spacing w:val="-2"/>
          <w:u w:color="000000"/>
          <w:lang w:val="es-CO" w:eastAsia="es-ES"/>
        </w:rPr>
        <w:t>z</w:t>
      </w:r>
      <w:r w:rsidRPr="0060216C">
        <w:rPr>
          <w:rFonts w:eastAsia="Arial" w:cs="Arial"/>
          <w:i w:val="0"/>
          <w:color w:val="000000"/>
          <w:spacing w:val="1"/>
          <w:u w:color="000000"/>
          <w:lang w:val="es-CO" w:eastAsia="es-ES"/>
        </w:rPr>
        <w:t>on</w:t>
      </w:r>
      <w:r w:rsidRPr="0060216C">
        <w:rPr>
          <w:rFonts w:eastAsia="Arial" w:cs="Arial"/>
          <w:i w:val="0"/>
          <w:color w:val="000000"/>
          <w:spacing w:val="-1"/>
          <w:u w:color="000000"/>
          <w:lang w:val="es-CO" w:eastAsia="es-ES"/>
        </w:rPr>
        <w:t>a</w:t>
      </w:r>
      <w:r w:rsidRPr="0060216C">
        <w:rPr>
          <w:rFonts w:eastAsia="Arial" w:cs="Arial"/>
          <w:i w:val="0"/>
          <w:color w:val="000000"/>
          <w:spacing w:val="1"/>
          <w:u w:color="000000"/>
          <w:lang w:val="es-CO" w:eastAsia="es-ES"/>
        </w:rPr>
        <w:t>b</w:t>
      </w:r>
      <w:r w:rsidRPr="0060216C">
        <w:rPr>
          <w:rFonts w:eastAsia="Arial" w:cs="Arial"/>
          <w:i w:val="0"/>
          <w:color w:val="000000"/>
          <w:u w:color="000000"/>
          <w:lang w:val="es-CO" w:eastAsia="es-ES"/>
        </w:rPr>
        <w:t xml:space="preserve">le y con diligencia excepcional, pues </w:t>
      </w:r>
      <w:r w:rsidR="00AF0430">
        <w:rPr>
          <w:rFonts w:eastAsia="Arial" w:cs="Arial"/>
          <w:i w:val="0"/>
          <w:color w:val="000000"/>
          <w:u w:color="000000"/>
          <w:lang w:val="es-CO" w:eastAsia="es-ES"/>
        </w:rPr>
        <w:t>dicho Tribunal</w:t>
      </w:r>
      <w:r w:rsidRPr="0060216C">
        <w:rPr>
          <w:rFonts w:eastAsia="Arial" w:cs="Arial"/>
          <w:i w:val="0"/>
          <w:color w:val="000000"/>
          <w:u w:color="000000"/>
          <w:lang w:val="es-CO" w:eastAsia="es-ES"/>
        </w:rPr>
        <w:t xml:space="preserve"> t</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r</w:t>
      </w:r>
      <w:r w:rsidRPr="0060216C">
        <w:rPr>
          <w:rFonts w:eastAsia="Arial" w:cs="Arial"/>
          <w:i w:val="0"/>
          <w:color w:val="000000"/>
          <w:spacing w:val="-2"/>
          <w:u w:color="000000"/>
          <w:lang w:val="es-CO" w:eastAsia="es-ES"/>
        </w:rPr>
        <w:t>d</w:t>
      </w:r>
      <w:r w:rsidRPr="0060216C">
        <w:rPr>
          <w:rFonts w:eastAsia="Arial" w:cs="Arial"/>
          <w:i w:val="0"/>
          <w:color w:val="000000"/>
          <w:u w:color="000000"/>
          <w:lang w:val="es-CO" w:eastAsia="es-ES"/>
        </w:rPr>
        <w:t>ó</w:t>
      </w:r>
      <w:r w:rsidRPr="0060216C">
        <w:rPr>
          <w:rFonts w:eastAsia="Arial" w:cs="Arial"/>
          <w:i w:val="0"/>
          <w:color w:val="000000"/>
          <w:spacing w:val="4"/>
          <w:u w:color="000000"/>
          <w:lang w:val="es-CO" w:eastAsia="es-ES"/>
        </w:rPr>
        <w:t xml:space="preserve"> </w:t>
      </w:r>
      <w:r w:rsidRPr="0060216C">
        <w:rPr>
          <w:rFonts w:eastAsia="Arial" w:cs="Arial"/>
          <w:i w:val="0"/>
          <w:color w:val="000000"/>
          <w:u w:color="000000"/>
          <w:lang w:val="es-CO" w:eastAsia="es-ES"/>
        </w:rPr>
        <w:t>6</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me</w:t>
      </w:r>
      <w:r w:rsidRPr="0060216C">
        <w:rPr>
          <w:rFonts w:eastAsia="Arial" w:cs="Arial"/>
          <w:i w:val="0"/>
          <w:color w:val="000000"/>
          <w:spacing w:val="-2"/>
          <w:u w:color="000000"/>
          <w:lang w:val="es-CO" w:eastAsia="es-ES"/>
        </w:rPr>
        <w:t>s</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s</w:t>
      </w:r>
      <w:r w:rsidRPr="0060216C">
        <w:rPr>
          <w:rFonts w:eastAsia="Arial" w:cs="Arial"/>
          <w:i w:val="0"/>
          <w:color w:val="000000"/>
          <w:spacing w:val="3"/>
          <w:u w:color="000000"/>
          <w:lang w:val="es-CO" w:eastAsia="es-ES"/>
        </w:rPr>
        <w:t xml:space="preserve">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 xml:space="preserve">n </w:t>
      </w:r>
      <w:r w:rsidRPr="0060216C">
        <w:rPr>
          <w:rFonts w:eastAsia="Arial" w:cs="Arial"/>
          <w:i w:val="0"/>
          <w:color w:val="000000"/>
          <w:spacing w:val="1"/>
          <w:u w:color="000000"/>
          <w:lang w:val="es-CO" w:eastAsia="es-ES"/>
        </w:rPr>
        <w:t>ad</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p</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r</w:t>
      </w:r>
      <w:r w:rsidRPr="0060216C">
        <w:rPr>
          <w:rFonts w:eastAsia="Arial" w:cs="Arial"/>
          <w:i w:val="0"/>
          <w:color w:val="000000"/>
          <w:spacing w:val="-2"/>
          <w:u w:color="000000"/>
          <w:lang w:val="es-CO" w:eastAsia="es-ES"/>
        </w:rPr>
        <w:t xml:space="preserve"> u</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a</w:t>
      </w:r>
      <w:r w:rsidRPr="0060216C">
        <w:rPr>
          <w:rFonts w:eastAsia="Arial" w:cs="Arial"/>
          <w:i w:val="0"/>
          <w:color w:val="000000"/>
          <w:spacing w:val="-1"/>
          <w:u w:color="000000"/>
          <w:lang w:val="es-CO" w:eastAsia="es-ES"/>
        </w:rPr>
        <w:t xml:space="preserve">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cis</w:t>
      </w:r>
      <w:r w:rsidRPr="0060216C">
        <w:rPr>
          <w:rFonts w:eastAsia="Arial" w:cs="Arial"/>
          <w:i w:val="0"/>
          <w:color w:val="000000"/>
          <w:spacing w:val="-1"/>
          <w:u w:color="000000"/>
          <w:lang w:val="es-CO" w:eastAsia="es-ES"/>
        </w:rPr>
        <w:t>i</w:t>
      </w:r>
      <w:r w:rsidRPr="0060216C">
        <w:rPr>
          <w:rFonts w:eastAsia="Arial" w:cs="Arial"/>
          <w:i w:val="0"/>
          <w:color w:val="000000"/>
          <w:spacing w:val="1"/>
          <w:u w:color="000000"/>
          <w:lang w:val="es-CO" w:eastAsia="es-ES"/>
        </w:rPr>
        <w:t>ó</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w:t>
      </w:r>
      <w:r w:rsidRPr="0060216C">
        <w:rPr>
          <w:rFonts w:eastAsia="Arial" w:cs="Arial"/>
          <w:i w:val="0"/>
          <w:color w:val="000000"/>
          <w:spacing w:val="-2"/>
          <w:u w:color="000000"/>
          <w:lang w:val="es-CO" w:eastAsia="es-ES"/>
        </w:rPr>
        <w:t xml:space="preserve"> </w:t>
      </w:r>
      <w:r w:rsidRPr="0060216C">
        <w:rPr>
          <w:rFonts w:eastAsia="Arial" w:cs="Arial"/>
          <w:i w:val="0"/>
          <w:color w:val="000000"/>
          <w:u w:color="000000"/>
          <w:lang w:val="es-CO" w:eastAsia="es-ES"/>
        </w:rPr>
        <w:t xml:space="preserve">sin </w:t>
      </w:r>
      <w:r w:rsidRPr="0060216C">
        <w:rPr>
          <w:rFonts w:eastAsia="Arial" w:cs="Arial"/>
          <w:i w:val="0"/>
          <w:color w:val="000000"/>
          <w:spacing w:val="-1"/>
          <w:u w:color="000000"/>
          <w:lang w:val="es-CO" w:eastAsia="es-ES"/>
        </w:rPr>
        <w:t>q</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e</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a</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la</w:t>
      </w:r>
      <w:r w:rsidRPr="0060216C">
        <w:rPr>
          <w:rFonts w:eastAsia="Arial" w:cs="Arial"/>
          <w:i w:val="0"/>
          <w:color w:val="000000"/>
          <w:spacing w:val="-3"/>
          <w:u w:color="000000"/>
          <w:lang w:val="es-CO" w:eastAsia="es-ES"/>
        </w:rPr>
        <w:t xml:space="preserve"> </w:t>
      </w:r>
      <w:r w:rsidRPr="0060216C">
        <w:rPr>
          <w:rFonts w:eastAsia="Arial" w:cs="Arial"/>
          <w:i w:val="0"/>
          <w:color w:val="000000"/>
          <w:spacing w:val="3"/>
          <w:u w:color="000000"/>
          <w:lang w:val="es-CO" w:eastAsia="es-ES"/>
        </w:rPr>
        <w:t>f</w:t>
      </w:r>
      <w:r w:rsidRPr="0060216C">
        <w:rPr>
          <w:rFonts w:eastAsia="Arial" w:cs="Arial"/>
          <w:i w:val="0"/>
          <w:color w:val="000000"/>
          <w:spacing w:val="1"/>
          <w:u w:color="000000"/>
          <w:lang w:val="es-CO" w:eastAsia="es-ES"/>
        </w:rPr>
        <w:t>e</w:t>
      </w:r>
      <w:r w:rsidRPr="0060216C">
        <w:rPr>
          <w:rFonts w:eastAsia="Arial" w:cs="Arial"/>
          <w:i w:val="0"/>
          <w:color w:val="000000"/>
          <w:spacing w:val="-2"/>
          <w:u w:color="000000"/>
          <w:lang w:val="es-CO" w:eastAsia="es-ES"/>
        </w:rPr>
        <w:t>c</w:t>
      </w:r>
      <w:r w:rsidRPr="0060216C">
        <w:rPr>
          <w:rFonts w:eastAsia="Arial" w:cs="Arial"/>
          <w:i w:val="0"/>
          <w:color w:val="000000"/>
          <w:spacing w:val="1"/>
          <w:u w:color="000000"/>
          <w:lang w:val="es-CO" w:eastAsia="es-ES"/>
        </w:rPr>
        <w:t>h</w:t>
      </w:r>
      <w:r w:rsidRPr="0060216C">
        <w:rPr>
          <w:rFonts w:eastAsia="Arial" w:cs="Arial"/>
          <w:i w:val="0"/>
          <w:color w:val="000000"/>
          <w:u w:color="000000"/>
          <w:lang w:val="es-CO" w:eastAsia="es-ES"/>
        </w:rPr>
        <w:t>a</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 xml:space="preserve">l </w:t>
      </w:r>
      <w:r w:rsidRPr="0060216C">
        <w:rPr>
          <w:rFonts w:eastAsia="Arial" w:cs="Arial"/>
          <w:i w:val="0"/>
          <w:color w:val="000000"/>
          <w:spacing w:val="-2"/>
          <w:u w:color="000000"/>
          <w:lang w:val="es-CO" w:eastAsia="es-ES"/>
        </w:rPr>
        <w:t>Estado</w:t>
      </w:r>
      <w:r w:rsidRPr="0060216C">
        <w:rPr>
          <w:rFonts w:eastAsia="Arial" w:cs="Arial"/>
          <w:i w:val="0"/>
          <w:color w:val="000000"/>
          <w:spacing w:val="-6"/>
          <w:u w:color="000000"/>
          <w:lang w:val="es-CO" w:eastAsia="es-ES"/>
        </w:rPr>
        <w:t xml:space="preserve"> </w:t>
      </w:r>
      <w:r w:rsidRPr="0060216C">
        <w:rPr>
          <w:rFonts w:eastAsia="Arial" w:cs="Arial"/>
          <w:i w:val="0"/>
          <w:color w:val="000000"/>
          <w:spacing w:val="1"/>
          <w:u w:color="000000"/>
          <w:lang w:val="es-CO" w:eastAsia="es-ES"/>
        </w:rPr>
        <w:t>ha</w:t>
      </w:r>
      <w:r w:rsidRPr="0060216C">
        <w:rPr>
          <w:rFonts w:eastAsia="Arial" w:cs="Arial"/>
          <w:i w:val="0"/>
          <w:color w:val="000000"/>
          <w:spacing w:val="-2"/>
          <w:u w:color="000000"/>
          <w:lang w:val="es-CO" w:eastAsia="es-ES"/>
        </w:rPr>
        <w:t>y</w:t>
      </w:r>
      <w:r w:rsidRPr="0060216C">
        <w:rPr>
          <w:rFonts w:eastAsia="Arial" w:cs="Arial"/>
          <w:i w:val="0"/>
          <w:color w:val="000000"/>
          <w:u w:color="000000"/>
          <w:lang w:val="es-CO" w:eastAsia="es-ES"/>
        </w:rPr>
        <w:t>a</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j</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st</w:t>
      </w:r>
      <w:r w:rsidRPr="0060216C">
        <w:rPr>
          <w:rFonts w:eastAsia="Arial" w:cs="Arial"/>
          <w:i w:val="0"/>
          <w:color w:val="000000"/>
          <w:spacing w:val="-2"/>
          <w:u w:color="000000"/>
          <w:lang w:val="es-CO" w:eastAsia="es-ES"/>
        </w:rPr>
        <w:t>i</w:t>
      </w:r>
      <w:r w:rsidRPr="0060216C">
        <w:rPr>
          <w:rFonts w:eastAsia="Arial" w:cs="Arial"/>
          <w:i w:val="0"/>
          <w:color w:val="000000"/>
          <w:spacing w:val="3"/>
          <w:u w:color="000000"/>
          <w:lang w:val="es-CO" w:eastAsia="es-ES"/>
        </w:rPr>
        <w:t>f</w:t>
      </w:r>
      <w:r w:rsidRPr="0060216C">
        <w:rPr>
          <w:rFonts w:eastAsia="Arial" w:cs="Arial"/>
          <w:i w:val="0"/>
          <w:color w:val="000000"/>
          <w:u w:color="000000"/>
          <w:lang w:val="es-CO" w:eastAsia="es-ES"/>
        </w:rPr>
        <w:t>ic</w:t>
      </w:r>
      <w:r w:rsidRPr="0060216C">
        <w:rPr>
          <w:rFonts w:eastAsia="Arial" w:cs="Arial"/>
          <w:i w:val="0"/>
          <w:color w:val="000000"/>
          <w:spacing w:val="-2"/>
          <w:u w:color="000000"/>
          <w:lang w:val="es-CO" w:eastAsia="es-ES"/>
        </w:rPr>
        <w:t>a</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o</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sta</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spacing w:val="-1"/>
          <w:u w:color="000000"/>
          <w:lang w:val="es-CO" w:eastAsia="es-ES"/>
        </w:rPr>
        <w:t>e</w:t>
      </w:r>
      <w:r w:rsidRPr="0060216C">
        <w:rPr>
          <w:rFonts w:eastAsia="Arial" w:cs="Arial"/>
          <w:i w:val="0"/>
          <w:color w:val="000000"/>
          <w:spacing w:val="1"/>
          <w:u w:color="000000"/>
          <w:lang w:val="es-CO" w:eastAsia="es-ES"/>
        </w:rPr>
        <w:t>mo</w:t>
      </w:r>
      <w:r w:rsidRPr="0060216C">
        <w:rPr>
          <w:rFonts w:eastAsia="Arial" w:cs="Arial"/>
          <w:i w:val="0"/>
          <w:color w:val="000000"/>
          <w:u w:color="000000"/>
          <w:lang w:val="es-CO" w:eastAsia="es-ES"/>
        </w:rPr>
        <w:t xml:space="preserve">ra; por otra parte, alegaron que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 xml:space="preserve">sta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cis</w:t>
      </w:r>
      <w:r w:rsidRPr="0060216C">
        <w:rPr>
          <w:rFonts w:eastAsia="Arial" w:cs="Arial"/>
          <w:i w:val="0"/>
          <w:color w:val="000000"/>
          <w:spacing w:val="-1"/>
          <w:u w:color="000000"/>
          <w:lang w:val="es-CO" w:eastAsia="es-ES"/>
        </w:rPr>
        <w:t>i</w:t>
      </w:r>
      <w:r w:rsidRPr="0060216C">
        <w:rPr>
          <w:rFonts w:eastAsia="Arial" w:cs="Arial"/>
          <w:i w:val="0"/>
          <w:color w:val="000000"/>
          <w:spacing w:val="1"/>
          <w:u w:color="000000"/>
          <w:lang w:val="es-CO" w:eastAsia="es-ES"/>
        </w:rPr>
        <w:t>ó</w:t>
      </w:r>
      <w:r w:rsidRPr="0060216C">
        <w:rPr>
          <w:rFonts w:eastAsia="Arial" w:cs="Arial"/>
          <w:i w:val="0"/>
          <w:color w:val="000000"/>
          <w:u w:color="000000"/>
          <w:lang w:val="es-CO" w:eastAsia="es-ES"/>
        </w:rPr>
        <w:t>n</w:t>
      </w:r>
      <w:r w:rsidRPr="0060216C">
        <w:rPr>
          <w:rFonts w:eastAsia="Arial" w:cs="Arial"/>
          <w:i w:val="0"/>
          <w:color w:val="000000"/>
          <w:spacing w:val="2"/>
          <w:u w:color="000000"/>
          <w:lang w:val="es-CO" w:eastAsia="es-ES"/>
        </w:rPr>
        <w:t xml:space="preserve"> </w:t>
      </w:r>
      <w:r w:rsidRPr="0060216C">
        <w:rPr>
          <w:rFonts w:eastAsia="Arial" w:cs="Arial"/>
          <w:i w:val="0"/>
          <w:color w:val="000000"/>
          <w:u w:color="000000"/>
          <w:lang w:val="es-CO" w:eastAsia="es-ES"/>
        </w:rPr>
        <w:t>tra</w:t>
      </w:r>
      <w:r w:rsidRPr="0060216C">
        <w:rPr>
          <w:rFonts w:eastAsia="Arial" w:cs="Arial"/>
          <w:i w:val="0"/>
          <w:color w:val="000000"/>
          <w:spacing w:val="-2"/>
          <w:u w:color="000000"/>
          <w:lang w:val="es-CO" w:eastAsia="es-ES"/>
        </w:rPr>
        <w:t>j</w:t>
      </w:r>
      <w:r w:rsidRPr="0060216C">
        <w:rPr>
          <w:rFonts w:eastAsia="Arial" w:cs="Arial"/>
          <w:i w:val="0"/>
          <w:color w:val="000000"/>
          <w:u w:color="000000"/>
          <w:lang w:val="es-CO" w:eastAsia="es-ES"/>
        </w:rPr>
        <w:t>o</w:t>
      </w:r>
      <w:r w:rsidRPr="0060216C">
        <w:rPr>
          <w:rFonts w:eastAsia="Arial" w:cs="Arial"/>
          <w:i w:val="0"/>
          <w:color w:val="000000"/>
          <w:spacing w:val="2"/>
          <w:u w:color="000000"/>
          <w:lang w:val="es-CO" w:eastAsia="es-ES"/>
        </w:rPr>
        <w:t xml:space="preserve"> </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m</w:t>
      </w:r>
      <w:r w:rsidRPr="0060216C">
        <w:rPr>
          <w:rFonts w:eastAsia="Arial" w:cs="Arial"/>
          <w:i w:val="0"/>
          <w:color w:val="000000"/>
          <w:u w:color="000000"/>
          <w:lang w:val="es-CO" w:eastAsia="es-ES"/>
        </w:rPr>
        <w:t>o</w:t>
      </w:r>
      <w:r w:rsidRPr="0060216C">
        <w:rPr>
          <w:rFonts w:eastAsia="Arial" w:cs="Arial"/>
          <w:i w:val="0"/>
          <w:color w:val="000000"/>
          <w:spacing w:val="8"/>
          <w:u w:color="000000"/>
          <w:lang w:val="es-CO" w:eastAsia="es-ES"/>
        </w:rPr>
        <w:t xml:space="preserve"> </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u</w:t>
      </w:r>
      <w:r w:rsidRPr="0060216C">
        <w:rPr>
          <w:rFonts w:eastAsia="Arial" w:cs="Arial"/>
          <w:i w:val="0"/>
          <w:color w:val="000000"/>
          <w:spacing w:val="1"/>
          <w:u w:color="000000"/>
          <w:lang w:val="es-CO" w:eastAsia="es-ES"/>
        </w:rPr>
        <w:t>en</w:t>
      </w:r>
      <w:r w:rsidRPr="0060216C">
        <w:rPr>
          <w:rFonts w:eastAsia="Arial" w:cs="Arial"/>
          <w:i w:val="0"/>
          <w:color w:val="000000"/>
          <w:u w:color="000000"/>
          <w:lang w:val="es-CO" w:eastAsia="es-ES"/>
        </w:rPr>
        <w:t>cia</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qu</w:t>
      </w:r>
      <w:r w:rsidRPr="0060216C">
        <w:rPr>
          <w:rFonts w:eastAsia="Arial" w:cs="Arial"/>
          <w:i w:val="0"/>
          <w:color w:val="000000"/>
          <w:u w:color="000000"/>
          <w:lang w:val="es-CO" w:eastAsia="es-ES"/>
        </w:rPr>
        <w:t>e</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l</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rec</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rso res</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lt</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ra</w:t>
      </w:r>
      <w:r w:rsidRPr="0060216C">
        <w:rPr>
          <w:rFonts w:eastAsia="Arial" w:cs="Arial"/>
          <w:i w:val="0"/>
          <w:color w:val="000000"/>
          <w:spacing w:val="29"/>
          <w:u w:color="000000"/>
          <w:lang w:val="es-CO" w:eastAsia="es-ES"/>
        </w:rPr>
        <w:t xml:space="preserve"> </w:t>
      </w:r>
      <w:r w:rsidRPr="0060216C">
        <w:rPr>
          <w:rFonts w:eastAsia="Arial" w:cs="Arial"/>
          <w:i w:val="0"/>
          <w:color w:val="000000"/>
          <w:u w:color="000000"/>
          <w:lang w:val="es-CO" w:eastAsia="es-ES"/>
        </w:rPr>
        <w:t>in</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f</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cti</w:t>
      </w:r>
      <w:r w:rsidRPr="0060216C">
        <w:rPr>
          <w:rFonts w:eastAsia="Arial" w:cs="Arial"/>
          <w:i w:val="0"/>
          <w:color w:val="000000"/>
          <w:spacing w:val="-2"/>
          <w:u w:color="000000"/>
          <w:lang w:val="es-CO" w:eastAsia="es-ES"/>
        </w:rPr>
        <w:t>v</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w:t>
      </w:r>
      <w:r w:rsidRPr="0060216C">
        <w:rPr>
          <w:rFonts w:eastAsia="Arial" w:cs="Arial"/>
          <w:i w:val="0"/>
          <w:color w:val="000000"/>
          <w:spacing w:val="27"/>
          <w:u w:color="000000"/>
          <w:lang w:val="es-CO" w:eastAsia="es-ES"/>
        </w:rPr>
        <w:t xml:space="preserve"> </w:t>
      </w:r>
      <w:r w:rsidRPr="0060216C">
        <w:rPr>
          <w:rFonts w:eastAsia="Arial" w:cs="Arial"/>
          <w:i w:val="0"/>
          <w:color w:val="000000"/>
          <w:spacing w:val="-1"/>
          <w:u w:color="000000"/>
          <w:lang w:val="es-CO" w:eastAsia="es-ES"/>
        </w:rPr>
        <w:t>p</w:t>
      </w:r>
      <w:r w:rsidRPr="0060216C">
        <w:rPr>
          <w:rFonts w:eastAsia="Arial" w:cs="Arial"/>
          <w:i w:val="0"/>
          <w:color w:val="000000"/>
          <w:spacing w:val="1"/>
          <w:u w:color="000000"/>
          <w:lang w:val="es-CO" w:eastAsia="es-ES"/>
        </w:rPr>
        <w:t>ue</w:t>
      </w:r>
      <w:r w:rsidRPr="0060216C">
        <w:rPr>
          <w:rFonts w:eastAsia="Arial" w:cs="Arial"/>
          <w:i w:val="0"/>
          <w:color w:val="000000"/>
          <w:u w:color="000000"/>
          <w:lang w:val="es-CO" w:eastAsia="es-ES"/>
        </w:rPr>
        <w:t>s</w:t>
      </w:r>
      <w:r w:rsidRPr="0060216C">
        <w:rPr>
          <w:rFonts w:eastAsia="Arial" w:cs="Arial"/>
          <w:i w:val="0"/>
          <w:color w:val="000000"/>
          <w:spacing w:val="32"/>
          <w:u w:color="000000"/>
          <w:lang w:val="es-CO" w:eastAsia="es-ES"/>
        </w:rPr>
        <w:t xml:space="preserve"> </w:t>
      </w:r>
      <w:r w:rsidRPr="0060216C">
        <w:rPr>
          <w:rFonts w:eastAsia="Arial" w:cs="Arial"/>
          <w:i w:val="0"/>
          <w:color w:val="000000"/>
          <w:u w:color="000000"/>
          <w:lang w:val="es-CO" w:eastAsia="es-ES"/>
        </w:rPr>
        <w:t>la</w:t>
      </w:r>
      <w:r w:rsidRPr="0060216C">
        <w:rPr>
          <w:rFonts w:eastAsia="Arial" w:cs="Arial"/>
          <w:i w:val="0"/>
          <w:color w:val="000000"/>
          <w:spacing w:val="29"/>
          <w:u w:color="000000"/>
          <w:lang w:val="es-CO" w:eastAsia="es-ES"/>
        </w:rPr>
        <w:t xml:space="preserve"> </w:t>
      </w:r>
      <w:r w:rsidRPr="0060216C">
        <w:rPr>
          <w:rFonts w:eastAsia="Arial" w:cs="Arial"/>
          <w:i w:val="0"/>
          <w:color w:val="000000"/>
          <w:u w:color="000000"/>
          <w:lang w:val="es-CO" w:eastAsia="es-ES"/>
        </w:rPr>
        <w:t>Corte</w:t>
      </w:r>
      <w:r w:rsidRPr="0060216C">
        <w:rPr>
          <w:rFonts w:eastAsia="Arial" w:cs="Arial"/>
          <w:i w:val="0"/>
          <w:color w:val="000000"/>
          <w:spacing w:val="30"/>
          <w:u w:color="000000"/>
          <w:lang w:val="es-CO" w:eastAsia="es-ES"/>
        </w:rPr>
        <w:t xml:space="preserve"> de </w:t>
      </w:r>
      <w:r w:rsidRPr="0060216C">
        <w:rPr>
          <w:rFonts w:eastAsia="Arial" w:cs="Arial"/>
          <w:i w:val="0"/>
          <w:color w:val="000000"/>
          <w:spacing w:val="-1"/>
          <w:u w:color="000000"/>
          <w:lang w:val="es-CO" w:eastAsia="es-ES"/>
        </w:rPr>
        <w:t>Constitucionalidad</w:t>
      </w:r>
      <w:r w:rsidRPr="0060216C">
        <w:rPr>
          <w:rFonts w:eastAsia="Arial" w:cs="Arial"/>
          <w:i w:val="0"/>
          <w:color w:val="000000"/>
          <w:spacing w:val="32"/>
          <w:u w:color="000000"/>
          <w:lang w:val="es-CO" w:eastAsia="es-ES"/>
        </w:rPr>
        <w:t xml:space="preserve"> </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o</w:t>
      </w:r>
      <w:r w:rsidRPr="0060216C">
        <w:rPr>
          <w:rFonts w:eastAsia="Arial" w:cs="Arial"/>
          <w:i w:val="0"/>
          <w:color w:val="000000"/>
          <w:spacing w:val="30"/>
          <w:u w:color="000000"/>
          <w:lang w:val="es-CO" w:eastAsia="es-ES"/>
        </w:rPr>
        <w:t xml:space="preserve"> </w:t>
      </w:r>
      <w:r w:rsidRPr="0060216C">
        <w:rPr>
          <w:rFonts w:eastAsia="Arial" w:cs="Arial"/>
          <w:i w:val="0"/>
          <w:color w:val="000000"/>
          <w:u w:color="000000"/>
          <w:lang w:val="es-CO" w:eastAsia="es-ES"/>
        </w:rPr>
        <w:t>se</w:t>
      </w:r>
      <w:r w:rsidRPr="0060216C">
        <w:rPr>
          <w:rFonts w:eastAsia="Arial" w:cs="Arial"/>
          <w:i w:val="0"/>
          <w:color w:val="000000"/>
          <w:spacing w:val="30"/>
          <w:u w:color="000000"/>
          <w:lang w:val="es-CO" w:eastAsia="es-ES"/>
        </w:rPr>
        <w:t xml:space="preserve"> </w:t>
      </w:r>
      <w:r w:rsidRPr="0060216C">
        <w:rPr>
          <w:rFonts w:eastAsia="Arial" w:cs="Arial"/>
          <w:i w:val="0"/>
          <w:color w:val="000000"/>
          <w:u w:color="000000"/>
          <w:lang w:val="es-CO" w:eastAsia="es-ES"/>
        </w:rPr>
        <w:t>r</w:t>
      </w:r>
      <w:r w:rsidRPr="0060216C">
        <w:rPr>
          <w:rFonts w:eastAsia="Arial" w:cs="Arial"/>
          <w:i w:val="0"/>
          <w:color w:val="000000"/>
          <w:spacing w:val="-2"/>
          <w:u w:color="000000"/>
          <w:lang w:val="es-CO" w:eastAsia="es-ES"/>
        </w:rPr>
        <w:t>e</w:t>
      </w:r>
      <w:r w:rsidRPr="0060216C">
        <w:rPr>
          <w:rFonts w:eastAsia="Arial" w:cs="Arial"/>
          <w:i w:val="0"/>
          <w:color w:val="000000"/>
          <w:u w:color="000000"/>
          <w:lang w:val="es-CO" w:eastAsia="es-ES"/>
        </w:rPr>
        <w:t>fi</w:t>
      </w:r>
      <w:r w:rsidRPr="0060216C">
        <w:rPr>
          <w:rFonts w:eastAsia="Arial" w:cs="Arial"/>
          <w:i w:val="0"/>
          <w:color w:val="000000"/>
          <w:spacing w:val="-1"/>
          <w:u w:color="000000"/>
          <w:lang w:val="es-CO" w:eastAsia="es-ES"/>
        </w:rPr>
        <w:t>r</w:t>
      </w:r>
      <w:r w:rsidRPr="0060216C">
        <w:rPr>
          <w:rFonts w:eastAsia="Arial" w:cs="Arial"/>
          <w:i w:val="0"/>
          <w:color w:val="000000"/>
          <w:u w:color="000000"/>
          <w:lang w:val="es-CO" w:eastAsia="es-ES"/>
        </w:rPr>
        <w:t>ió</w:t>
      </w:r>
      <w:r w:rsidRPr="0060216C">
        <w:rPr>
          <w:rFonts w:eastAsia="Arial" w:cs="Arial"/>
          <w:i w:val="0"/>
          <w:color w:val="000000"/>
          <w:spacing w:val="29"/>
          <w:u w:color="000000"/>
          <w:lang w:val="es-CO" w:eastAsia="es-ES"/>
        </w:rPr>
        <w:t xml:space="preserve"> </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l</w:t>
      </w:r>
      <w:r w:rsidRPr="0060216C">
        <w:rPr>
          <w:rFonts w:eastAsia="Arial" w:cs="Arial"/>
          <w:i w:val="0"/>
          <w:color w:val="000000"/>
          <w:spacing w:val="29"/>
          <w:u w:color="000000"/>
          <w:lang w:val="es-CO" w:eastAsia="es-ES"/>
        </w:rPr>
        <w:t xml:space="preserve"> </w:t>
      </w:r>
      <w:r w:rsidRPr="0060216C">
        <w:rPr>
          <w:rFonts w:eastAsia="Arial" w:cs="Arial"/>
          <w:i w:val="0"/>
          <w:color w:val="000000"/>
          <w:spacing w:val="3"/>
          <w:u w:color="000000"/>
          <w:lang w:val="es-CO" w:eastAsia="es-ES"/>
        </w:rPr>
        <w:t>f</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n</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 xml:space="preserve">o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l</w:t>
      </w:r>
      <w:r w:rsidRPr="0060216C">
        <w:rPr>
          <w:rFonts w:eastAsia="Arial" w:cs="Arial"/>
          <w:i w:val="0"/>
          <w:color w:val="000000"/>
          <w:spacing w:val="3"/>
          <w:u w:color="000000"/>
          <w:lang w:val="es-CO" w:eastAsia="es-ES"/>
        </w:rPr>
        <w:t xml:space="preserve"> </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u</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w:t>
      </w:r>
      <w:r w:rsidRPr="0060216C">
        <w:rPr>
          <w:rFonts w:eastAsia="Arial" w:cs="Arial"/>
          <w:i w:val="0"/>
          <w:color w:val="000000"/>
          <w:spacing w:val="1"/>
          <w:u w:color="000000"/>
          <w:lang w:val="es-CO" w:eastAsia="es-ES"/>
        </w:rPr>
        <w:t xml:space="preserve"> e</w:t>
      </w:r>
      <w:r w:rsidRPr="0060216C">
        <w:rPr>
          <w:rFonts w:eastAsia="Arial" w:cs="Arial"/>
          <w:i w:val="0"/>
          <w:color w:val="000000"/>
          <w:u w:color="000000"/>
          <w:lang w:val="es-CO" w:eastAsia="es-ES"/>
        </w:rPr>
        <w:t>s</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ci</w:t>
      </w:r>
      <w:r w:rsidRPr="0060216C">
        <w:rPr>
          <w:rFonts w:eastAsia="Arial" w:cs="Arial"/>
          <w:i w:val="0"/>
          <w:color w:val="000000"/>
          <w:spacing w:val="-1"/>
          <w:u w:color="000000"/>
          <w:lang w:val="es-CO" w:eastAsia="es-ES"/>
        </w:rPr>
        <w:t>r</w:t>
      </w:r>
      <w:r w:rsidRPr="0060216C">
        <w:rPr>
          <w:rFonts w:eastAsia="Arial" w:cs="Arial"/>
          <w:i w:val="0"/>
          <w:color w:val="000000"/>
          <w:u w:color="000000"/>
          <w:lang w:val="es-CO" w:eastAsia="es-ES"/>
        </w:rPr>
        <w:t>,</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a</w:t>
      </w:r>
      <w:r w:rsidRPr="0060216C">
        <w:rPr>
          <w:rFonts w:eastAsia="Arial" w:cs="Arial"/>
          <w:i w:val="0"/>
          <w:color w:val="000000"/>
          <w:spacing w:val="5"/>
          <w:u w:color="000000"/>
          <w:lang w:val="es-CO" w:eastAsia="es-ES"/>
        </w:rPr>
        <w:t xml:space="preserve"> </w:t>
      </w:r>
      <w:r w:rsidRPr="0060216C">
        <w:rPr>
          <w:rFonts w:eastAsia="Arial" w:cs="Arial"/>
          <w:i w:val="0"/>
          <w:color w:val="000000"/>
          <w:u w:color="000000"/>
          <w:lang w:val="es-CO" w:eastAsia="es-ES"/>
        </w:rPr>
        <w:t>la</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ob</w:t>
      </w:r>
      <w:r w:rsidRPr="0060216C">
        <w:rPr>
          <w:rFonts w:eastAsia="Arial" w:cs="Arial"/>
          <w:i w:val="0"/>
          <w:color w:val="000000"/>
          <w:u w:color="000000"/>
          <w:lang w:val="es-CO" w:eastAsia="es-ES"/>
        </w:rPr>
        <w:t>l</w:t>
      </w:r>
      <w:r w:rsidRPr="0060216C">
        <w:rPr>
          <w:rFonts w:eastAsia="Arial" w:cs="Arial"/>
          <w:i w:val="0"/>
          <w:color w:val="000000"/>
          <w:spacing w:val="-1"/>
          <w:u w:color="000000"/>
          <w:lang w:val="es-CO" w:eastAsia="es-ES"/>
        </w:rPr>
        <w:t>ig</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ción</w:t>
      </w:r>
      <w:r w:rsidRPr="0060216C">
        <w:rPr>
          <w:rFonts w:eastAsia="Arial" w:cs="Arial"/>
          <w:i w:val="0"/>
          <w:color w:val="000000"/>
          <w:spacing w:val="5"/>
          <w:u w:color="000000"/>
          <w:lang w:val="es-CO" w:eastAsia="es-ES"/>
        </w:rPr>
        <w:t xml:space="preserve"> </w:t>
      </w:r>
      <w:r w:rsidRPr="0060216C">
        <w:rPr>
          <w:rFonts w:eastAsia="Arial" w:cs="Arial"/>
          <w:i w:val="0"/>
          <w:color w:val="000000"/>
          <w:spacing w:val="1"/>
          <w:u w:color="000000"/>
          <w:lang w:val="es-CO" w:eastAsia="es-ES"/>
        </w:rPr>
        <w:t>de</w:t>
      </w:r>
      <w:r w:rsidRPr="0060216C">
        <w:rPr>
          <w:rFonts w:eastAsia="Arial" w:cs="Arial"/>
          <w:i w:val="0"/>
          <w:color w:val="000000"/>
          <w:u w:color="000000"/>
          <w:lang w:val="es-CO" w:eastAsia="es-ES"/>
        </w:rPr>
        <w:t>l</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 xml:space="preserve">Estado </w:t>
      </w:r>
      <w:r w:rsidRPr="0060216C">
        <w:rPr>
          <w:rFonts w:eastAsia="Arial" w:cs="Arial"/>
          <w:i w:val="0"/>
          <w:color w:val="000000"/>
          <w:spacing w:val="-1"/>
          <w:u w:color="000000"/>
          <w:lang w:val="es-CO" w:eastAsia="es-ES"/>
        </w:rPr>
        <w:t>g</w:t>
      </w:r>
      <w:r w:rsidRPr="0060216C">
        <w:rPr>
          <w:rFonts w:eastAsia="Arial" w:cs="Arial"/>
          <w:i w:val="0"/>
          <w:color w:val="000000"/>
          <w:spacing w:val="1"/>
          <w:u w:color="000000"/>
          <w:lang w:val="es-CO" w:eastAsia="es-ES"/>
        </w:rPr>
        <w:t>ua</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e</w:t>
      </w:r>
      <w:r w:rsidRPr="0060216C">
        <w:rPr>
          <w:rFonts w:eastAsia="Arial" w:cs="Arial"/>
          <w:i w:val="0"/>
          <w:color w:val="000000"/>
          <w:spacing w:val="1"/>
          <w:u w:color="000000"/>
          <w:lang w:val="es-CO" w:eastAsia="es-ES"/>
        </w:rPr>
        <w:t>ma</w:t>
      </w:r>
      <w:r w:rsidRPr="0060216C">
        <w:rPr>
          <w:rFonts w:eastAsia="Arial" w:cs="Arial"/>
          <w:i w:val="0"/>
          <w:color w:val="000000"/>
          <w:u w:color="000000"/>
          <w:lang w:val="es-CO" w:eastAsia="es-ES"/>
        </w:rPr>
        <w:t>l</w:t>
      </w:r>
      <w:r w:rsidRPr="0060216C">
        <w:rPr>
          <w:rFonts w:eastAsia="Arial" w:cs="Arial"/>
          <w:i w:val="0"/>
          <w:color w:val="000000"/>
          <w:spacing w:val="-2"/>
          <w:u w:color="000000"/>
          <w:lang w:val="es-CO" w:eastAsia="es-ES"/>
        </w:rPr>
        <w:t>t</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 xml:space="preserve">co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e</w:t>
      </w:r>
      <w:r w:rsidRPr="0060216C">
        <w:rPr>
          <w:rFonts w:eastAsia="Arial" w:cs="Arial"/>
          <w:i w:val="0"/>
          <w:color w:val="000000"/>
          <w:spacing w:val="5"/>
          <w:u w:color="000000"/>
          <w:lang w:val="es-CO" w:eastAsia="es-ES"/>
        </w:rPr>
        <w:t xml:space="preserve"> </w:t>
      </w:r>
      <w:r w:rsidRPr="0060216C">
        <w:rPr>
          <w:rFonts w:eastAsia="Arial" w:cs="Arial"/>
          <w:i w:val="0"/>
          <w:color w:val="000000"/>
          <w:spacing w:val="1"/>
          <w:u w:color="000000"/>
          <w:lang w:val="es-CO" w:eastAsia="es-ES"/>
        </w:rPr>
        <w:t>ad</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p</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 xml:space="preserve">r </w:t>
      </w:r>
      <w:r w:rsidRPr="0060216C">
        <w:rPr>
          <w:rFonts w:eastAsia="Arial" w:cs="Arial"/>
          <w:i w:val="0"/>
          <w:color w:val="000000"/>
          <w:spacing w:val="1"/>
          <w:u w:color="000000"/>
          <w:lang w:val="es-CO" w:eastAsia="es-ES"/>
        </w:rPr>
        <w:t>med</w:t>
      </w:r>
      <w:r w:rsidRPr="0060216C">
        <w:rPr>
          <w:rFonts w:eastAsia="Arial" w:cs="Arial"/>
          <w:i w:val="0"/>
          <w:color w:val="000000"/>
          <w:spacing w:val="-3"/>
          <w:u w:color="000000"/>
          <w:lang w:val="es-CO" w:eastAsia="es-ES"/>
        </w:rPr>
        <w:t>i</w:t>
      </w:r>
      <w:r w:rsidRPr="0060216C">
        <w:rPr>
          <w:rFonts w:eastAsia="Arial" w:cs="Arial"/>
          <w:i w:val="0"/>
          <w:color w:val="000000"/>
          <w:spacing w:val="1"/>
          <w:u w:color="000000"/>
          <w:lang w:val="es-CO" w:eastAsia="es-ES"/>
        </w:rPr>
        <w:t>da</w:t>
      </w:r>
      <w:r w:rsidRPr="0060216C">
        <w:rPr>
          <w:rFonts w:eastAsia="Arial" w:cs="Arial"/>
          <w:i w:val="0"/>
          <w:color w:val="000000"/>
          <w:u w:color="000000"/>
          <w:lang w:val="es-CO" w:eastAsia="es-ES"/>
        </w:rPr>
        <w:t>s</w:t>
      </w:r>
      <w:r w:rsidRPr="0060216C">
        <w:rPr>
          <w:rFonts w:eastAsia="Arial" w:cs="Arial"/>
          <w:i w:val="0"/>
          <w:color w:val="000000"/>
          <w:spacing w:val="4"/>
          <w:u w:color="000000"/>
          <w:lang w:val="es-CO" w:eastAsia="es-ES"/>
        </w:rPr>
        <w:t xml:space="preserve"> </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s</w:t>
      </w:r>
      <w:r w:rsidRPr="0060216C">
        <w:rPr>
          <w:rFonts w:eastAsia="Arial" w:cs="Arial"/>
          <w:i w:val="0"/>
          <w:color w:val="000000"/>
          <w:spacing w:val="-2"/>
          <w:u w:color="000000"/>
          <w:lang w:val="es-CO" w:eastAsia="es-ES"/>
        </w:rPr>
        <w:t>t</w:t>
      </w:r>
      <w:r w:rsidRPr="0060216C">
        <w:rPr>
          <w:rFonts w:eastAsia="Arial" w:cs="Arial"/>
          <w:i w:val="0"/>
          <w:color w:val="000000"/>
          <w:spacing w:val="1"/>
          <w:u w:color="000000"/>
          <w:lang w:val="es-CO" w:eastAsia="es-ES"/>
        </w:rPr>
        <w:t>en</w:t>
      </w:r>
      <w:r w:rsidRPr="0060216C">
        <w:rPr>
          <w:rFonts w:eastAsia="Arial" w:cs="Arial"/>
          <w:i w:val="0"/>
          <w:color w:val="000000"/>
          <w:u w:color="000000"/>
          <w:lang w:val="es-CO" w:eastAsia="es-ES"/>
        </w:rPr>
        <w:t>ibl</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t>pa</w:t>
      </w:r>
      <w:r w:rsidRPr="0060216C">
        <w:rPr>
          <w:rFonts w:eastAsia="Arial" w:cs="Arial"/>
          <w:i w:val="0"/>
          <w:color w:val="000000"/>
          <w:u w:color="000000"/>
          <w:lang w:val="es-CO" w:eastAsia="es-ES"/>
        </w:rPr>
        <w:t>ra</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q</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e</w:t>
      </w:r>
      <w:r w:rsidRPr="0060216C">
        <w:rPr>
          <w:rFonts w:eastAsia="Arial" w:cs="Arial"/>
          <w:i w:val="0"/>
          <w:color w:val="000000"/>
          <w:spacing w:val="5"/>
          <w:u w:color="000000"/>
          <w:lang w:val="es-CO" w:eastAsia="es-ES"/>
        </w:rPr>
        <w:t xml:space="preserve"> </w:t>
      </w:r>
      <w:r w:rsidRPr="0060216C">
        <w:rPr>
          <w:rFonts w:eastAsia="Arial" w:cs="Arial"/>
          <w:i w:val="0"/>
          <w:color w:val="000000"/>
          <w:u w:color="000000"/>
          <w:lang w:val="es-CO" w:eastAsia="es-ES"/>
        </w:rPr>
        <w:t>las</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pe</w:t>
      </w:r>
      <w:r w:rsidRPr="0060216C">
        <w:rPr>
          <w:rFonts w:eastAsia="Arial" w:cs="Arial"/>
          <w:i w:val="0"/>
          <w:color w:val="000000"/>
          <w:spacing w:val="-3"/>
          <w:u w:color="000000"/>
          <w:lang w:val="es-CO" w:eastAsia="es-ES"/>
        </w:rPr>
        <w:t>r</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ona</w:t>
      </w:r>
      <w:r w:rsidRPr="0060216C">
        <w:rPr>
          <w:rFonts w:eastAsia="Arial" w:cs="Arial"/>
          <w:i w:val="0"/>
          <w:color w:val="000000"/>
          <w:u w:color="000000"/>
          <w:lang w:val="es-CO" w:eastAsia="es-ES"/>
        </w:rPr>
        <w:t>s</w:t>
      </w:r>
      <w:r w:rsidRPr="0060216C">
        <w:rPr>
          <w:rFonts w:eastAsia="Arial" w:cs="Arial"/>
          <w:i w:val="0"/>
          <w:color w:val="000000"/>
          <w:spacing w:val="4"/>
          <w:u w:color="000000"/>
          <w:lang w:val="es-CO" w:eastAsia="es-ES"/>
        </w:rPr>
        <w:t xml:space="preserve"> </w:t>
      </w:r>
      <w:r w:rsidRPr="0060216C">
        <w:rPr>
          <w:rFonts w:eastAsia="Arial" w:cs="Arial"/>
          <w:i w:val="0"/>
          <w:color w:val="000000"/>
          <w:spacing w:val="-1"/>
          <w:u w:color="000000"/>
          <w:lang w:val="es-CO" w:eastAsia="es-ES"/>
        </w:rPr>
        <w:t>q</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e</w:t>
      </w:r>
      <w:r w:rsidRPr="0060216C">
        <w:rPr>
          <w:rFonts w:eastAsia="Arial" w:cs="Arial"/>
          <w:i w:val="0"/>
          <w:color w:val="000000"/>
          <w:spacing w:val="5"/>
          <w:u w:color="000000"/>
          <w:lang w:val="es-CO" w:eastAsia="es-ES"/>
        </w:rPr>
        <w:t xml:space="preserve"> </w:t>
      </w:r>
      <w:r w:rsidRPr="0060216C">
        <w:rPr>
          <w:rFonts w:eastAsia="Arial" w:cs="Arial"/>
          <w:i w:val="0"/>
          <w:color w:val="000000"/>
          <w:spacing w:val="-2"/>
          <w:u w:color="000000"/>
          <w:lang w:val="es-CO" w:eastAsia="es-ES"/>
        </w:rPr>
        <w:t>v</w:t>
      </w:r>
      <w:r w:rsidRPr="0060216C">
        <w:rPr>
          <w:rFonts w:eastAsia="Arial" w:cs="Arial"/>
          <w:i w:val="0"/>
          <w:color w:val="000000"/>
          <w:u w:color="000000"/>
          <w:lang w:val="es-CO" w:eastAsia="es-ES"/>
        </w:rPr>
        <w:t>i</w:t>
      </w:r>
      <w:r w:rsidRPr="0060216C">
        <w:rPr>
          <w:rFonts w:eastAsia="Arial" w:cs="Arial"/>
          <w:i w:val="0"/>
          <w:color w:val="000000"/>
          <w:spacing w:val="-3"/>
          <w:u w:color="000000"/>
          <w:lang w:val="es-CO" w:eastAsia="es-ES"/>
        </w:rPr>
        <w:t>v</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n</w:t>
      </w:r>
      <w:r w:rsidRPr="0060216C">
        <w:rPr>
          <w:rFonts w:eastAsia="Arial" w:cs="Arial"/>
          <w:i w:val="0"/>
          <w:color w:val="000000"/>
          <w:spacing w:val="5"/>
          <w:u w:color="000000"/>
          <w:lang w:val="es-CO" w:eastAsia="es-ES"/>
        </w:rPr>
        <w:t xml:space="preserve"> </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n</w:t>
      </w:r>
      <w:r w:rsidRPr="0060216C">
        <w:rPr>
          <w:rFonts w:eastAsia="Arial" w:cs="Arial"/>
          <w:i w:val="0"/>
          <w:color w:val="000000"/>
          <w:spacing w:val="5"/>
          <w:u w:color="000000"/>
          <w:lang w:val="es-CO" w:eastAsia="es-ES"/>
        </w:rPr>
        <w:t xml:space="preserve"> </w:t>
      </w:r>
      <w:r w:rsidR="00AF0430">
        <w:rPr>
          <w:rFonts w:eastAsia="Arial" w:cs="Arial"/>
          <w:i w:val="0"/>
          <w:color w:val="000000"/>
          <w:spacing w:val="5"/>
          <w:u w:color="000000"/>
          <w:lang w:val="es-CO" w:eastAsia="es-ES"/>
        </w:rPr>
        <w:t xml:space="preserve">el </w:t>
      </w:r>
      <w:r w:rsidRPr="0060216C">
        <w:rPr>
          <w:rFonts w:eastAsia="Arial" w:cs="Arial"/>
          <w:i w:val="0"/>
          <w:color w:val="000000"/>
          <w:u w:color="000000"/>
          <w:lang w:val="es-CO" w:eastAsia="es-ES"/>
        </w:rPr>
        <w:t>VIH reci</w:t>
      </w:r>
      <w:r w:rsidRPr="0060216C">
        <w:rPr>
          <w:rFonts w:eastAsia="Arial" w:cs="Arial"/>
          <w:i w:val="0"/>
          <w:color w:val="000000"/>
          <w:spacing w:val="1"/>
          <w:u w:color="000000"/>
          <w:lang w:val="es-CO" w:eastAsia="es-ES"/>
        </w:rPr>
        <w:t>b</w:t>
      </w:r>
      <w:r w:rsidRPr="0060216C">
        <w:rPr>
          <w:rFonts w:eastAsia="Arial" w:cs="Arial"/>
          <w:i w:val="0"/>
          <w:color w:val="000000"/>
          <w:u w:color="000000"/>
          <w:lang w:val="es-CO" w:eastAsia="es-ES"/>
        </w:rPr>
        <w:t>ieran</w:t>
      </w:r>
      <w:r w:rsidRPr="0060216C">
        <w:rPr>
          <w:rFonts w:eastAsia="Arial" w:cs="Arial"/>
          <w:i w:val="0"/>
          <w:color w:val="000000"/>
          <w:spacing w:val="1"/>
          <w:u w:color="000000"/>
          <w:lang w:val="es-CO" w:eastAsia="es-ES"/>
        </w:rPr>
        <w:t xml:space="preserve"> </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n</w:t>
      </w:r>
      <w:r w:rsidRPr="0060216C">
        <w:rPr>
          <w:rFonts w:eastAsia="Arial" w:cs="Arial"/>
          <w:i w:val="0"/>
          <w:color w:val="000000"/>
          <w:spacing w:val="1"/>
          <w:u w:color="000000"/>
          <w:lang w:val="es-CO" w:eastAsia="es-ES"/>
        </w:rPr>
        <w:t xml:space="preserve"> t</w:t>
      </w:r>
      <w:r w:rsidRPr="0060216C">
        <w:rPr>
          <w:rFonts w:eastAsia="Arial" w:cs="Arial"/>
          <w:i w:val="0"/>
          <w:color w:val="000000"/>
          <w:u w:color="000000"/>
          <w:lang w:val="es-CO" w:eastAsia="es-ES"/>
        </w:rPr>
        <w:t>r</w:t>
      </w:r>
      <w:r w:rsidRPr="0060216C">
        <w:rPr>
          <w:rFonts w:eastAsia="Arial" w:cs="Arial"/>
          <w:i w:val="0"/>
          <w:color w:val="000000"/>
          <w:spacing w:val="-2"/>
          <w:u w:color="000000"/>
          <w:lang w:val="es-CO" w:eastAsia="es-ES"/>
        </w:rPr>
        <w:t>a</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a</w:t>
      </w:r>
      <w:r w:rsidRPr="0060216C">
        <w:rPr>
          <w:rFonts w:eastAsia="Arial" w:cs="Arial"/>
          <w:i w:val="0"/>
          <w:color w:val="000000"/>
          <w:spacing w:val="1"/>
          <w:u w:color="000000"/>
          <w:lang w:val="es-CO" w:eastAsia="es-ES"/>
        </w:rPr>
        <w:t>m</w:t>
      </w:r>
      <w:r w:rsidRPr="0060216C">
        <w:rPr>
          <w:rFonts w:eastAsia="Arial" w:cs="Arial"/>
          <w:i w:val="0"/>
          <w:color w:val="000000"/>
          <w:u w:color="000000"/>
          <w:lang w:val="es-CO" w:eastAsia="es-ES"/>
        </w:rPr>
        <w:t>ie</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to</w:t>
      </w:r>
      <w:r w:rsidRPr="0060216C">
        <w:rPr>
          <w:rFonts w:eastAsia="Arial" w:cs="Arial"/>
          <w:i w:val="0"/>
          <w:color w:val="000000"/>
          <w:spacing w:val="-4"/>
          <w:u w:color="000000"/>
          <w:lang w:val="es-CO" w:eastAsia="es-ES"/>
        </w:rPr>
        <w:t xml:space="preserve"> </w:t>
      </w:r>
      <w:r w:rsidRPr="0060216C">
        <w:rPr>
          <w:rFonts w:eastAsia="Arial" w:cs="Arial"/>
          <w:i w:val="0"/>
          <w:color w:val="000000"/>
          <w:u w:color="000000"/>
          <w:lang w:val="es-CO" w:eastAsia="es-ES"/>
        </w:rPr>
        <w:t>i</w:t>
      </w:r>
      <w:r w:rsidRPr="0060216C">
        <w:rPr>
          <w:rFonts w:eastAsia="Arial" w:cs="Arial"/>
          <w:i w:val="0"/>
          <w:color w:val="000000"/>
          <w:spacing w:val="1"/>
          <w:u w:color="000000"/>
          <w:lang w:val="es-CO" w:eastAsia="es-ES"/>
        </w:rPr>
        <w:t>n</w:t>
      </w:r>
      <w:r w:rsidRPr="0060216C">
        <w:rPr>
          <w:rFonts w:eastAsia="Arial" w:cs="Arial"/>
          <w:i w:val="0"/>
          <w:color w:val="000000"/>
          <w:spacing w:val="-2"/>
          <w:u w:color="000000"/>
          <w:lang w:val="es-CO" w:eastAsia="es-ES"/>
        </w:rPr>
        <w:t>t</w:t>
      </w:r>
      <w:r w:rsidRPr="0060216C">
        <w:rPr>
          <w:rFonts w:eastAsia="Arial" w:cs="Arial"/>
          <w:i w:val="0"/>
          <w:color w:val="000000"/>
          <w:spacing w:val="1"/>
          <w:u w:color="000000"/>
          <w:lang w:val="es-CO" w:eastAsia="es-ES"/>
        </w:rPr>
        <w:t>e</w:t>
      </w:r>
      <w:r w:rsidRPr="0060216C">
        <w:rPr>
          <w:rFonts w:eastAsia="Arial" w:cs="Arial"/>
          <w:i w:val="0"/>
          <w:color w:val="000000"/>
          <w:spacing w:val="-1"/>
          <w:u w:color="000000"/>
          <w:lang w:val="es-CO" w:eastAsia="es-ES"/>
        </w:rPr>
        <w:t>g</w:t>
      </w:r>
      <w:r w:rsidRPr="0060216C">
        <w:rPr>
          <w:rFonts w:eastAsia="Arial" w:cs="Arial"/>
          <w:i w:val="0"/>
          <w:color w:val="000000"/>
          <w:u w:color="000000"/>
          <w:lang w:val="es-CO" w:eastAsia="es-ES"/>
        </w:rPr>
        <w:t>ral. Por lo anterior, los representantes alegaron que el Estado es res</w:t>
      </w:r>
      <w:r w:rsidRPr="0060216C">
        <w:rPr>
          <w:rFonts w:eastAsia="Arial" w:cs="Arial"/>
          <w:i w:val="0"/>
          <w:color w:val="000000"/>
          <w:spacing w:val="-1"/>
          <w:u w:color="000000"/>
          <w:lang w:val="es-CO" w:eastAsia="es-ES"/>
        </w:rPr>
        <w:t>p</w:t>
      </w:r>
      <w:r w:rsidRPr="0060216C">
        <w:rPr>
          <w:rFonts w:eastAsia="Arial" w:cs="Arial"/>
          <w:i w:val="0"/>
          <w:color w:val="000000"/>
          <w:spacing w:val="1"/>
          <w:u w:color="000000"/>
          <w:lang w:val="es-CO" w:eastAsia="es-ES"/>
        </w:rPr>
        <w:t>on</w:t>
      </w:r>
      <w:r w:rsidRPr="0060216C">
        <w:rPr>
          <w:rFonts w:eastAsia="Arial" w:cs="Arial"/>
          <w:i w:val="0"/>
          <w:color w:val="000000"/>
          <w:u w:color="000000"/>
          <w:lang w:val="es-CO" w:eastAsia="es-ES"/>
        </w:rPr>
        <w:t>s</w:t>
      </w:r>
      <w:r w:rsidRPr="0060216C">
        <w:rPr>
          <w:rFonts w:eastAsia="Arial" w:cs="Arial"/>
          <w:i w:val="0"/>
          <w:color w:val="000000"/>
          <w:spacing w:val="-1"/>
          <w:u w:color="000000"/>
          <w:lang w:val="es-CO" w:eastAsia="es-ES"/>
        </w:rPr>
        <w:t>a</w:t>
      </w:r>
      <w:r w:rsidRPr="0060216C">
        <w:rPr>
          <w:rFonts w:eastAsia="Arial" w:cs="Arial"/>
          <w:i w:val="0"/>
          <w:color w:val="000000"/>
          <w:spacing w:val="1"/>
          <w:u w:color="000000"/>
          <w:lang w:val="es-CO" w:eastAsia="es-ES"/>
        </w:rPr>
        <w:t>b</w:t>
      </w:r>
      <w:r w:rsidRPr="0060216C">
        <w:rPr>
          <w:rFonts w:eastAsia="Arial" w:cs="Arial"/>
          <w:i w:val="0"/>
          <w:color w:val="000000"/>
          <w:u w:color="000000"/>
          <w:lang w:val="es-CO" w:eastAsia="es-ES"/>
        </w:rPr>
        <w:t>le</w:t>
      </w:r>
      <w:r w:rsidRPr="0060216C">
        <w:rPr>
          <w:rFonts w:eastAsia="Arial" w:cs="Arial"/>
          <w:i w:val="0"/>
          <w:color w:val="000000"/>
          <w:spacing w:val="2"/>
          <w:u w:color="000000"/>
          <w:lang w:val="es-CO" w:eastAsia="es-ES"/>
        </w:rPr>
        <w:t xml:space="preserve"> </w:t>
      </w:r>
      <w:r w:rsidRPr="0060216C">
        <w:rPr>
          <w:rFonts w:eastAsia="Arial" w:cs="Arial"/>
          <w:i w:val="0"/>
          <w:color w:val="000000"/>
          <w:spacing w:val="1"/>
          <w:u w:color="000000"/>
          <w:lang w:val="es-CO" w:eastAsia="es-ES"/>
        </w:rPr>
        <w:t>por</w:t>
      </w:r>
      <w:r w:rsidRPr="0060216C">
        <w:rPr>
          <w:rFonts w:eastAsia="Arial" w:cs="Arial"/>
          <w:i w:val="0"/>
          <w:color w:val="000000"/>
          <w:spacing w:val="5"/>
          <w:u w:color="000000"/>
          <w:lang w:val="es-CO" w:eastAsia="es-ES"/>
        </w:rPr>
        <w:t xml:space="preserve"> </w:t>
      </w:r>
      <w:r w:rsidRPr="0060216C">
        <w:rPr>
          <w:rFonts w:eastAsia="Arial" w:cs="Arial"/>
          <w:i w:val="0"/>
          <w:color w:val="000000"/>
          <w:u w:color="000000"/>
          <w:lang w:val="es-CO" w:eastAsia="es-ES"/>
        </w:rPr>
        <w:t xml:space="preserve">la </w:t>
      </w:r>
      <w:r w:rsidRPr="0060216C">
        <w:rPr>
          <w:rFonts w:eastAsia="Arial" w:cs="Arial"/>
          <w:i w:val="0"/>
          <w:color w:val="000000"/>
          <w:spacing w:val="-2"/>
          <w:u w:color="000000"/>
          <w:lang w:val="es-CO" w:eastAsia="es-ES"/>
        </w:rPr>
        <w:t>v</w:t>
      </w:r>
      <w:r w:rsidRPr="0060216C">
        <w:rPr>
          <w:rFonts w:eastAsia="Arial" w:cs="Arial"/>
          <w:i w:val="0"/>
          <w:color w:val="000000"/>
          <w:u w:color="000000"/>
          <w:lang w:val="es-CO" w:eastAsia="es-ES"/>
        </w:rPr>
        <w:t>iol</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ción de</w:t>
      </w:r>
      <w:r w:rsidRPr="0060216C">
        <w:rPr>
          <w:rFonts w:eastAsia="Arial" w:cs="Arial"/>
          <w:i w:val="0"/>
          <w:color w:val="000000"/>
          <w:spacing w:val="5"/>
          <w:u w:color="000000"/>
          <w:lang w:val="es-CO" w:eastAsia="es-ES"/>
        </w:rPr>
        <w:t xml:space="preserve"> </w:t>
      </w:r>
      <w:r w:rsidRPr="0060216C">
        <w:rPr>
          <w:rFonts w:eastAsia="Arial" w:cs="Arial"/>
          <w:i w:val="0"/>
          <w:color w:val="000000"/>
          <w:u w:color="000000"/>
          <w:lang w:val="es-CO" w:eastAsia="es-ES"/>
        </w:rPr>
        <w:t>los</w:t>
      </w:r>
      <w:r w:rsidRPr="0060216C">
        <w:rPr>
          <w:rFonts w:eastAsia="Arial" w:cs="Arial"/>
          <w:i w:val="0"/>
          <w:color w:val="000000"/>
          <w:spacing w:val="5"/>
          <w:u w:color="000000"/>
          <w:lang w:val="es-CO" w:eastAsia="es-ES"/>
        </w:rPr>
        <w:t xml:space="preserve"> </w:t>
      </w:r>
      <w:r w:rsidRPr="0060216C">
        <w:rPr>
          <w:rFonts w:eastAsia="Arial" w:cs="Arial"/>
          <w:i w:val="0"/>
          <w:color w:val="000000"/>
          <w:spacing w:val="1"/>
          <w:u w:color="000000"/>
          <w:lang w:val="es-CO" w:eastAsia="es-ES"/>
        </w:rPr>
        <w:t>de</w:t>
      </w:r>
      <w:r w:rsidRPr="0060216C">
        <w:rPr>
          <w:rFonts w:eastAsia="Arial" w:cs="Arial"/>
          <w:i w:val="0"/>
          <w:color w:val="000000"/>
          <w:spacing w:val="-3"/>
          <w:u w:color="000000"/>
          <w:lang w:val="es-CO" w:eastAsia="es-ES"/>
        </w:rPr>
        <w:t>r</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ho</w:t>
      </w:r>
      <w:r w:rsidRPr="0060216C">
        <w:rPr>
          <w:rFonts w:eastAsia="Arial" w:cs="Arial"/>
          <w:i w:val="0"/>
          <w:color w:val="000000"/>
          <w:u w:color="000000"/>
          <w:lang w:val="es-CO" w:eastAsia="es-ES"/>
        </w:rPr>
        <w:t>s</w:t>
      </w:r>
      <w:r w:rsidRPr="0060216C">
        <w:rPr>
          <w:rFonts w:eastAsia="Arial" w:cs="Arial"/>
          <w:i w:val="0"/>
          <w:color w:val="000000"/>
          <w:spacing w:val="2"/>
          <w:u w:color="000000"/>
          <w:lang w:val="es-CO" w:eastAsia="es-ES"/>
        </w:rPr>
        <w:t xml:space="preserve"> </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o</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t</w:t>
      </w:r>
      <w:r w:rsidRPr="0060216C">
        <w:rPr>
          <w:rFonts w:eastAsia="Arial" w:cs="Arial"/>
          <w:i w:val="0"/>
          <w:color w:val="000000"/>
          <w:spacing w:val="1"/>
          <w:u w:color="000000"/>
          <w:lang w:val="es-CO" w:eastAsia="es-ES"/>
        </w:rPr>
        <w:t>e</w:t>
      </w:r>
      <w:r w:rsidRPr="0060216C">
        <w:rPr>
          <w:rFonts w:eastAsia="Arial" w:cs="Arial"/>
          <w:i w:val="0"/>
          <w:color w:val="000000"/>
          <w:spacing w:val="-1"/>
          <w:u w:color="000000"/>
          <w:lang w:val="es-CO" w:eastAsia="es-ES"/>
        </w:rPr>
        <w:t>n</w:t>
      </w:r>
      <w:r w:rsidRPr="0060216C">
        <w:rPr>
          <w:rFonts w:eastAsia="Arial" w:cs="Arial"/>
          <w:i w:val="0"/>
          <w:color w:val="000000"/>
          <w:u w:color="000000"/>
          <w:lang w:val="es-CO" w:eastAsia="es-ES"/>
        </w:rPr>
        <w:t>id</w:t>
      </w:r>
      <w:r w:rsidRPr="0060216C">
        <w:rPr>
          <w:rFonts w:eastAsia="Arial" w:cs="Arial"/>
          <w:i w:val="0"/>
          <w:color w:val="000000"/>
          <w:spacing w:val="1"/>
          <w:u w:color="000000"/>
          <w:lang w:val="es-CO" w:eastAsia="es-ES"/>
        </w:rPr>
        <w:t>o</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t>e</w:t>
      </w:r>
      <w:r w:rsidRPr="0060216C">
        <w:rPr>
          <w:rFonts w:eastAsia="Arial" w:cs="Arial"/>
          <w:i w:val="0"/>
          <w:color w:val="000000"/>
          <w:u w:color="000000"/>
          <w:lang w:val="es-CO" w:eastAsia="es-ES"/>
        </w:rPr>
        <w:t>n</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l</w:t>
      </w:r>
      <w:r w:rsidRPr="0060216C">
        <w:rPr>
          <w:rFonts w:eastAsia="Arial" w:cs="Arial"/>
          <w:i w:val="0"/>
          <w:color w:val="000000"/>
          <w:spacing w:val="-2"/>
          <w:u w:color="000000"/>
          <w:lang w:val="es-CO" w:eastAsia="es-ES"/>
        </w:rPr>
        <w:t>o</w:t>
      </w:r>
      <w:r w:rsidRPr="0060216C">
        <w:rPr>
          <w:rFonts w:eastAsia="Arial" w:cs="Arial"/>
          <w:i w:val="0"/>
          <w:color w:val="000000"/>
          <w:u w:color="000000"/>
          <w:lang w:val="es-CO" w:eastAsia="es-ES"/>
        </w:rPr>
        <w:t xml:space="preserve">s </w:t>
      </w:r>
      <w:r w:rsidRPr="0060216C">
        <w:rPr>
          <w:rFonts w:eastAsia="Arial" w:cs="Arial"/>
          <w:i w:val="0"/>
          <w:color w:val="000000"/>
          <w:spacing w:val="1"/>
          <w:u w:color="000000"/>
          <w:lang w:val="es-CO" w:eastAsia="es-ES"/>
        </w:rPr>
        <w:t>a</w:t>
      </w:r>
      <w:r w:rsidRPr="0060216C">
        <w:rPr>
          <w:rFonts w:eastAsia="Arial" w:cs="Arial"/>
          <w:i w:val="0"/>
          <w:color w:val="000000"/>
          <w:u w:color="000000"/>
          <w:lang w:val="es-CO" w:eastAsia="es-ES"/>
        </w:rPr>
        <w:t>rt</w:t>
      </w:r>
      <w:r w:rsidRPr="0060216C">
        <w:rPr>
          <w:rFonts w:eastAsia="Arial" w:cs="Arial"/>
          <w:i w:val="0"/>
          <w:color w:val="000000"/>
          <w:spacing w:val="-2"/>
          <w:u w:color="000000"/>
          <w:lang w:val="es-CO" w:eastAsia="es-ES"/>
        </w:rPr>
        <w:t>í</w:t>
      </w:r>
      <w:r w:rsidRPr="0060216C">
        <w:rPr>
          <w:rFonts w:eastAsia="Arial" w:cs="Arial"/>
          <w:i w:val="0"/>
          <w:color w:val="000000"/>
          <w:u w:color="000000"/>
          <w:lang w:val="es-CO" w:eastAsia="es-ES"/>
        </w:rPr>
        <w:t>c</w:t>
      </w:r>
      <w:r w:rsidRPr="0060216C">
        <w:rPr>
          <w:rFonts w:eastAsia="Arial" w:cs="Arial"/>
          <w:i w:val="0"/>
          <w:color w:val="000000"/>
          <w:spacing w:val="1"/>
          <w:u w:color="000000"/>
          <w:lang w:val="es-CO" w:eastAsia="es-ES"/>
        </w:rPr>
        <w:t>u</w:t>
      </w:r>
      <w:r w:rsidRPr="0060216C">
        <w:rPr>
          <w:rFonts w:eastAsia="Arial" w:cs="Arial"/>
          <w:i w:val="0"/>
          <w:color w:val="000000"/>
          <w:u w:color="000000"/>
          <w:lang w:val="es-CO" w:eastAsia="es-ES"/>
        </w:rPr>
        <w:t>los</w:t>
      </w:r>
      <w:r w:rsidRPr="0060216C">
        <w:rPr>
          <w:rFonts w:eastAsia="Arial" w:cs="Arial"/>
          <w:i w:val="0"/>
          <w:color w:val="000000"/>
          <w:spacing w:val="1"/>
          <w:u w:color="000000"/>
          <w:lang w:val="es-CO" w:eastAsia="es-ES"/>
        </w:rPr>
        <w:t xml:space="preserve"> </w:t>
      </w:r>
      <w:r w:rsidRPr="0060216C">
        <w:rPr>
          <w:rFonts w:eastAsia="Arial" w:cs="Arial"/>
          <w:i w:val="0"/>
          <w:color w:val="000000"/>
          <w:u w:color="000000"/>
          <w:lang w:val="es-CO" w:eastAsia="es-ES"/>
        </w:rPr>
        <w:t>8</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 xml:space="preserve">y </w:t>
      </w:r>
      <w:r w:rsidRPr="0060216C">
        <w:rPr>
          <w:rFonts w:eastAsia="Arial" w:cs="Arial"/>
          <w:i w:val="0"/>
          <w:color w:val="000000"/>
          <w:spacing w:val="1"/>
          <w:u w:color="000000"/>
          <w:lang w:val="es-CO" w:eastAsia="es-ES"/>
        </w:rPr>
        <w:t>2</w:t>
      </w:r>
      <w:r w:rsidRPr="0060216C">
        <w:rPr>
          <w:rFonts w:eastAsia="Arial" w:cs="Arial"/>
          <w:i w:val="0"/>
          <w:color w:val="000000"/>
          <w:u w:color="000000"/>
          <w:lang w:val="es-CO" w:eastAsia="es-ES"/>
        </w:rPr>
        <w:t>5</w:t>
      </w:r>
      <w:r w:rsidRPr="0060216C">
        <w:rPr>
          <w:rFonts w:eastAsia="Arial" w:cs="Arial"/>
          <w:i w:val="0"/>
          <w:color w:val="000000"/>
          <w:spacing w:val="3"/>
          <w:u w:color="000000"/>
          <w:lang w:val="es-CO" w:eastAsia="es-ES"/>
        </w:rPr>
        <w:t xml:space="preserve"> </w:t>
      </w:r>
      <w:r w:rsidRPr="0060216C">
        <w:rPr>
          <w:rFonts w:eastAsia="Arial" w:cs="Arial"/>
          <w:i w:val="0"/>
          <w:color w:val="000000"/>
          <w:spacing w:val="-1"/>
          <w:u w:color="000000"/>
          <w:lang w:val="es-CO" w:eastAsia="es-ES"/>
        </w:rPr>
        <w:t>d</w:t>
      </w:r>
      <w:r w:rsidRPr="0060216C">
        <w:rPr>
          <w:rFonts w:eastAsia="Arial" w:cs="Arial"/>
          <w:i w:val="0"/>
          <w:color w:val="000000"/>
          <w:u w:color="000000"/>
          <w:lang w:val="es-CO" w:eastAsia="es-ES"/>
        </w:rPr>
        <w:t>e</w:t>
      </w:r>
      <w:r w:rsidRPr="0060216C">
        <w:rPr>
          <w:rFonts w:eastAsia="Arial" w:cs="Arial"/>
          <w:i w:val="0"/>
          <w:color w:val="000000"/>
          <w:spacing w:val="3"/>
          <w:u w:color="000000"/>
          <w:lang w:val="es-CO" w:eastAsia="es-ES"/>
        </w:rPr>
        <w:t xml:space="preserve"> </w:t>
      </w:r>
      <w:r w:rsidRPr="0060216C">
        <w:rPr>
          <w:rFonts w:eastAsia="Arial" w:cs="Arial"/>
          <w:i w:val="0"/>
          <w:color w:val="000000"/>
          <w:u w:color="000000"/>
          <w:lang w:val="es-CO" w:eastAsia="es-ES"/>
        </w:rPr>
        <w:t>la Convención, en relación con el artículo 1.1 del mismo instrumento.</w:t>
      </w:r>
    </w:p>
    <w:p w14:paraId="4E1BBA4E" w14:textId="77777777" w:rsidR="008E387F" w:rsidRPr="0060216C" w:rsidRDefault="008E387F" w:rsidP="008E387F">
      <w:pPr>
        <w:pStyle w:val="Estilo1"/>
        <w:tabs>
          <w:tab w:val="left" w:pos="709"/>
          <w:tab w:val="left" w:pos="1134"/>
        </w:tabs>
        <w:spacing w:after="0"/>
        <w:ind w:left="0" w:right="-4" w:firstLine="0"/>
        <w:rPr>
          <w:rFonts w:cs="Arial"/>
          <w:i w:val="0"/>
          <w:color w:val="000000"/>
          <w:u w:color="000000"/>
          <w:lang w:val="es-CO"/>
        </w:rPr>
      </w:pPr>
    </w:p>
    <w:p w14:paraId="6AF10128" w14:textId="3387308B" w:rsidR="00C42183" w:rsidRPr="008E387F" w:rsidRDefault="00C42183" w:rsidP="00E92CA8">
      <w:pPr>
        <w:pStyle w:val="Estilo1"/>
        <w:numPr>
          <w:ilvl w:val="0"/>
          <w:numId w:val="3"/>
        </w:numPr>
        <w:tabs>
          <w:tab w:val="left" w:pos="709"/>
          <w:tab w:val="left" w:pos="1134"/>
        </w:tabs>
        <w:spacing w:after="0"/>
        <w:ind w:left="0" w:right="-4" w:firstLine="0"/>
        <w:rPr>
          <w:rFonts w:cs="Arial"/>
          <w:i w:val="0"/>
          <w:color w:val="000000"/>
          <w:u w:color="000000"/>
          <w:lang w:val="es-CO"/>
        </w:rPr>
      </w:pPr>
      <w:r w:rsidRPr="0060216C">
        <w:rPr>
          <w:rFonts w:eastAsia="Arial" w:cs="Arial"/>
          <w:i w:val="0"/>
          <w:color w:val="000000"/>
          <w:u w:color="000000"/>
          <w:lang w:val="es-CO" w:eastAsia="es-ES"/>
        </w:rPr>
        <w:t xml:space="preserve">El </w:t>
      </w:r>
      <w:r w:rsidRPr="004D76E0">
        <w:rPr>
          <w:rFonts w:eastAsia="Arial" w:cs="Arial"/>
          <w:b/>
          <w:color w:val="000000"/>
          <w:u w:color="000000"/>
          <w:lang w:val="es-CO" w:eastAsia="es-ES"/>
        </w:rPr>
        <w:t>Estado</w:t>
      </w:r>
      <w:r w:rsidRPr="0060216C">
        <w:rPr>
          <w:rFonts w:eastAsia="Arial" w:cs="Arial"/>
          <w:b/>
          <w:i w:val="0"/>
          <w:color w:val="000000"/>
          <w:u w:color="000000"/>
          <w:lang w:val="es-CO" w:eastAsia="es-ES"/>
        </w:rPr>
        <w:t xml:space="preserve"> </w:t>
      </w:r>
      <w:r w:rsidRPr="0060216C">
        <w:rPr>
          <w:rFonts w:eastAsia="Times New Roman"/>
          <w:i w:val="0"/>
          <w:color w:val="000000"/>
          <w:u w:color="000000"/>
          <w:lang w:eastAsia="es-ES"/>
        </w:rPr>
        <w:t xml:space="preserve">alegó que la </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es</w:t>
      </w:r>
      <w:r w:rsidRPr="0060216C">
        <w:rPr>
          <w:rFonts w:eastAsia="Times New Roman"/>
          <w:i w:val="0"/>
          <w:color w:val="000000"/>
          <w:spacing w:val="2"/>
          <w:u w:color="000000"/>
          <w:lang w:eastAsia="es-ES"/>
        </w:rPr>
        <w:t>o</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u</w:t>
      </w:r>
      <w:r w:rsidRPr="0060216C">
        <w:rPr>
          <w:rFonts w:eastAsia="Times New Roman"/>
          <w:i w:val="0"/>
          <w:color w:val="000000"/>
          <w:spacing w:val="-2"/>
          <w:u w:color="000000"/>
          <w:lang w:eastAsia="es-ES"/>
        </w:rPr>
        <w:t>c</w:t>
      </w:r>
      <w:r w:rsidRPr="0060216C">
        <w:rPr>
          <w:rFonts w:eastAsia="Times New Roman"/>
          <w:i w:val="0"/>
          <w:color w:val="000000"/>
          <w:spacing w:val="-1"/>
          <w:u w:color="000000"/>
          <w:lang w:eastAsia="es-ES"/>
        </w:rPr>
        <w:t>i</w:t>
      </w:r>
      <w:r w:rsidRPr="0060216C">
        <w:rPr>
          <w:rFonts w:eastAsia="Times New Roman"/>
          <w:i w:val="0"/>
          <w:color w:val="000000"/>
          <w:spacing w:val="2"/>
          <w:u w:color="000000"/>
          <w:lang w:eastAsia="es-ES"/>
        </w:rPr>
        <w:t>ó</w:t>
      </w:r>
      <w:r w:rsidRPr="0060216C">
        <w:rPr>
          <w:rFonts w:eastAsia="Times New Roman"/>
          <w:i w:val="0"/>
          <w:color w:val="000000"/>
          <w:u w:color="000000"/>
          <w:lang w:eastAsia="es-ES"/>
        </w:rPr>
        <w:t xml:space="preserve">n </w:t>
      </w:r>
      <w:r w:rsidRPr="0060216C">
        <w:rPr>
          <w:rFonts w:eastAsia="Times New Roman"/>
          <w:i w:val="0"/>
          <w:color w:val="000000"/>
          <w:spacing w:val="2"/>
          <w:u w:color="000000"/>
          <w:lang w:eastAsia="es-ES"/>
        </w:rPr>
        <w:t>d</w:t>
      </w:r>
      <w:r w:rsidRPr="0060216C">
        <w:rPr>
          <w:rFonts w:eastAsia="Times New Roman"/>
          <w:i w:val="0"/>
          <w:color w:val="000000"/>
          <w:spacing w:val="-2"/>
          <w:u w:color="000000"/>
          <w:lang w:eastAsia="es-ES"/>
        </w:rPr>
        <w:t>e</w:t>
      </w:r>
      <w:r w:rsidRPr="0060216C">
        <w:rPr>
          <w:rFonts w:eastAsia="Times New Roman"/>
          <w:i w:val="0"/>
          <w:color w:val="000000"/>
          <w:u w:color="000000"/>
          <w:lang w:eastAsia="es-ES"/>
        </w:rPr>
        <w:t xml:space="preserve">l </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c</w:t>
      </w:r>
      <w:r w:rsidRPr="0060216C">
        <w:rPr>
          <w:rFonts w:eastAsia="Times New Roman"/>
          <w:i w:val="0"/>
          <w:color w:val="000000"/>
          <w:spacing w:val="-2"/>
          <w:u w:color="000000"/>
          <w:lang w:eastAsia="es-ES"/>
        </w:rPr>
        <w:t>u</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s</w:t>
      </w:r>
      <w:r w:rsidRPr="0060216C">
        <w:rPr>
          <w:rFonts w:eastAsia="Times New Roman"/>
          <w:i w:val="0"/>
          <w:color w:val="000000"/>
          <w:u w:color="000000"/>
          <w:lang w:eastAsia="es-ES"/>
        </w:rPr>
        <w:t>o de amparo</w:t>
      </w:r>
      <w:r w:rsidRPr="0060216C">
        <w:rPr>
          <w:rFonts w:eastAsia="Times New Roman"/>
          <w:i w:val="0"/>
          <w:color w:val="000000"/>
          <w:spacing w:val="4"/>
          <w:u w:color="000000"/>
          <w:lang w:eastAsia="es-ES"/>
        </w:rPr>
        <w:t xml:space="preserve"> </w:t>
      </w:r>
      <w:r w:rsidRPr="0060216C">
        <w:rPr>
          <w:rFonts w:eastAsia="Times New Roman"/>
          <w:i w:val="0"/>
          <w:color w:val="000000"/>
          <w:spacing w:val="2"/>
          <w:u w:color="000000"/>
          <w:lang w:eastAsia="es-ES"/>
        </w:rPr>
        <w:t>c</w:t>
      </w:r>
      <w:r w:rsidRPr="0060216C">
        <w:rPr>
          <w:rFonts w:eastAsia="Times New Roman"/>
          <w:i w:val="0"/>
          <w:color w:val="000000"/>
          <w:spacing w:val="-2"/>
          <w:u w:color="000000"/>
          <w:lang w:eastAsia="es-ES"/>
        </w:rPr>
        <w:t>u</w:t>
      </w:r>
      <w:r w:rsidRPr="0060216C">
        <w:rPr>
          <w:rFonts w:eastAsia="Times New Roman"/>
          <w:i w:val="0"/>
          <w:color w:val="000000"/>
          <w:spacing w:val="1"/>
          <w:u w:color="000000"/>
          <w:lang w:eastAsia="es-ES"/>
        </w:rPr>
        <w:t>m</w:t>
      </w:r>
      <w:r w:rsidRPr="0060216C">
        <w:rPr>
          <w:rFonts w:eastAsia="Times New Roman"/>
          <w:i w:val="0"/>
          <w:color w:val="000000"/>
          <w:spacing w:val="2"/>
          <w:u w:color="000000"/>
          <w:lang w:eastAsia="es-ES"/>
        </w:rPr>
        <w:t>p</w:t>
      </w:r>
      <w:r w:rsidRPr="0060216C">
        <w:rPr>
          <w:rFonts w:eastAsia="Times New Roman"/>
          <w:i w:val="0"/>
          <w:color w:val="000000"/>
          <w:spacing w:val="-1"/>
          <w:u w:color="000000"/>
          <w:lang w:eastAsia="es-ES"/>
        </w:rPr>
        <w:t>li</w:t>
      </w:r>
      <w:r w:rsidRPr="0060216C">
        <w:rPr>
          <w:rFonts w:eastAsia="Times New Roman"/>
          <w:i w:val="0"/>
          <w:color w:val="000000"/>
          <w:u w:color="000000"/>
          <w:lang w:eastAsia="es-ES"/>
        </w:rPr>
        <w:t>ó</w:t>
      </w:r>
      <w:r w:rsidRPr="0060216C">
        <w:rPr>
          <w:rFonts w:eastAsia="Times New Roman"/>
          <w:i w:val="0"/>
          <w:color w:val="000000"/>
          <w:spacing w:val="4"/>
          <w:u w:color="000000"/>
          <w:lang w:eastAsia="es-ES"/>
        </w:rPr>
        <w:t xml:space="preserve"> </w:t>
      </w:r>
      <w:r w:rsidRPr="0060216C">
        <w:rPr>
          <w:rFonts w:eastAsia="Times New Roman"/>
          <w:i w:val="0"/>
          <w:color w:val="000000"/>
          <w:spacing w:val="-2"/>
          <w:u w:color="000000"/>
          <w:lang w:eastAsia="es-ES"/>
        </w:rPr>
        <w:t>c</w:t>
      </w:r>
      <w:r w:rsidRPr="0060216C">
        <w:rPr>
          <w:rFonts w:eastAsia="Times New Roman"/>
          <w:i w:val="0"/>
          <w:color w:val="000000"/>
          <w:spacing w:val="2"/>
          <w:u w:color="000000"/>
          <w:lang w:eastAsia="es-ES"/>
        </w:rPr>
        <w:t>o</w:t>
      </w:r>
      <w:r w:rsidRPr="0060216C">
        <w:rPr>
          <w:rFonts w:eastAsia="Times New Roman"/>
          <w:i w:val="0"/>
          <w:color w:val="000000"/>
          <w:u w:color="000000"/>
          <w:lang w:eastAsia="es-ES"/>
        </w:rPr>
        <w:t xml:space="preserve">n </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o</w:t>
      </w:r>
      <w:r w:rsidRPr="0060216C">
        <w:rPr>
          <w:rFonts w:eastAsia="Times New Roman"/>
          <w:i w:val="0"/>
          <w:color w:val="000000"/>
          <w:u w:color="000000"/>
          <w:lang w:eastAsia="es-ES"/>
        </w:rPr>
        <w:t>s</w:t>
      </w:r>
      <w:r w:rsidRPr="0060216C">
        <w:rPr>
          <w:rFonts w:eastAsia="Times New Roman"/>
          <w:i w:val="0"/>
          <w:color w:val="000000"/>
          <w:spacing w:val="4"/>
          <w:u w:color="000000"/>
          <w:lang w:eastAsia="es-ES"/>
        </w:rPr>
        <w:t xml:space="preserve"> </w:t>
      </w:r>
      <w:r w:rsidRPr="0060216C">
        <w:rPr>
          <w:rFonts w:eastAsia="Times New Roman"/>
          <w:i w:val="0"/>
          <w:color w:val="000000"/>
          <w:spacing w:val="-2"/>
          <w:u w:color="000000"/>
          <w:lang w:eastAsia="es-ES"/>
        </w:rPr>
        <w:t>e</w:t>
      </w:r>
      <w:r w:rsidRPr="0060216C">
        <w:rPr>
          <w:rFonts w:eastAsia="Times New Roman"/>
          <w:i w:val="0"/>
          <w:color w:val="000000"/>
          <w:spacing w:val="3"/>
          <w:u w:color="000000"/>
          <w:lang w:eastAsia="es-ES"/>
        </w:rPr>
        <w:t>l</w:t>
      </w:r>
      <w:r w:rsidRPr="0060216C">
        <w:rPr>
          <w:rFonts w:eastAsia="Times New Roman"/>
          <w:i w:val="0"/>
          <w:color w:val="000000"/>
          <w:spacing w:val="-2"/>
          <w:u w:color="000000"/>
          <w:lang w:eastAsia="es-ES"/>
        </w:rPr>
        <w:t>e</w:t>
      </w:r>
      <w:r w:rsidRPr="0060216C">
        <w:rPr>
          <w:rFonts w:eastAsia="Times New Roman"/>
          <w:i w:val="0"/>
          <w:color w:val="000000"/>
          <w:spacing w:val="1"/>
          <w:u w:color="000000"/>
          <w:lang w:eastAsia="es-ES"/>
        </w:rPr>
        <w:t>m</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n</w:t>
      </w:r>
      <w:r w:rsidRPr="0060216C">
        <w:rPr>
          <w:rFonts w:eastAsia="Times New Roman"/>
          <w:i w:val="0"/>
          <w:color w:val="000000"/>
          <w:spacing w:val="-1"/>
          <w:u w:color="000000"/>
          <w:lang w:eastAsia="es-ES"/>
        </w:rPr>
        <w:t>t</w:t>
      </w:r>
      <w:r w:rsidRPr="0060216C">
        <w:rPr>
          <w:rFonts w:eastAsia="Times New Roman"/>
          <w:i w:val="0"/>
          <w:color w:val="000000"/>
          <w:spacing w:val="2"/>
          <w:u w:color="000000"/>
          <w:lang w:eastAsia="es-ES"/>
        </w:rPr>
        <w:t>o</w:t>
      </w:r>
      <w:r w:rsidRPr="0060216C">
        <w:rPr>
          <w:rFonts w:eastAsia="Times New Roman"/>
          <w:i w:val="0"/>
          <w:color w:val="000000"/>
          <w:u w:color="000000"/>
          <w:lang w:eastAsia="es-ES"/>
        </w:rPr>
        <w:t xml:space="preserve">s </w:t>
      </w:r>
      <w:r w:rsidRPr="0060216C">
        <w:rPr>
          <w:rFonts w:eastAsia="Times New Roman"/>
          <w:i w:val="0"/>
          <w:color w:val="000000"/>
          <w:spacing w:val="-1"/>
          <w:u w:color="000000"/>
          <w:lang w:eastAsia="es-ES"/>
        </w:rPr>
        <w:t>j</w:t>
      </w:r>
      <w:r w:rsidRPr="0060216C">
        <w:rPr>
          <w:rFonts w:eastAsia="Times New Roman"/>
          <w:i w:val="0"/>
          <w:color w:val="000000"/>
          <w:spacing w:val="2"/>
          <w:u w:color="000000"/>
          <w:lang w:eastAsia="es-ES"/>
        </w:rPr>
        <w:t>u</w:t>
      </w:r>
      <w:r w:rsidRPr="0060216C">
        <w:rPr>
          <w:rFonts w:eastAsia="Times New Roman"/>
          <w:i w:val="0"/>
          <w:color w:val="000000"/>
          <w:spacing w:val="-1"/>
          <w:u w:color="000000"/>
          <w:lang w:eastAsia="es-ES"/>
        </w:rPr>
        <w:t>ri</w:t>
      </w:r>
      <w:r w:rsidRPr="0060216C">
        <w:rPr>
          <w:rFonts w:eastAsia="Times New Roman"/>
          <w:i w:val="0"/>
          <w:color w:val="000000"/>
          <w:spacing w:val="-2"/>
          <w:u w:color="000000"/>
          <w:lang w:eastAsia="es-ES"/>
        </w:rPr>
        <w:t>s</w:t>
      </w:r>
      <w:r w:rsidRPr="0060216C">
        <w:rPr>
          <w:rFonts w:eastAsia="Times New Roman"/>
          <w:i w:val="0"/>
          <w:color w:val="000000"/>
          <w:spacing w:val="2"/>
          <w:u w:color="000000"/>
          <w:lang w:eastAsia="es-ES"/>
        </w:rPr>
        <w:t>p</w:t>
      </w:r>
      <w:r w:rsidRPr="0060216C">
        <w:rPr>
          <w:rFonts w:eastAsia="Times New Roman"/>
          <w:i w:val="0"/>
          <w:color w:val="000000"/>
          <w:spacing w:val="3"/>
          <w:u w:color="000000"/>
          <w:lang w:eastAsia="es-ES"/>
        </w:rPr>
        <w:t>r</w:t>
      </w:r>
      <w:r w:rsidRPr="0060216C">
        <w:rPr>
          <w:rFonts w:eastAsia="Times New Roman"/>
          <w:i w:val="0"/>
          <w:color w:val="000000"/>
          <w:spacing w:val="2"/>
          <w:u w:color="000000"/>
          <w:lang w:eastAsia="es-ES"/>
        </w:rPr>
        <w:t>ud</w:t>
      </w:r>
      <w:r w:rsidRPr="0060216C">
        <w:rPr>
          <w:rFonts w:eastAsia="Times New Roman"/>
          <w:i w:val="0"/>
          <w:color w:val="000000"/>
          <w:spacing w:val="-2"/>
          <w:u w:color="000000"/>
          <w:lang w:eastAsia="es-ES"/>
        </w:rPr>
        <w:t>enc</w:t>
      </w:r>
      <w:r w:rsidRPr="0060216C">
        <w:rPr>
          <w:rFonts w:eastAsia="Times New Roman"/>
          <w:i w:val="0"/>
          <w:color w:val="000000"/>
          <w:spacing w:val="3"/>
          <w:u w:color="000000"/>
          <w:lang w:eastAsia="es-ES"/>
        </w:rPr>
        <w:t>i</w:t>
      </w:r>
      <w:r w:rsidRPr="0060216C">
        <w:rPr>
          <w:rFonts w:eastAsia="Times New Roman"/>
          <w:i w:val="0"/>
          <w:color w:val="000000"/>
          <w:spacing w:val="-2"/>
          <w:u w:color="000000"/>
          <w:lang w:eastAsia="es-ES"/>
        </w:rPr>
        <w:t>a</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e</w:t>
      </w:r>
      <w:r w:rsidRPr="0060216C">
        <w:rPr>
          <w:rFonts w:eastAsia="Times New Roman"/>
          <w:i w:val="0"/>
          <w:color w:val="000000"/>
          <w:u w:color="000000"/>
          <w:lang w:eastAsia="es-ES"/>
        </w:rPr>
        <w:t xml:space="preserve">s </w:t>
      </w:r>
      <w:r w:rsidRPr="0060216C">
        <w:rPr>
          <w:rFonts w:eastAsia="Times New Roman"/>
          <w:i w:val="0"/>
          <w:color w:val="000000"/>
          <w:spacing w:val="-2"/>
          <w:u w:color="000000"/>
          <w:lang w:eastAsia="es-ES"/>
        </w:rPr>
        <w:t>de</w:t>
      </w:r>
      <w:r w:rsidRPr="0060216C">
        <w:rPr>
          <w:rFonts w:eastAsia="Times New Roman"/>
          <w:i w:val="0"/>
          <w:color w:val="000000"/>
          <w:spacing w:val="7"/>
          <w:u w:color="000000"/>
          <w:lang w:eastAsia="es-ES"/>
        </w:rPr>
        <w:t xml:space="preserve"> </w:t>
      </w:r>
      <w:r w:rsidRPr="0060216C">
        <w:rPr>
          <w:rFonts w:eastAsia="Times New Roman"/>
          <w:i w:val="0"/>
          <w:color w:val="000000"/>
          <w:spacing w:val="-2"/>
          <w:u w:color="000000"/>
          <w:lang w:eastAsia="es-ES"/>
        </w:rPr>
        <w:t>s</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nc</w:t>
      </w:r>
      <w:r w:rsidRPr="0060216C">
        <w:rPr>
          <w:rFonts w:eastAsia="Times New Roman"/>
          <w:i w:val="0"/>
          <w:color w:val="000000"/>
          <w:spacing w:val="3"/>
          <w:u w:color="000000"/>
          <w:lang w:eastAsia="es-ES"/>
        </w:rPr>
        <w:t>i</w:t>
      </w:r>
      <w:r w:rsidRPr="0060216C">
        <w:rPr>
          <w:rFonts w:eastAsia="Times New Roman"/>
          <w:i w:val="0"/>
          <w:color w:val="000000"/>
          <w:spacing w:val="-1"/>
          <w:u w:color="000000"/>
          <w:lang w:eastAsia="es-ES"/>
        </w:rPr>
        <w:t>ll</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z</w:t>
      </w:r>
      <w:r w:rsidRPr="0060216C">
        <w:rPr>
          <w:rFonts w:eastAsia="Times New Roman"/>
          <w:i w:val="0"/>
          <w:color w:val="000000"/>
          <w:u w:color="000000"/>
          <w:lang w:eastAsia="es-ES"/>
        </w:rPr>
        <w:t>,</w:t>
      </w:r>
      <w:r w:rsidRPr="0060216C">
        <w:rPr>
          <w:rFonts w:eastAsia="Times New Roman"/>
          <w:i w:val="0"/>
          <w:color w:val="000000"/>
          <w:spacing w:val="3"/>
          <w:u w:color="000000"/>
          <w:lang w:eastAsia="es-ES"/>
        </w:rPr>
        <w:t xml:space="preserve"> </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a</w:t>
      </w:r>
      <w:r w:rsidRPr="0060216C">
        <w:rPr>
          <w:rFonts w:eastAsia="Times New Roman"/>
          <w:i w:val="0"/>
          <w:color w:val="000000"/>
          <w:spacing w:val="2"/>
          <w:u w:color="000000"/>
          <w:lang w:eastAsia="es-ES"/>
        </w:rPr>
        <w:t>p</w:t>
      </w:r>
      <w:r w:rsidRPr="0060216C">
        <w:rPr>
          <w:rFonts w:eastAsia="Times New Roman"/>
          <w:i w:val="0"/>
          <w:color w:val="000000"/>
          <w:spacing w:val="-1"/>
          <w:u w:color="000000"/>
          <w:lang w:eastAsia="es-ES"/>
        </w:rPr>
        <w:t>i</w:t>
      </w:r>
      <w:r w:rsidRPr="0060216C">
        <w:rPr>
          <w:rFonts w:eastAsia="Times New Roman"/>
          <w:i w:val="0"/>
          <w:color w:val="000000"/>
          <w:spacing w:val="2"/>
          <w:u w:color="000000"/>
          <w:lang w:eastAsia="es-ES"/>
        </w:rPr>
        <w:t>de</w:t>
      </w:r>
      <w:r w:rsidRPr="0060216C">
        <w:rPr>
          <w:rFonts w:eastAsia="Times New Roman"/>
          <w:i w:val="0"/>
          <w:color w:val="000000"/>
          <w:u w:color="000000"/>
          <w:lang w:eastAsia="es-ES"/>
        </w:rPr>
        <w:t xml:space="preserve">z y </w:t>
      </w:r>
      <w:r w:rsidRPr="0060216C">
        <w:rPr>
          <w:rFonts w:eastAsia="Times New Roman"/>
          <w:i w:val="0"/>
          <w:color w:val="000000"/>
          <w:spacing w:val="-2"/>
          <w:u w:color="000000"/>
          <w:lang w:eastAsia="es-ES"/>
        </w:rPr>
        <w:t>e</w:t>
      </w:r>
      <w:r w:rsidRPr="0060216C">
        <w:rPr>
          <w:rFonts w:eastAsia="Times New Roman"/>
          <w:i w:val="0"/>
          <w:color w:val="000000"/>
          <w:spacing w:val="3"/>
          <w:u w:color="000000"/>
          <w:lang w:eastAsia="es-ES"/>
        </w:rPr>
        <w:t>f</w:t>
      </w:r>
      <w:r w:rsidRPr="0060216C">
        <w:rPr>
          <w:rFonts w:eastAsia="Times New Roman"/>
          <w:i w:val="0"/>
          <w:color w:val="000000"/>
          <w:spacing w:val="-2"/>
          <w:u w:color="000000"/>
          <w:lang w:eastAsia="es-ES"/>
        </w:rPr>
        <w:t>ec</w:t>
      </w:r>
      <w:r w:rsidRPr="0060216C">
        <w:rPr>
          <w:rFonts w:eastAsia="Times New Roman"/>
          <w:i w:val="0"/>
          <w:color w:val="000000"/>
          <w:spacing w:val="-1"/>
          <w:u w:color="000000"/>
          <w:lang w:eastAsia="es-ES"/>
        </w:rPr>
        <w:t>t</w:t>
      </w:r>
      <w:r w:rsidRPr="0060216C">
        <w:rPr>
          <w:rFonts w:eastAsia="Times New Roman"/>
          <w:i w:val="0"/>
          <w:color w:val="000000"/>
          <w:spacing w:val="3"/>
          <w:u w:color="000000"/>
          <w:lang w:eastAsia="es-ES"/>
        </w:rPr>
        <w:t>i</w:t>
      </w:r>
      <w:r w:rsidRPr="0060216C">
        <w:rPr>
          <w:rFonts w:eastAsia="Times New Roman"/>
          <w:i w:val="0"/>
          <w:color w:val="000000"/>
          <w:spacing w:val="-2"/>
          <w:u w:color="000000"/>
          <w:lang w:eastAsia="es-ES"/>
        </w:rPr>
        <w:t>v</w:t>
      </w:r>
      <w:r w:rsidRPr="0060216C">
        <w:rPr>
          <w:rFonts w:eastAsia="Times New Roman"/>
          <w:i w:val="0"/>
          <w:color w:val="000000"/>
          <w:spacing w:val="-1"/>
          <w:u w:color="000000"/>
          <w:lang w:eastAsia="es-ES"/>
        </w:rPr>
        <w:t>i</w:t>
      </w:r>
      <w:r w:rsidRPr="0060216C">
        <w:rPr>
          <w:rFonts w:eastAsia="Times New Roman"/>
          <w:i w:val="0"/>
          <w:color w:val="000000"/>
          <w:spacing w:val="2"/>
          <w:u w:color="000000"/>
          <w:lang w:eastAsia="es-ES"/>
        </w:rPr>
        <w:t>d</w:t>
      </w:r>
      <w:r w:rsidRPr="0060216C">
        <w:rPr>
          <w:rFonts w:eastAsia="Times New Roman"/>
          <w:i w:val="0"/>
          <w:color w:val="000000"/>
          <w:spacing w:val="-2"/>
          <w:u w:color="000000"/>
          <w:lang w:eastAsia="es-ES"/>
        </w:rPr>
        <w:t>a</w:t>
      </w:r>
      <w:r w:rsidRPr="0060216C">
        <w:rPr>
          <w:rFonts w:eastAsia="Times New Roman"/>
          <w:i w:val="0"/>
          <w:color w:val="000000"/>
          <w:spacing w:val="2"/>
          <w:u w:color="000000"/>
          <w:lang w:eastAsia="es-ES"/>
        </w:rPr>
        <w:t>d</w:t>
      </w:r>
      <w:r w:rsidRPr="0060216C">
        <w:rPr>
          <w:rFonts w:eastAsia="Times New Roman"/>
          <w:i w:val="0"/>
          <w:color w:val="000000"/>
          <w:u w:color="000000"/>
          <w:lang w:eastAsia="es-ES"/>
        </w:rPr>
        <w:t>,</w:t>
      </w:r>
      <w:r w:rsidRPr="0060216C">
        <w:rPr>
          <w:rFonts w:eastAsia="Times New Roman"/>
          <w:i w:val="0"/>
          <w:color w:val="000000"/>
          <w:spacing w:val="3"/>
          <w:u w:color="000000"/>
          <w:lang w:eastAsia="es-ES"/>
        </w:rPr>
        <w:t xml:space="preserve"> </w:t>
      </w:r>
      <w:r w:rsidRPr="0060216C">
        <w:rPr>
          <w:rFonts w:eastAsia="Times New Roman"/>
          <w:i w:val="0"/>
          <w:color w:val="000000"/>
          <w:u w:color="000000"/>
          <w:lang w:eastAsia="es-ES"/>
        </w:rPr>
        <w:t xml:space="preserve">y </w:t>
      </w:r>
      <w:r w:rsidRPr="0060216C">
        <w:rPr>
          <w:rFonts w:eastAsia="Times New Roman"/>
          <w:i w:val="0"/>
          <w:color w:val="000000"/>
          <w:spacing w:val="-2"/>
          <w:u w:color="000000"/>
          <w:lang w:eastAsia="es-ES"/>
        </w:rPr>
        <w:t>s</w:t>
      </w:r>
      <w:r w:rsidRPr="0060216C">
        <w:rPr>
          <w:rFonts w:eastAsia="Times New Roman"/>
          <w:i w:val="0"/>
          <w:color w:val="000000"/>
          <w:u w:color="000000"/>
          <w:lang w:eastAsia="es-ES"/>
        </w:rPr>
        <w:t xml:space="preserve">e </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es</w:t>
      </w:r>
      <w:r w:rsidRPr="0060216C">
        <w:rPr>
          <w:rFonts w:eastAsia="Times New Roman"/>
          <w:i w:val="0"/>
          <w:color w:val="000000"/>
          <w:spacing w:val="2"/>
          <w:u w:color="000000"/>
          <w:lang w:eastAsia="es-ES"/>
        </w:rPr>
        <w:t>o</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v</w:t>
      </w:r>
      <w:r w:rsidRPr="0060216C">
        <w:rPr>
          <w:rFonts w:eastAsia="Times New Roman"/>
          <w:i w:val="0"/>
          <w:color w:val="000000"/>
          <w:spacing w:val="-1"/>
          <w:u w:color="000000"/>
          <w:lang w:eastAsia="es-ES"/>
        </w:rPr>
        <w:t>i</w:t>
      </w:r>
      <w:r w:rsidRPr="0060216C">
        <w:rPr>
          <w:rFonts w:eastAsia="Times New Roman"/>
          <w:i w:val="0"/>
          <w:color w:val="000000"/>
          <w:u w:color="000000"/>
          <w:lang w:eastAsia="es-ES"/>
        </w:rPr>
        <w:t>ó</w:t>
      </w:r>
      <w:r w:rsidRPr="0060216C">
        <w:rPr>
          <w:rFonts w:eastAsia="Times New Roman"/>
          <w:i w:val="0"/>
          <w:color w:val="000000"/>
          <w:spacing w:val="4"/>
          <w:u w:color="000000"/>
          <w:lang w:eastAsia="es-ES"/>
        </w:rPr>
        <w:t xml:space="preserve"> </w:t>
      </w:r>
      <w:r w:rsidRPr="0060216C">
        <w:rPr>
          <w:rFonts w:eastAsia="Times New Roman"/>
          <w:i w:val="0"/>
          <w:color w:val="000000"/>
          <w:spacing w:val="-2"/>
          <w:u w:color="000000"/>
          <w:lang w:eastAsia="es-ES"/>
        </w:rPr>
        <w:t>a</w:t>
      </w:r>
      <w:r w:rsidRPr="0060216C">
        <w:rPr>
          <w:rFonts w:eastAsia="Times New Roman"/>
          <w:i w:val="0"/>
          <w:color w:val="000000"/>
          <w:spacing w:val="-1"/>
          <w:u w:color="000000"/>
          <w:lang w:eastAsia="es-ES"/>
        </w:rPr>
        <w:t>t</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n</w:t>
      </w:r>
      <w:r w:rsidRPr="0060216C">
        <w:rPr>
          <w:rFonts w:eastAsia="Times New Roman"/>
          <w:i w:val="0"/>
          <w:color w:val="000000"/>
          <w:spacing w:val="2"/>
          <w:u w:color="000000"/>
          <w:lang w:eastAsia="es-ES"/>
        </w:rPr>
        <w:t>d</w:t>
      </w:r>
      <w:r w:rsidRPr="0060216C">
        <w:rPr>
          <w:rFonts w:eastAsia="Times New Roman"/>
          <w:i w:val="0"/>
          <w:color w:val="000000"/>
          <w:spacing w:val="-1"/>
          <w:u w:color="000000"/>
          <w:lang w:eastAsia="es-ES"/>
        </w:rPr>
        <w:t>i</w:t>
      </w:r>
      <w:r w:rsidRPr="0060216C">
        <w:rPr>
          <w:rFonts w:eastAsia="Times New Roman"/>
          <w:i w:val="0"/>
          <w:color w:val="000000"/>
          <w:spacing w:val="2"/>
          <w:u w:color="000000"/>
          <w:lang w:eastAsia="es-ES"/>
        </w:rPr>
        <w:t>e</w:t>
      </w:r>
      <w:r w:rsidRPr="0060216C">
        <w:rPr>
          <w:rFonts w:eastAsia="Times New Roman"/>
          <w:i w:val="0"/>
          <w:color w:val="000000"/>
          <w:spacing w:val="-2"/>
          <w:u w:color="000000"/>
          <w:lang w:eastAsia="es-ES"/>
        </w:rPr>
        <w:t>n</w:t>
      </w:r>
      <w:r w:rsidRPr="0060216C">
        <w:rPr>
          <w:rFonts w:eastAsia="Times New Roman"/>
          <w:i w:val="0"/>
          <w:color w:val="000000"/>
          <w:spacing w:val="2"/>
          <w:u w:color="000000"/>
          <w:lang w:eastAsia="es-ES"/>
        </w:rPr>
        <w:t>d</w:t>
      </w:r>
      <w:r w:rsidRPr="0060216C">
        <w:rPr>
          <w:rFonts w:eastAsia="Times New Roman"/>
          <w:i w:val="0"/>
          <w:color w:val="000000"/>
          <w:u w:color="000000"/>
          <w:lang w:eastAsia="es-ES"/>
        </w:rPr>
        <w:t>o</w:t>
      </w:r>
      <w:r w:rsidRPr="0060216C">
        <w:rPr>
          <w:rFonts w:eastAsia="Times New Roman"/>
          <w:i w:val="0"/>
          <w:color w:val="000000"/>
          <w:spacing w:val="4"/>
          <w:u w:color="000000"/>
          <w:lang w:eastAsia="es-ES"/>
        </w:rPr>
        <w:t xml:space="preserve"> </w:t>
      </w:r>
      <w:r w:rsidRPr="0060216C">
        <w:rPr>
          <w:rFonts w:eastAsia="Times New Roman"/>
          <w:i w:val="0"/>
          <w:color w:val="000000"/>
          <w:spacing w:val="-2"/>
          <w:u w:color="000000"/>
          <w:lang w:eastAsia="es-ES"/>
        </w:rPr>
        <w:t>e</w:t>
      </w:r>
      <w:r w:rsidRPr="0060216C">
        <w:rPr>
          <w:rFonts w:eastAsia="Times New Roman"/>
          <w:i w:val="0"/>
          <w:color w:val="000000"/>
          <w:u w:color="000000"/>
          <w:lang w:eastAsia="es-ES"/>
        </w:rPr>
        <w:t>l</w:t>
      </w:r>
      <w:r w:rsidRPr="0060216C">
        <w:rPr>
          <w:rFonts w:eastAsia="Times New Roman"/>
          <w:i w:val="0"/>
          <w:color w:val="000000"/>
          <w:spacing w:val="1"/>
          <w:u w:color="000000"/>
          <w:lang w:eastAsia="es-ES"/>
        </w:rPr>
        <w:t xml:space="preserve"> </w:t>
      </w:r>
      <w:r w:rsidRPr="0060216C">
        <w:rPr>
          <w:rFonts w:eastAsia="Times New Roman"/>
          <w:i w:val="0"/>
          <w:color w:val="000000"/>
          <w:spacing w:val="2"/>
          <w:u w:color="000000"/>
          <w:lang w:eastAsia="es-ES"/>
        </w:rPr>
        <w:t>d</w:t>
      </w:r>
      <w:r w:rsidRPr="0060216C">
        <w:rPr>
          <w:rFonts w:eastAsia="Times New Roman"/>
          <w:i w:val="0"/>
          <w:color w:val="000000"/>
          <w:spacing w:val="-6"/>
          <w:u w:color="000000"/>
          <w:lang w:eastAsia="es-ES"/>
        </w:rPr>
        <w:t>e</w:t>
      </w:r>
      <w:r w:rsidRPr="0060216C">
        <w:rPr>
          <w:rFonts w:eastAsia="Times New Roman"/>
          <w:i w:val="0"/>
          <w:color w:val="000000"/>
          <w:spacing w:val="2"/>
          <w:u w:color="000000"/>
          <w:lang w:eastAsia="es-ES"/>
        </w:rPr>
        <w:t>b</w:t>
      </w:r>
      <w:r w:rsidRPr="0060216C">
        <w:rPr>
          <w:rFonts w:eastAsia="Times New Roman"/>
          <w:i w:val="0"/>
          <w:color w:val="000000"/>
          <w:spacing w:val="-1"/>
          <w:u w:color="000000"/>
          <w:lang w:eastAsia="es-ES"/>
        </w:rPr>
        <w:t>i</w:t>
      </w:r>
      <w:r w:rsidRPr="0060216C">
        <w:rPr>
          <w:rFonts w:eastAsia="Times New Roman"/>
          <w:i w:val="0"/>
          <w:color w:val="000000"/>
          <w:spacing w:val="-2"/>
          <w:u w:color="000000"/>
          <w:lang w:eastAsia="es-ES"/>
        </w:rPr>
        <w:t>d</w:t>
      </w:r>
      <w:r w:rsidRPr="0060216C">
        <w:rPr>
          <w:rFonts w:eastAsia="Times New Roman"/>
          <w:i w:val="0"/>
          <w:color w:val="000000"/>
          <w:u w:color="000000"/>
          <w:lang w:eastAsia="es-ES"/>
        </w:rPr>
        <w:t xml:space="preserve">o </w:t>
      </w:r>
      <w:r w:rsidRPr="0060216C">
        <w:rPr>
          <w:rFonts w:eastAsia="Times New Roman"/>
          <w:i w:val="0"/>
          <w:color w:val="000000"/>
          <w:spacing w:val="2"/>
          <w:u w:color="000000"/>
          <w:lang w:eastAsia="es-ES"/>
        </w:rPr>
        <w:t>p</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o</w:t>
      </w:r>
      <w:r w:rsidRPr="0060216C">
        <w:rPr>
          <w:rFonts w:eastAsia="Times New Roman"/>
          <w:i w:val="0"/>
          <w:color w:val="000000"/>
          <w:spacing w:val="-2"/>
          <w:u w:color="000000"/>
          <w:lang w:eastAsia="es-ES"/>
        </w:rPr>
        <w:t>ces</w:t>
      </w:r>
      <w:r w:rsidRPr="0060216C">
        <w:rPr>
          <w:rFonts w:eastAsia="Times New Roman"/>
          <w:i w:val="0"/>
          <w:color w:val="000000"/>
          <w:u w:color="000000"/>
          <w:lang w:eastAsia="es-ES"/>
        </w:rPr>
        <w:t>o</w:t>
      </w:r>
      <w:r w:rsidRPr="0060216C">
        <w:rPr>
          <w:rFonts w:eastAsia="Times New Roman"/>
          <w:i w:val="0"/>
          <w:color w:val="000000"/>
          <w:spacing w:val="4"/>
          <w:u w:color="000000"/>
          <w:lang w:eastAsia="es-ES"/>
        </w:rPr>
        <w:t xml:space="preserve"> </w:t>
      </w:r>
      <w:r w:rsidRPr="0060216C">
        <w:rPr>
          <w:rFonts w:eastAsia="Times New Roman"/>
          <w:i w:val="0"/>
          <w:color w:val="000000"/>
          <w:u w:color="000000"/>
          <w:lang w:eastAsia="es-ES"/>
        </w:rPr>
        <w:t xml:space="preserve">y </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a</w:t>
      </w:r>
      <w:r w:rsidRPr="0060216C">
        <w:rPr>
          <w:rFonts w:eastAsia="Times New Roman"/>
          <w:i w:val="0"/>
          <w:color w:val="000000"/>
          <w:u w:color="000000"/>
          <w:lang w:eastAsia="es-ES"/>
        </w:rPr>
        <w:t xml:space="preserve">s </w:t>
      </w:r>
      <w:r w:rsidRPr="0060216C">
        <w:rPr>
          <w:rFonts w:eastAsia="Times New Roman"/>
          <w:i w:val="0"/>
          <w:color w:val="000000"/>
          <w:spacing w:val="2"/>
          <w:u w:color="000000"/>
          <w:lang w:eastAsia="es-ES"/>
        </w:rPr>
        <w:t>p</w:t>
      </w:r>
      <w:r w:rsidRPr="0060216C">
        <w:rPr>
          <w:rFonts w:eastAsia="Times New Roman"/>
          <w:i w:val="0"/>
          <w:color w:val="000000"/>
          <w:spacing w:val="-1"/>
          <w:u w:color="000000"/>
          <w:lang w:eastAsia="es-ES"/>
        </w:rPr>
        <w:t>r</w:t>
      </w:r>
      <w:r w:rsidRPr="0060216C">
        <w:rPr>
          <w:rFonts w:eastAsia="Times New Roman"/>
          <w:i w:val="0"/>
          <w:color w:val="000000"/>
          <w:spacing w:val="-2"/>
          <w:u w:color="000000"/>
          <w:lang w:eastAsia="es-ES"/>
        </w:rPr>
        <w:t>ue</w:t>
      </w:r>
      <w:r w:rsidRPr="0060216C">
        <w:rPr>
          <w:rFonts w:eastAsia="Times New Roman"/>
          <w:i w:val="0"/>
          <w:color w:val="000000"/>
          <w:spacing w:val="2"/>
          <w:u w:color="000000"/>
          <w:lang w:eastAsia="es-ES"/>
        </w:rPr>
        <w:t>b</w:t>
      </w:r>
      <w:r w:rsidRPr="0060216C">
        <w:rPr>
          <w:rFonts w:eastAsia="Times New Roman"/>
          <w:i w:val="0"/>
          <w:color w:val="000000"/>
          <w:spacing w:val="-2"/>
          <w:u w:color="000000"/>
          <w:lang w:eastAsia="es-ES"/>
        </w:rPr>
        <w:t>a</w:t>
      </w:r>
      <w:r w:rsidRPr="0060216C">
        <w:rPr>
          <w:rFonts w:eastAsia="Times New Roman"/>
          <w:i w:val="0"/>
          <w:color w:val="000000"/>
          <w:u w:color="000000"/>
          <w:lang w:eastAsia="es-ES"/>
        </w:rPr>
        <w:t xml:space="preserve">s </w:t>
      </w:r>
      <w:r w:rsidRPr="0060216C">
        <w:rPr>
          <w:rFonts w:eastAsia="Times New Roman"/>
          <w:i w:val="0"/>
          <w:color w:val="000000"/>
          <w:spacing w:val="-2"/>
          <w:u w:color="000000"/>
          <w:lang w:eastAsia="es-ES"/>
        </w:rPr>
        <w:t>a</w:t>
      </w:r>
      <w:r w:rsidRPr="0060216C">
        <w:rPr>
          <w:rFonts w:eastAsia="Times New Roman"/>
          <w:i w:val="0"/>
          <w:color w:val="000000"/>
          <w:spacing w:val="2"/>
          <w:u w:color="000000"/>
          <w:lang w:eastAsia="es-ES"/>
        </w:rPr>
        <w:t>po</w:t>
      </w:r>
      <w:r w:rsidRPr="0060216C">
        <w:rPr>
          <w:rFonts w:eastAsia="Times New Roman"/>
          <w:i w:val="0"/>
          <w:color w:val="000000"/>
          <w:spacing w:val="-1"/>
          <w:u w:color="000000"/>
          <w:lang w:eastAsia="es-ES"/>
        </w:rPr>
        <w:t>rt</w:t>
      </w:r>
      <w:r w:rsidRPr="0060216C">
        <w:rPr>
          <w:rFonts w:eastAsia="Times New Roman"/>
          <w:i w:val="0"/>
          <w:color w:val="000000"/>
          <w:spacing w:val="-2"/>
          <w:u w:color="000000"/>
          <w:lang w:eastAsia="es-ES"/>
        </w:rPr>
        <w:t>a</w:t>
      </w:r>
      <w:r w:rsidRPr="0060216C">
        <w:rPr>
          <w:rFonts w:eastAsia="Times New Roman"/>
          <w:i w:val="0"/>
          <w:color w:val="000000"/>
          <w:spacing w:val="2"/>
          <w:u w:color="000000"/>
          <w:lang w:eastAsia="es-ES"/>
        </w:rPr>
        <w:t>d</w:t>
      </w:r>
      <w:r w:rsidRPr="0060216C">
        <w:rPr>
          <w:rFonts w:eastAsia="Times New Roman"/>
          <w:i w:val="0"/>
          <w:color w:val="000000"/>
          <w:spacing w:val="-2"/>
          <w:u w:color="000000"/>
          <w:lang w:eastAsia="es-ES"/>
        </w:rPr>
        <w:t>a</w:t>
      </w:r>
      <w:r w:rsidRPr="0060216C">
        <w:rPr>
          <w:rFonts w:eastAsia="Times New Roman"/>
          <w:i w:val="0"/>
          <w:color w:val="000000"/>
          <w:u w:color="000000"/>
          <w:lang w:eastAsia="es-ES"/>
        </w:rPr>
        <w:t xml:space="preserve">s </w:t>
      </w:r>
      <w:r w:rsidRPr="0060216C">
        <w:rPr>
          <w:rFonts w:eastAsia="Times New Roman"/>
          <w:i w:val="0"/>
          <w:color w:val="000000"/>
          <w:spacing w:val="2"/>
          <w:u w:color="000000"/>
          <w:lang w:eastAsia="es-ES"/>
        </w:rPr>
        <w:t>po</w:t>
      </w:r>
      <w:r w:rsidRPr="0060216C">
        <w:rPr>
          <w:rFonts w:eastAsia="Times New Roman"/>
          <w:i w:val="0"/>
          <w:color w:val="000000"/>
          <w:u w:color="000000"/>
          <w:lang w:eastAsia="es-ES"/>
        </w:rPr>
        <w:t>r</w:t>
      </w:r>
      <w:r w:rsidRPr="0060216C">
        <w:rPr>
          <w:rFonts w:eastAsia="Times New Roman"/>
          <w:i w:val="0"/>
          <w:color w:val="000000"/>
          <w:spacing w:val="1"/>
          <w:u w:color="000000"/>
          <w:lang w:eastAsia="es-ES"/>
        </w:rPr>
        <w:t xml:space="preserve"> </w:t>
      </w:r>
      <w:r w:rsidRPr="0060216C">
        <w:rPr>
          <w:rFonts w:eastAsia="Times New Roman"/>
          <w:i w:val="0"/>
          <w:color w:val="000000"/>
          <w:spacing w:val="-1"/>
          <w:u w:color="000000"/>
          <w:lang w:eastAsia="es-ES"/>
        </w:rPr>
        <w:t>l</w:t>
      </w:r>
      <w:r w:rsidRPr="0060216C">
        <w:rPr>
          <w:rFonts w:eastAsia="Times New Roman"/>
          <w:i w:val="0"/>
          <w:color w:val="000000"/>
          <w:spacing w:val="-2"/>
          <w:u w:color="000000"/>
          <w:lang w:eastAsia="es-ES"/>
        </w:rPr>
        <w:t>a</w:t>
      </w:r>
      <w:r w:rsidRPr="0060216C">
        <w:rPr>
          <w:rFonts w:eastAsia="Times New Roman"/>
          <w:i w:val="0"/>
          <w:color w:val="000000"/>
          <w:u w:color="000000"/>
          <w:lang w:eastAsia="es-ES"/>
        </w:rPr>
        <w:t xml:space="preserve">s </w:t>
      </w:r>
      <w:r w:rsidRPr="0060216C">
        <w:rPr>
          <w:rFonts w:eastAsia="Times New Roman"/>
          <w:i w:val="0"/>
          <w:color w:val="000000"/>
          <w:spacing w:val="2"/>
          <w:u w:color="000000"/>
          <w:lang w:eastAsia="es-ES"/>
        </w:rPr>
        <w:t>p</w:t>
      </w:r>
      <w:r w:rsidRPr="0060216C">
        <w:rPr>
          <w:rFonts w:eastAsia="Times New Roman"/>
          <w:i w:val="0"/>
          <w:color w:val="000000"/>
          <w:spacing w:val="-2"/>
          <w:u w:color="000000"/>
          <w:lang w:eastAsia="es-ES"/>
        </w:rPr>
        <w:t>a</w:t>
      </w:r>
      <w:r w:rsidRPr="0060216C">
        <w:rPr>
          <w:rFonts w:eastAsia="Times New Roman"/>
          <w:i w:val="0"/>
          <w:color w:val="000000"/>
          <w:spacing w:val="-1"/>
          <w:u w:color="000000"/>
          <w:lang w:eastAsia="es-ES"/>
        </w:rPr>
        <w:t>rt</w:t>
      </w:r>
      <w:r w:rsidRPr="0060216C">
        <w:rPr>
          <w:rFonts w:eastAsia="Times New Roman"/>
          <w:i w:val="0"/>
          <w:color w:val="000000"/>
          <w:spacing w:val="-2"/>
          <w:u w:color="000000"/>
          <w:lang w:eastAsia="es-ES"/>
        </w:rPr>
        <w:t>es</w:t>
      </w:r>
      <w:r w:rsidRPr="0060216C">
        <w:rPr>
          <w:rFonts w:eastAsia="Times New Roman"/>
          <w:i w:val="0"/>
          <w:color w:val="000000"/>
          <w:u w:color="000000"/>
          <w:lang w:eastAsia="es-ES"/>
        </w:rPr>
        <w:t xml:space="preserve">. </w:t>
      </w:r>
      <w:r w:rsidRPr="0060216C">
        <w:rPr>
          <w:rFonts w:eastAsia="Times New Roman"/>
          <w:i w:val="0"/>
          <w:color w:val="000000"/>
          <w:spacing w:val="-3"/>
          <w:u w:color="000000"/>
          <w:lang w:val="es-CO" w:eastAsia="es-ES"/>
        </w:rPr>
        <w:t>A</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i</w:t>
      </w:r>
      <w:r w:rsidRPr="0060216C">
        <w:rPr>
          <w:rFonts w:eastAsia="Times New Roman"/>
          <w:i w:val="0"/>
          <w:color w:val="000000"/>
          <w:spacing w:val="1"/>
          <w:u w:color="000000"/>
          <w:lang w:val="es-CO" w:eastAsia="es-ES"/>
        </w:rPr>
        <w:t>m</w:t>
      </w:r>
      <w:r w:rsidRPr="0060216C">
        <w:rPr>
          <w:rFonts w:eastAsia="Times New Roman"/>
          <w:i w:val="0"/>
          <w:color w:val="000000"/>
          <w:spacing w:val="3"/>
          <w:u w:color="000000"/>
          <w:lang w:val="es-CO" w:eastAsia="es-ES"/>
        </w:rPr>
        <w:t>i</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m</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 manifestó que</w:t>
      </w:r>
      <w:r w:rsidRPr="0060216C">
        <w:rPr>
          <w:rFonts w:eastAsia="Times New Roman"/>
          <w:i w:val="0"/>
          <w:color w:val="000000"/>
          <w:spacing w:val="26"/>
          <w:u w:color="000000"/>
          <w:lang w:val="es-CO" w:eastAsia="es-ES"/>
        </w:rPr>
        <w:t xml:space="preserve"> </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n</w:t>
      </w:r>
      <w:r w:rsidRPr="0060216C">
        <w:rPr>
          <w:rFonts w:eastAsia="Times New Roman"/>
          <w:i w:val="0"/>
          <w:color w:val="000000"/>
          <w:spacing w:val="23"/>
          <w:u w:color="000000"/>
          <w:lang w:val="es-CO" w:eastAsia="es-ES"/>
        </w:rPr>
        <w:t xml:space="preserve"> </w:t>
      </w:r>
      <w:r w:rsidRPr="0060216C">
        <w:rPr>
          <w:rFonts w:eastAsia="Times New Roman"/>
          <w:i w:val="0"/>
          <w:color w:val="000000"/>
          <w:spacing w:val="2"/>
          <w:u w:color="000000"/>
          <w:lang w:val="es-CO" w:eastAsia="es-ES"/>
        </w:rPr>
        <w:t>c</w:t>
      </w:r>
      <w:r w:rsidRPr="0060216C">
        <w:rPr>
          <w:rFonts w:eastAsia="Times New Roman"/>
          <w:i w:val="0"/>
          <w:color w:val="000000"/>
          <w:spacing w:val="-2"/>
          <w:u w:color="000000"/>
          <w:lang w:val="es-CO" w:eastAsia="es-ES"/>
        </w:rPr>
        <w:t>as</w:t>
      </w:r>
      <w:r w:rsidRPr="0060216C">
        <w:rPr>
          <w:rFonts w:eastAsia="Times New Roman"/>
          <w:i w:val="0"/>
          <w:color w:val="000000"/>
          <w:u w:color="000000"/>
          <w:lang w:val="es-CO" w:eastAsia="es-ES"/>
        </w:rPr>
        <w:t>o</w:t>
      </w:r>
      <w:r w:rsidRPr="0060216C">
        <w:rPr>
          <w:rFonts w:eastAsia="Times New Roman"/>
          <w:i w:val="0"/>
          <w:color w:val="000000"/>
          <w:spacing w:val="27"/>
          <w:u w:color="000000"/>
          <w:lang w:val="es-CO" w:eastAsia="es-ES"/>
        </w:rPr>
        <w:t xml:space="preserve"> </w:t>
      </w:r>
      <w:r w:rsidRPr="0060216C">
        <w:rPr>
          <w:rFonts w:eastAsia="Times New Roman"/>
          <w:i w:val="0"/>
          <w:color w:val="000000"/>
          <w:spacing w:val="2"/>
          <w:u w:color="000000"/>
          <w:lang w:val="es-CO" w:eastAsia="es-ES"/>
        </w:rPr>
        <w:t>q</w:t>
      </w:r>
      <w:r w:rsidRPr="0060216C">
        <w:rPr>
          <w:rFonts w:eastAsia="Times New Roman"/>
          <w:i w:val="0"/>
          <w:color w:val="000000"/>
          <w:spacing w:val="-2"/>
          <w:u w:color="000000"/>
          <w:lang w:val="es-CO" w:eastAsia="es-ES"/>
        </w:rPr>
        <w:t>u</w:t>
      </w:r>
      <w:r w:rsidRPr="0060216C">
        <w:rPr>
          <w:rFonts w:eastAsia="Times New Roman"/>
          <w:i w:val="0"/>
          <w:color w:val="000000"/>
          <w:u w:color="000000"/>
          <w:lang w:val="es-CO" w:eastAsia="es-ES"/>
        </w:rPr>
        <w:t>e</w:t>
      </w:r>
      <w:r w:rsidRPr="0060216C">
        <w:rPr>
          <w:rFonts w:eastAsia="Times New Roman"/>
          <w:i w:val="0"/>
          <w:color w:val="000000"/>
          <w:spacing w:val="23"/>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 xml:space="preserve">as presuntas víctimas </w:t>
      </w:r>
      <w:r w:rsidRPr="0060216C">
        <w:rPr>
          <w:rFonts w:eastAsia="Times New Roman"/>
          <w:i w:val="0"/>
          <w:color w:val="000000"/>
          <w:spacing w:val="-2"/>
          <w:u w:color="000000"/>
          <w:lang w:val="es-CO" w:eastAsia="es-ES"/>
        </w:rPr>
        <w:t>es</w:t>
      </w:r>
      <w:r w:rsidRPr="0060216C">
        <w:rPr>
          <w:rFonts w:eastAsia="Times New Roman"/>
          <w:i w:val="0"/>
          <w:color w:val="000000"/>
          <w:spacing w:val="3"/>
          <w:u w:color="000000"/>
          <w:lang w:val="es-CO" w:eastAsia="es-ES"/>
        </w:rPr>
        <w:t>t</w:t>
      </w:r>
      <w:r w:rsidRPr="0060216C">
        <w:rPr>
          <w:rFonts w:eastAsia="Times New Roman"/>
          <w:i w:val="0"/>
          <w:color w:val="000000"/>
          <w:spacing w:val="-2"/>
          <w:u w:color="000000"/>
          <w:lang w:val="es-CO" w:eastAsia="es-ES"/>
        </w:rPr>
        <w:t>uv</w:t>
      </w:r>
      <w:r w:rsidRPr="0060216C">
        <w:rPr>
          <w:rFonts w:eastAsia="Times New Roman"/>
          <w:i w:val="0"/>
          <w:color w:val="000000"/>
          <w:spacing w:val="3"/>
          <w:u w:color="000000"/>
          <w:lang w:val="es-CO" w:eastAsia="es-ES"/>
        </w:rPr>
        <w:t>i</w:t>
      </w:r>
      <w:r w:rsidRPr="0060216C">
        <w:rPr>
          <w:rFonts w:eastAsia="Times New Roman"/>
          <w:i w:val="0"/>
          <w:color w:val="000000"/>
          <w:spacing w:val="-2"/>
          <w:u w:color="000000"/>
          <w:lang w:val="es-CO" w:eastAsia="es-ES"/>
        </w:rPr>
        <w:t>e</w:t>
      </w:r>
      <w:r w:rsidRPr="0060216C">
        <w:rPr>
          <w:rFonts w:eastAsia="Times New Roman"/>
          <w:i w:val="0"/>
          <w:color w:val="000000"/>
          <w:spacing w:val="3"/>
          <w:u w:color="000000"/>
          <w:lang w:val="es-CO" w:eastAsia="es-ES"/>
        </w:rPr>
        <w:t>r</w:t>
      </w:r>
      <w:r w:rsidRPr="0060216C">
        <w:rPr>
          <w:rFonts w:eastAsia="Times New Roman"/>
          <w:i w:val="0"/>
          <w:color w:val="000000"/>
          <w:spacing w:val="-2"/>
          <w:u w:color="000000"/>
          <w:lang w:val="es-CO" w:eastAsia="es-ES"/>
        </w:rPr>
        <w:t>a</w:t>
      </w:r>
      <w:r w:rsidRPr="0060216C">
        <w:rPr>
          <w:rFonts w:eastAsia="Times New Roman"/>
          <w:i w:val="0"/>
          <w:color w:val="000000"/>
          <w:u w:color="000000"/>
          <w:lang w:val="es-CO" w:eastAsia="es-ES"/>
        </w:rPr>
        <w:t>n</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sc</w:t>
      </w:r>
      <w:r w:rsidRPr="0060216C">
        <w:rPr>
          <w:rFonts w:eastAsia="Times New Roman"/>
          <w:i w:val="0"/>
          <w:color w:val="000000"/>
          <w:spacing w:val="2"/>
          <w:u w:color="000000"/>
          <w:lang w:val="es-CO" w:eastAsia="es-ES"/>
        </w:rPr>
        <w:t>o</w:t>
      </w:r>
      <w:r w:rsidRPr="0060216C">
        <w:rPr>
          <w:rFonts w:eastAsia="Times New Roman"/>
          <w:i w:val="0"/>
          <w:color w:val="000000"/>
          <w:spacing w:val="-2"/>
          <w:u w:color="000000"/>
          <w:lang w:val="es-CO" w:eastAsia="es-ES"/>
        </w:rPr>
        <w:t>n</w:t>
      </w:r>
      <w:r w:rsidRPr="0060216C">
        <w:rPr>
          <w:rFonts w:eastAsia="Times New Roman"/>
          <w:i w:val="0"/>
          <w:color w:val="000000"/>
          <w:spacing w:val="3"/>
          <w:u w:color="000000"/>
          <w:lang w:val="es-CO" w:eastAsia="es-ES"/>
        </w:rPr>
        <w:t>f</w:t>
      </w:r>
      <w:r w:rsidRPr="0060216C">
        <w:rPr>
          <w:rFonts w:eastAsia="Times New Roman"/>
          <w:i w:val="0"/>
          <w:color w:val="000000"/>
          <w:spacing w:val="2"/>
          <w:u w:color="000000"/>
          <w:lang w:val="es-CO" w:eastAsia="es-ES"/>
        </w:rPr>
        <w:t>o</w:t>
      </w:r>
      <w:r w:rsidRPr="0060216C">
        <w:rPr>
          <w:rFonts w:eastAsia="Times New Roman"/>
          <w:i w:val="0"/>
          <w:color w:val="000000"/>
          <w:spacing w:val="-1"/>
          <w:u w:color="000000"/>
          <w:lang w:val="es-CO" w:eastAsia="es-ES"/>
        </w:rPr>
        <w:t>r</w:t>
      </w:r>
      <w:r w:rsidRPr="0060216C">
        <w:rPr>
          <w:rFonts w:eastAsia="Times New Roman"/>
          <w:i w:val="0"/>
          <w:color w:val="000000"/>
          <w:spacing w:val="1"/>
          <w:u w:color="000000"/>
          <w:lang w:val="es-CO" w:eastAsia="es-ES"/>
        </w:rPr>
        <w:t>m</w:t>
      </w:r>
      <w:r w:rsidRPr="0060216C">
        <w:rPr>
          <w:rFonts w:eastAsia="Times New Roman"/>
          <w:i w:val="0"/>
          <w:color w:val="000000"/>
          <w:u w:color="000000"/>
          <w:lang w:val="es-CO" w:eastAsia="es-ES"/>
        </w:rPr>
        <w:t>es</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2"/>
          <w:u w:color="000000"/>
          <w:lang w:val="es-CO" w:eastAsia="es-ES"/>
        </w:rPr>
        <w:t>c</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n</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u w:color="000000"/>
          <w:lang w:val="es-CO" w:eastAsia="es-ES"/>
        </w:rPr>
        <w:t>a</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es</w:t>
      </w:r>
      <w:r w:rsidRPr="0060216C">
        <w:rPr>
          <w:rFonts w:eastAsia="Times New Roman"/>
          <w:i w:val="0"/>
          <w:color w:val="000000"/>
          <w:spacing w:val="2"/>
          <w:u w:color="000000"/>
          <w:lang w:val="es-CO" w:eastAsia="es-ES"/>
        </w:rPr>
        <w:t>o</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u</w:t>
      </w:r>
      <w:r w:rsidRPr="0060216C">
        <w:rPr>
          <w:rFonts w:eastAsia="Times New Roman"/>
          <w:i w:val="0"/>
          <w:color w:val="000000"/>
          <w:spacing w:val="-2"/>
          <w:u w:color="000000"/>
          <w:lang w:val="es-CO" w:eastAsia="es-ES"/>
        </w:rPr>
        <w:t>c</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ó</w:t>
      </w:r>
      <w:r w:rsidRPr="0060216C">
        <w:rPr>
          <w:rFonts w:eastAsia="Times New Roman"/>
          <w:i w:val="0"/>
          <w:color w:val="000000"/>
          <w:u w:color="000000"/>
          <w:lang w:val="es-CO" w:eastAsia="es-ES"/>
        </w:rPr>
        <w:t>n</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e</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u w:color="000000"/>
          <w:lang w:val="es-CO" w:eastAsia="es-ES"/>
        </w:rPr>
        <w:t>a</w:t>
      </w:r>
      <w:r w:rsidRPr="0060216C">
        <w:rPr>
          <w:rFonts w:eastAsia="Times New Roman"/>
          <w:i w:val="0"/>
          <w:color w:val="000000"/>
          <w:spacing w:val="1"/>
          <w:u w:color="000000"/>
          <w:lang w:val="es-CO" w:eastAsia="es-ES"/>
        </w:rPr>
        <w:t xml:space="preserve"> Corte</w:t>
      </w:r>
      <w:r w:rsidR="00AF0430">
        <w:rPr>
          <w:rFonts w:eastAsia="Times New Roman"/>
          <w:i w:val="0"/>
          <w:color w:val="000000"/>
          <w:spacing w:val="1"/>
          <w:u w:color="000000"/>
          <w:lang w:val="es-CO" w:eastAsia="es-ES"/>
        </w:rPr>
        <w:t xml:space="preserve"> de</w:t>
      </w:r>
      <w:r w:rsidRPr="0060216C">
        <w:rPr>
          <w:rFonts w:eastAsia="Times New Roman"/>
          <w:i w:val="0"/>
          <w:color w:val="000000"/>
          <w:spacing w:val="1"/>
          <w:u w:color="000000"/>
          <w:lang w:val="es-CO" w:eastAsia="es-ES"/>
        </w:rPr>
        <w:t xml:space="preserve"> Constitucional</w:t>
      </w:r>
      <w:r w:rsidR="00AF0430">
        <w:rPr>
          <w:rFonts w:eastAsia="Times New Roman"/>
          <w:i w:val="0"/>
          <w:color w:val="000000"/>
          <w:spacing w:val="1"/>
          <w:u w:color="000000"/>
          <w:lang w:val="es-CO" w:eastAsia="es-ES"/>
        </w:rPr>
        <w:t>idad</w:t>
      </w:r>
      <w:r w:rsidRPr="0060216C">
        <w:rPr>
          <w:rFonts w:eastAsia="Times New Roman"/>
          <w:i w:val="0"/>
          <w:color w:val="000000"/>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b</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e</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n</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ecu</w:t>
      </w:r>
      <w:r w:rsidRPr="0060216C">
        <w:rPr>
          <w:rFonts w:eastAsia="Times New Roman"/>
          <w:i w:val="0"/>
          <w:color w:val="000000"/>
          <w:spacing w:val="3"/>
          <w:u w:color="000000"/>
          <w:lang w:val="es-CO" w:eastAsia="es-ES"/>
        </w:rPr>
        <w:t>r</w:t>
      </w:r>
      <w:r w:rsidRPr="0060216C">
        <w:rPr>
          <w:rFonts w:eastAsia="Times New Roman"/>
          <w:i w:val="0"/>
          <w:color w:val="000000"/>
          <w:spacing w:val="-1"/>
          <w:u w:color="000000"/>
          <w:lang w:val="es-CO" w:eastAsia="es-ES"/>
        </w:rPr>
        <w:t>ri</w:t>
      </w:r>
      <w:r w:rsidRPr="0060216C">
        <w:rPr>
          <w:rFonts w:eastAsia="Times New Roman"/>
          <w:i w:val="0"/>
          <w:color w:val="000000"/>
          <w:u w:color="000000"/>
          <w:lang w:val="es-CO" w:eastAsia="es-ES"/>
        </w:rPr>
        <w:t>r</w:t>
      </w:r>
      <w:r w:rsidRPr="0060216C">
        <w:rPr>
          <w:rFonts w:eastAsia="Times New Roman"/>
          <w:i w:val="0"/>
          <w:color w:val="000000"/>
          <w:spacing w:val="2"/>
          <w:u w:color="000000"/>
          <w:lang w:val="es-CO" w:eastAsia="es-ES"/>
        </w:rPr>
        <w:t xml:space="preserve"> </w:t>
      </w:r>
      <w:r w:rsidRPr="0060216C">
        <w:rPr>
          <w:rFonts w:eastAsia="Times New Roman"/>
          <w:i w:val="0"/>
          <w:color w:val="000000"/>
          <w:u w:color="000000"/>
          <w:lang w:val="es-CO" w:eastAsia="es-ES"/>
        </w:rPr>
        <w:t>a</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s</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e</w:t>
      </w:r>
      <w:r w:rsidRPr="0060216C">
        <w:rPr>
          <w:rFonts w:eastAsia="Times New Roman"/>
          <w:i w:val="0"/>
          <w:color w:val="000000"/>
          <w:spacing w:val="1"/>
          <w:u w:color="000000"/>
          <w:lang w:val="es-CO" w:eastAsia="es-ES"/>
        </w:rPr>
        <w:t>m</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d</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s</w:t>
      </w:r>
      <w:r w:rsidRPr="0060216C">
        <w:rPr>
          <w:rFonts w:eastAsia="Times New Roman"/>
          <w:i w:val="0"/>
          <w:color w:val="000000"/>
          <w:spacing w:val="1"/>
          <w:u w:color="000000"/>
          <w:lang w:val="es-CO" w:eastAsia="es-ES"/>
        </w:rPr>
        <w:t xml:space="preserve"> </w:t>
      </w:r>
      <w:r w:rsidRPr="0060216C">
        <w:rPr>
          <w:rFonts w:eastAsia="Times New Roman"/>
          <w:i w:val="0"/>
          <w:color w:val="000000"/>
          <w:spacing w:val="2"/>
          <w:u w:color="000000"/>
          <w:lang w:val="es-CO" w:eastAsia="es-ES"/>
        </w:rPr>
        <w:t>p</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o</w:t>
      </w:r>
      <w:r w:rsidRPr="0060216C">
        <w:rPr>
          <w:rFonts w:eastAsia="Times New Roman"/>
          <w:i w:val="0"/>
          <w:color w:val="000000"/>
          <w:spacing w:val="-2"/>
          <w:u w:color="000000"/>
          <w:lang w:val="es-CO" w:eastAsia="es-ES"/>
        </w:rPr>
        <w:t>ce</w:t>
      </w:r>
      <w:r w:rsidRPr="0060216C">
        <w:rPr>
          <w:rFonts w:eastAsia="Times New Roman"/>
          <w:i w:val="0"/>
          <w:color w:val="000000"/>
          <w:spacing w:val="2"/>
          <w:u w:color="000000"/>
          <w:lang w:val="es-CO" w:eastAsia="es-ES"/>
        </w:rPr>
        <w:t>s</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 xml:space="preserve">s </w:t>
      </w:r>
      <w:r w:rsidRPr="0060216C">
        <w:rPr>
          <w:rFonts w:eastAsia="Times New Roman"/>
          <w:i w:val="0"/>
          <w:color w:val="000000"/>
          <w:spacing w:val="-2"/>
          <w:u w:color="000000"/>
          <w:lang w:val="es-CO" w:eastAsia="es-ES"/>
        </w:rPr>
        <w:t>pertinentes</w:t>
      </w:r>
      <w:r w:rsidRPr="0060216C">
        <w:rPr>
          <w:rFonts w:eastAsia="Times New Roman"/>
          <w:i w:val="0"/>
          <w:color w:val="000000"/>
          <w:u w:color="000000"/>
          <w:lang w:eastAsia="es-ES"/>
        </w:rPr>
        <w:t xml:space="preserve">. </w:t>
      </w:r>
      <w:r w:rsidRPr="0060216C">
        <w:rPr>
          <w:rFonts w:eastAsia="Times New Roman"/>
          <w:i w:val="0"/>
          <w:color w:val="000000"/>
          <w:u w:color="000000"/>
          <w:lang w:val="es-CO" w:eastAsia="es-ES"/>
        </w:rPr>
        <w:t>En cuanto a la afirmación de que el pronunciamiento de la Corte</w:t>
      </w:r>
      <w:r w:rsidR="00AF0430">
        <w:rPr>
          <w:rFonts w:eastAsia="Times New Roman"/>
          <w:i w:val="0"/>
          <w:color w:val="000000"/>
          <w:u w:color="000000"/>
          <w:lang w:val="es-CO" w:eastAsia="es-ES"/>
        </w:rPr>
        <w:t xml:space="preserve"> de</w:t>
      </w:r>
      <w:r w:rsidRPr="0060216C">
        <w:rPr>
          <w:rFonts w:eastAsia="Times New Roman"/>
          <w:i w:val="0"/>
          <w:color w:val="000000"/>
          <w:u w:color="000000"/>
          <w:lang w:val="es-CO" w:eastAsia="es-ES"/>
        </w:rPr>
        <w:t xml:space="preserve"> Constitucional</w:t>
      </w:r>
      <w:r w:rsidR="00AF0430">
        <w:rPr>
          <w:rFonts w:eastAsia="Times New Roman"/>
          <w:i w:val="0"/>
          <w:color w:val="000000"/>
          <w:u w:color="000000"/>
          <w:lang w:val="es-CO" w:eastAsia="es-ES"/>
        </w:rPr>
        <w:t>idad</w:t>
      </w:r>
      <w:r w:rsidRPr="0060216C">
        <w:rPr>
          <w:rFonts w:eastAsia="Times New Roman"/>
          <w:i w:val="0"/>
          <w:color w:val="000000"/>
          <w:u w:color="000000"/>
          <w:lang w:val="es-CO" w:eastAsia="es-ES"/>
        </w:rPr>
        <w:t xml:space="preserve"> no decidió sobre el fondo del asunto, alegó que </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l</w:t>
      </w:r>
      <w:r w:rsidRPr="0060216C">
        <w:rPr>
          <w:rFonts w:eastAsia="Times New Roman"/>
          <w:i w:val="0"/>
          <w:color w:val="000000"/>
          <w:spacing w:val="12"/>
          <w:u w:color="000000"/>
          <w:lang w:val="es-CO" w:eastAsia="es-ES"/>
        </w:rPr>
        <w:t xml:space="preserve"> </w:t>
      </w:r>
      <w:r w:rsidRPr="0060216C">
        <w:rPr>
          <w:rFonts w:eastAsia="Times New Roman"/>
          <w:i w:val="0"/>
          <w:color w:val="000000"/>
          <w:spacing w:val="2"/>
          <w:u w:color="000000"/>
          <w:lang w:val="es-CO" w:eastAsia="es-ES"/>
        </w:rPr>
        <w:t>Estado</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dop</w:t>
      </w:r>
      <w:r w:rsidRPr="0060216C">
        <w:rPr>
          <w:rFonts w:eastAsia="Times New Roman"/>
          <w:i w:val="0"/>
          <w:color w:val="000000"/>
          <w:spacing w:val="-1"/>
          <w:u w:color="000000"/>
          <w:lang w:val="es-CO" w:eastAsia="es-ES"/>
        </w:rPr>
        <w:t>t</w:t>
      </w:r>
      <w:r w:rsidRPr="0060216C">
        <w:rPr>
          <w:rFonts w:eastAsia="Times New Roman"/>
          <w:i w:val="0"/>
          <w:color w:val="000000"/>
          <w:u w:color="000000"/>
          <w:lang w:val="es-CO" w:eastAsia="es-ES"/>
        </w:rPr>
        <w:t>ó</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un</w:t>
      </w:r>
      <w:r w:rsidRPr="0060216C">
        <w:rPr>
          <w:rFonts w:eastAsia="Times New Roman"/>
          <w:i w:val="0"/>
          <w:color w:val="000000"/>
          <w:u w:color="000000"/>
          <w:lang w:val="es-CO" w:eastAsia="es-ES"/>
        </w:rPr>
        <w:t>a</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spacing w:val="-1"/>
          <w:u w:color="000000"/>
          <w:lang w:val="es-CO" w:eastAsia="es-ES"/>
        </w:rPr>
        <w:t>ili</w:t>
      </w:r>
      <w:r w:rsidRPr="0060216C">
        <w:rPr>
          <w:rFonts w:eastAsia="Times New Roman"/>
          <w:i w:val="0"/>
          <w:color w:val="000000"/>
          <w:spacing w:val="-2"/>
          <w:u w:color="000000"/>
          <w:lang w:val="es-CO" w:eastAsia="es-ES"/>
        </w:rPr>
        <w:t>g</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n</w:t>
      </w:r>
      <w:r w:rsidRPr="0060216C">
        <w:rPr>
          <w:rFonts w:eastAsia="Times New Roman"/>
          <w:i w:val="0"/>
          <w:color w:val="000000"/>
          <w:spacing w:val="2"/>
          <w:u w:color="000000"/>
          <w:lang w:val="es-CO" w:eastAsia="es-ES"/>
        </w:rPr>
        <w:t>c</w:t>
      </w:r>
      <w:r w:rsidRPr="0060216C">
        <w:rPr>
          <w:rFonts w:eastAsia="Times New Roman"/>
          <w:i w:val="0"/>
          <w:color w:val="000000"/>
          <w:spacing w:val="-1"/>
          <w:u w:color="000000"/>
          <w:lang w:val="es-CO" w:eastAsia="es-ES"/>
        </w:rPr>
        <w:t>i</w:t>
      </w:r>
      <w:r w:rsidRPr="0060216C">
        <w:rPr>
          <w:rFonts w:eastAsia="Times New Roman"/>
          <w:i w:val="0"/>
          <w:color w:val="000000"/>
          <w:u w:color="000000"/>
          <w:lang w:val="es-CO" w:eastAsia="es-ES"/>
        </w:rPr>
        <w:t>a</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2"/>
          <w:u w:color="000000"/>
          <w:lang w:val="es-CO" w:eastAsia="es-ES"/>
        </w:rPr>
        <w:t>ex</w:t>
      </w:r>
      <w:r w:rsidRPr="0060216C">
        <w:rPr>
          <w:rFonts w:eastAsia="Times New Roman"/>
          <w:i w:val="0"/>
          <w:color w:val="000000"/>
          <w:spacing w:val="-2"/>
          <w:u w:color="000000"/>
          <w:lang w:val="es-CO" w:eastAsia="es-ES"/>
        </w:rPr>
        <w:t>ce</w:t>
      </w:r>
      <w:r w:rsidRPr="0060216C">
        <w:rPr>
          <w:rFonts w:eastAsia="Times New Roman"/>
          <w:i w:val="0"/>
          <w:color w:val="000000"/>
          <w:spacing w:val="2"/>
          <w:u w:color="000000"/>
          <w:lang w:val="es-CO" w:eastAsia="es-ES"/>
        </w:rPr>
        <w:t>p</w:t>
      </w:r>
      <w:r w:rsidRPr="0060216C">
        <w:rPr>
          <w:rFonts w:eastAsia="Times New Roman"/>
          <w:i w:val="0"/>
          <w:color w:val="000000"/>
          <w:spacing w:val="-2"/>
          <w:u w:color="000000"/>
          <w:lang w:val="es-CO" w:eastAsia="es-ES"/>
        </w:rPr>
        <w:t>c</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o</w:t>
      </w:r>
      <w:r w:rsidRPr="0060216C">
        <w:rPr>
          <w:rFonts w:eastAsia="Times New Roman"/>
          <w:i w:val="0"/>
          <w:color w:val="000000"/>
          <w:spacing w:val="-2"/>
          <w:u w:color="000000"/>
          <w:lang w:val="es-CO" w:eastAsia="es-ES"/>
        </w:rPr>
        <w:t>na</w:t>
      </w:r>
      <w:r w:rsidRPr="0060216C">
        <w:rPr>
          <w:rFonts w:eastAsia="Times New Roman"/>
          <w:i w:val="0"/>
          <w:color w:val="000000"/>
          <w:u w:color="000000"/>
          <w:lang w:val="es-CO" w:eastAsia="es-ES"/>
        </w:rPr>
        <w:t>l</w:t>
      </w:r>
      <w:r w:rsidRPr="0060216C">
        <w:rPr>
          <w:rFonts w:eastAsia="Times New Roman"/>
          <w:i w:val="0"/>
          <w:color w:val="000000"/>
          <w:spacing w:val="16"/>
          <w:u w:color="000000"/>
          <w:lang w:val="es-CO" w:eastAsia="es-ES"/>
        </w:rPr>
        <w:t xml:space="preserve"> </w:t>
      </w:r>
      <w:r w:rsidRPr="0060216C">
        <w:rPr>
          <w:rFonts w:eastAsia="Times New Roman"/>
          <w:i w:val="0"/>
          <w:color w:val="000000"/>
          <w:u w:color="000000"/>
          <w:lang w:val="es-CO" w:eastAsia="es-ES"/>
        </w:rPr>
        <w:t>asignando</w:t>
      </w:r>
      <w:r w:rsidRPr="0060216C">
        <w:rPr>
          <w:rFonts w:eastAsia="Times New Roman"/>
          <w:i w:val="0"/>
          <w:color w:val="000000"/>
          <w:spacing w:val="27"/>
          <w:u w:color="000000"/>
          <w:lang w:val="es-CO" w:eastAsia="es-ES"/>
        </w:rPr>
        <w:t xml:space="preserve"> </w:t>
      </w:r>
      <w:r w:rsidRPr="0060216C">
        <w:rPr>
          <w:rFonts w:eastAsia="Times New Roman"/>
          <w:i w:val="0"/>
          <w:color w:val="000000"/>
          <w:spacing w:val="-2"/>
          <w:u w:color="000000"/>
          <w:lang w:val="es-CO" w:eastAsia="es-ES"/>
        </w:rPr>
        <w:t>un</w:t>
      </w:r>
      <w:r w:rsidRPr="0060216C">
        <w:rPr>
          <w:rFonts w:eastAsia="Times New Roman"/>
          <w:i w:val="0"/>
          <w:color w:val="000000"/>
          <w:u w:color="000000"/>
          <w:lang w:val="es-CO" w:eastAsia="es-ES"/>
        </w:rPr>
        <w:t>a</w:t>
      </w:r>
      <w:r w:rsidRPr="0060216C">
        <w:rPr>
          <w:rFonts w:eastAsia="Times New Roman"/>
          <w:i w:val="0"/>
          <w:color w:val="000000"/>
          <w:spacing w:val="27"/>
          <w:u w:color="000000"/>
          <w:lang w:val="es-CO" w:eastAsia="es-ES"/>
        </w:rPr>
        <w:t xml:space="preserve"> </w:t>
      </w:r>
      <w:r w:rsidRPr="0060216C">
        <w:rPr>
          <w:rFonts w:eastAsia="Times New Roman"/>
          <w:i w:val="0"/>
          <w:color w:val="000000"/>
          <w:spacing w:val="2"/>
          <w:u w:color="000000"/>
          <w:lang w:val="es-CO" w:eastAsia="es-ES"/>
        </w:rPr>
        <w:t>p</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rti</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a</w:t>
      </w:r>
      <w:r w:rsidRPr="0060216C">
        <w:rPr>
          <w:rFonts w:eastAsia="Times New Roman"/>
          <w:i w:val="0"/>
          <w:color w:val="000000"/>
          <w:spacing w:val="27"/>
          <w:u w:color="000000"/>
          <w:lang w:val="es-CO" w:eastAsia="es-ES"/>
        </w:rPr>
        <w:t xml:space="preserve"> </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x</w:t>
      </w:r>
      <w:r w:rsidRPr="0060216C">
        <w:rPr>
          <w:rFonts w:eastAsia="Times New Roman"/>
          <w:i w:val="0"/>
          <w:color w:val="000000"/>
          <w:spacing w:val="-1"/>
          <w:u w:color="000000"/>
          <w:lang w:val="es-CO" w:eastAsia="es-ES"/>
        </w:rPr>
        <w:t>tr</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o</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d</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na</w:t>
      </w:r>
      <w:r w:rsidRPr="0060216C">
        <w:rPr>
          <w:rFonts w:eastAsia="Times New Roman"/>
          <w:i w:val="0"/>
          <w:color w:val="000000"/>
          <w:spacing w:val="-1"/>
          <w:u w:color="000000"/>
          <w:lang w:val="es-CO" w:eastAsia="es-ES"/>
        </w:rPr>
        <w:t>r</w:t>
      </w:r>
      <w:r w:rsidRPr="0060216C">
        <w:rPr>
          <w:rFonts w:eastAsia="Times New Roman"/>
          <w:i w:val="0"/>
          <w:color w:val="000000"/>
          <w:spacing w:val="3"/>
          <w:u w:color="000000"/>
          <w:lang w:val="es-CO" w:eastAsia="es-ES"/>
        </w:rPr>
        <w:t>i</w:t>
      </w:r>
      <w:r w:rsidRPr="0060216C">
        <w:rPr>
          <w:rFonts w:eastAsia="Times New Roman"/>
          <w:i w:val="0"/>
          <w:color w:val="000000"/>
          <w:u w:color="000000"/>
          <w:lang w:val="es-CO" w:eastAsia="es-ES"/>
        </w:rPr>
        <w:t>a</w:t>
      </w:r>
      <w:r w:rsidRPr="0060216C">
        <w:rPr>
          <w:rFonts w:eastAsia="Times New Roman"/>
          <w:i w:val="0"/>
          <w:color w:val="000000"/>
          <w:spacing w:val="27"/>
          <w:u w:color="000000"/>
          <w:lang w:val="es-CO" w:eastAsia="es-ES"/>
        </w:rPr>
        <w:t xml:space="preserve"> </w:t>
      </w:r>
      <w:r w:rsidRPr="0060216C">
        <w:rPr>
          <w:rFonts w:eastAsia="Times New Roman"/>
          <w:i w:val="0"/>
          <w:color w:val="000000"/>
          <w:spacing w:val="-2"/>
          <w:u w:color="000000"/>
          <w:lang w:val="es-CO" w:eastAsia="es-ES"/>
        </w:rPr>
        <w:t>a</w:t>
      </w:r>
      <w:r w:rsidRPr="0060216C">
        <w:rPr>
          <w:rFonts w:eastAsia="Times New Roman"/>
          <w:i w:val="0"/>
          <w:color w:val="000000"/>
          <w:u w:color="000000"/>
          <w:lang w:val="es-CO" w:eastAsia="es-ES"/>
        </w:rPr>
        <w:t>l</w:t>
      </w:r>
      <w:r w:rsidRPr="0060216C">
        <w:rPr>
          <w:rFonts w:eastAsia="Times New Roman"/>
          <w:i w:val="0"/>
          <w:color w:val="000000"/>
          <w:spacing w:val="28"/>
          <w:u w:color="000000"/>
          <w:lang w:val="es-CO" w:eastAsia="es-ES"/>
        </w:rPr>
        <w:t xml:space="preserve"> </w:t>
      </w:r>
      <w:r w:rsidRPr="0060216C">
        <w:rPr>
          <w:rFonts w:eastAsia="Times New Roman"/>
          <w:i w:val="0"/>
          <w:color w:val="000000"/>
          <w:u w:color="000000"/>
          <w:lang w:val="es-CO" w:eastAsia="es-ES"/>
        </w:rPr>
        <w:t>M</w:t>
      </w:r>
      <w:r w:rsidRPr="0060216C">
        <w:rPr>
          <w:rFonts w:eastAsia="Times New Roman"/>
          <w:i w:val="0"/>
          <w:color w:val="000000"/>
          <w:spacing w:val="-2"/>
          <w:u w:color="000000"/>
          <w:lang w:val="es-CO" w:eastAsia="es-ES"/>
        </w:rPr>
        <w:t>S</w:t>
      </w:r>
      <w:r w:rsidRPr="0060216C">
        <w:rPr>
          <w:rFonts w:eastAsia="Times New Roman"/>
          <w:i w:val="0"/>
          <w:color w:val="000000"/>
          <w:spacing w:val="2"/>
          <w:u w:color="000000"/>
          <w:lang w:val="es-CO" w:eastAsia="es-ES"/>
        </w:rPr>
        <w:t>P</w:t>
      </w:r>
      <w:r w:rsidRPr="0060216C">
        <w:rPr>
          <w:rFonts w:eastAsia="Times New Roman"/>
          <w:i w:val="0"/>
          <w:color w:val="000000"/>
          <w:spacing w:val="-3"/>
          <w:u w:color="000000"/>
          <w:lang w:val="es-CO" w:eastAsia="es-ES"/>
        </w:rPr>
        <w:t>A</w:t>
      </w:r>
      <w:r w:rsidRPr="0060216C">
        <w:rPr>
          <w:rFonts w:eastAsia="Times New Roman"/>
          <w:i w:val="0"/>
          <w:color w:val="000000"/>
          <w:u w:color="000000"/>
          <w:lang w:val="es-CO" w:eastAsia="es-ES"/>
        </w:rPr>
        <w:t>S</w:t>
      </w:r>
      <w:r w:rsidRPr="0060216C">
        <w:rPr>
          <w:rFonts w:eastAsia="Times New Roman"/>
          <w:i w:val="0"/>
          <w:color w:val="000000"/>
          <w:spacing w:val="31"/>
          <w:u w:color="000000"/>
          <w:lang w:val="es-CO" w:eastAsia="es-ES"/>
        </w:rPr>
        <w:t xml:space="preserve"> </w:t>
      </w:r>
      <w:r w:rsidRPr="0060216C">
        <w:rPr>
          <w:rFonts w:eastAsia="Times New Roman"/>
          <w:i w:val="0"/>
          <w:color w:val="000000"/>
          <w:spacing w:val="2"/>
          <w:u w:color="000000"/>
          <w:lang w:val="es-CO" w:eastAsia="es-ES"/>
        </w:rPr>
        <w:t>p</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r</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n</w:t>
      </w:r>
      <w:r w:rsidRPr="0060216C">
        <w:rPr>
          <w:rFonts w:eastAsia="Times New Roman"/>
          <w:i w:val="0"/>
          <w:color w:val="000000"/>
          <w:spacing w:val="2"/>
          <w:u w:color="000000"/>
          <w:lang w:val="es-CO" w:eastAsia="es-ES"/>
        </w:rPr>
        <w:t>d</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r</w:t>
      </w:r>
      <w:r w:rsidRPr="0060216C">
        <w:rPr>
          <w:rFonts w:eastAsia="Times New Roman"/>
          <w:i w:val="0"/>
          <w:color w:val="000000"/>
          <w:spacing w:val="32"/>
          <w:u w:color="000000"/>
          <w:lang w:val="es-CO" w:eastAsia="es-ES"/>
        </w:rPr>
        <w:t xml:space="preserve"> </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l</w:t>
      </w:r>
      <w:r w:rsidRPr="0060216C">
        <w:rPr>
          <w:rFonts w:eastAsia="Times New Roman"/>
          <w:i w:val="0"/>
          <w:color w:val="000000"/>
          <w:spacing w:val="32"/>
          <w:u w:color="000000"/>
          <w:lang w:val="es-CO" w:eastAsia="es-ES"/>
        </w:rPr>
        <w:t xml:space="preserve"> </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q</w:t>
      </w:r>
      <w:r w:rsidRPr="0060216C">
        <w:rPr>
          <w:rFonts w:eastAsia="Times New Roman"/>
          <w:i w:val="0"/>
          <w:color w:val="000000"/>
          <w:spacing w:val="-2"/>
          <w:u w:color="000000"/>
          <w:lang w:val="es-CO" w:eastAsia="es-ES"/>
        </w:rPr>
        <w:t>u</w:t>
      </w:r>
      <w:r w:rsidRPr="0060216C">
        <w:rPr>
          <w:rFonts w:eastAsia="Times New Roman"/>
          <w:i w:val="0"/>
          <w:color w:val="000000"/>
          <w:spacing w:val="2"/>
          <w:u w:color="000000"/>
          <w:lang w:val="es-CO" w:eastAsia="es-ES"/>
        </w:rPr>
        <w:t>e</w:t>
      </w:r>
      <w:r w:rsidRPr="0060216C">
        <w:rPr>
          <w:rFonts w:eastAsia="Times New Roman"/>
          <w:i w:val="0"/>
          <w:color w:val="000000"/>
          <w:spacing w:val="-1"/>
          <w:u w:color="000000"/>
          <w:lang w:val="es-CO" w:eastAsia="es-ES"/>
        </w:rPr>
        <w:t>ri</w:t>
      </w:r>
      <w:r w:rsidRPr="0060216C">
        <w:rPr>
          <w:rFonts w:eastAsia="Times New Roman"/>
          <w:i w:val="0"/>
          <w:color w:val="000000"/>
          <w:spacing w:val="1"/>
          <w:u w:color="000000"/>
          <w:lang w:val="es-CO" w:eastAsia="es-ES"/>
        </w:rPr>
        <w:t>m</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n</w:t>
      </w:r>
      <w:r w:rsidRPr="0060216C">
        <w:rPr>
          <w:rFonts w:eastAsia="Times New Roman"/>
          <w:i w:val="0"/>
          <w:color w:val="000000"/>
          <w:spacing w:val="-1"/>
          <w:u w:color="000000"/>
          <w:lang w:val="es-CO" w:eastAsia="es-ES"/>
        </w:rPr>
        <w:t>t</w:t>
      </w:r>
      <w:r w:rsidRPr="0060216C">
        <w:rPr>
          <w:rFonts w:eastAsia="Times New Roman"/>
          <w:i w:val="0"/>
          <w:color w:val="000000"/>
          <w:u w:color="000000"/>
          <w:lang w:val="es-CO" w:eastAsia="es-ES"/>
        </w:rPr>
        <w:t xml:space="preserve">o </w:t>
      </w:r>
      <w:r w:rsidRPr="0060216C">
        <w:rPr>
          <w:rFonts w:eastAsia="Times New Roman"/>
          <w:i w:val="0"/>
          <w:color w:val="000000"/>
          <w:spacing w:val="2"/>
          <w:position w:val="-1"/>
          <w:u w:color="000000"/>
          <w:lang w:val="es-CO" w:eastAsia="es-ES"/>
        </w:rPr>
        <w:t>d</w:t>
      </w:r>
      <w:r w:rsidRPr="0060216C">
        <w:rPr>
          <w:rFonts w:eastAsia="Times New Roman"/>
          <w:i w:val="0"/>
          <w:color w:val="000000"/>
          <w:position w:val="-1"/>
          <w:u w:color="000000"/>
          <w:lang w:val="es-CO" w:eastAsia="es-ES"/>
        </w:rPr>
        <w:t>e</w:t>
      </w:r>
      <w:r w:rsidRPr="0060216C">
        <w:rPr>
          <w:rFonts w:eastAsia="Times New Roman"/>
          <w:i w:val="0"/>
          <w:color w:val="000000"/>
          <w:u w:color="000000"/>
          <w:lang w:val="es-CO" w:eastAsia="es-ES"/>
        </w:rPr>
        <w:t xml:space="preserve"> </w:t>
      </w:r>
      <w:r w:rsidRPr="0060216C">
        <w:rPr>
          <w:rFonts w:eastAsia="Times New Roman"/>
          <w:i w:val="0"/>
          <w:color w:val="000000"/>
          <w:spacing w:val="2"/>
          <w:u w:color="000000"/>
          <w:lang w:val="es-CO" w:eastAsia="es-ES"/>
        </w:rPr>
        <w:t>50</w:t>
      </w:r>
      <w:r w:rsidRPr="0060216C">
        <w:rPr>
          <w:rFonts w:eastAsia="Times New Roman"/>
          <w:i w:val="0"/>
          <w:color w:val="000000"/>
          <w:spacing w:val="-2"/>
          <w:u w:color="000000"/>
          <w:lang w:val="es-CO" w:eastAsia="es-ES"/>
        </w:rPr>
        <w:t>0</w:t>
      </w:r>
      <w:r w:rsidRPr="0060216C">
        <w:rPr>
          <w:rFonts w:eastAsia="Times New Roman"/>
          <w:i w:val="0"/>
          <w:color w:val="000000"/>
          <w:spacing w:val="1"/>
          <w:u w:color="000000"/>
          <w:lang w:val="es-CO" w:eastAsia="es-ES"/>
        </w:rPr>
        <w:t>,</w:t>
      </w:r>
      <w:r w:rsidRPr="0060216C">
        <w:rPr>
          <w:rFonts w:eastAsia="Times New Roman"/>
          <w:i w:val="0"/>
          <w:color w:val="000000"/>
          <w:spacing w:val="-2"/>
          <w:u w:color="000000"/>
          <w:lang w:val="es-CO" w:eastAsia="es-ES"/>
        </w:rPr>
        <w:t>0</w:t>
      </w:r>
      <w:r w:rsidRPr="0060216C">
        <w:rPr>
          <w:rFonts w:eastAsia="Times New Roman"/>
          <w:i w:val="0"/>
          <w:color w:val="000000"/>
          <w:spacing w:val="2"/>
          <w:u w:color="000000"/>
          <w:lang w:val="es-CO" w:eastAsia="es-ES"/>
        </w:rPr>
        <w:t>00</w:t>
      </w:r>
      <w:r w:rsidRPr="0060216C">
        <w:rPr>
          <w:rFonts w:eastAsia="Times New Roman"/>
          <w:i w:val="0"/>
          <w:color w:val="000000"/>
          <w:spacing w:val="-3"/>
          <w:u w:color="000000"/>
          <w:lang w:val="es-CO" w:eastAsia="es-ES"/>
        </w:rPr>
        <w:t>.</w:t>
      </w:r>
      <w:r w:rsidRPr="0060216C">
        <w:rPr>
          <w:rFonts w:eastAsia="Times New Roman"/>
          <w:i w:val="0"/>
          <w:color w:val="000000"/>
          <w:spacing w:val="2"/>
          <w:u w:color="000000"/>
          <w:lang w:val="es-CO" w:eastAsia="es-ES"/>
        </w:rPr>
        <w:t>0</w:t>
      </w:r>
      <w:r w:rsidRPr="0060216C">
        <w:rPr>
          <w:rFonts w:eastAsia="Times New Roman"/>
          <w:i w:val="0"/>
          <w:color w:val="000000"/>
          <w:u w:color="000000"/>
          <w:lang w:val="es-CO" w:eastAsia="es-ES"/>
        </w:rPr>
        <w:t xml:space="preserve">0 </w:t>
      </w:r>
      <w:r w:rsidRPr="0060216C">
        <w:rPr>
          <w:rFonts w:eastAsia="Times New Roman"/>
          <w:i w:val="0"/>
          <w:color w:val="000000"/>
          <w:spacing w:val="2"/>
          <w:u w:color="000000"/>
          <w:lang w:val="es-CO" w:eastAsia="es-ES"/>
        </w:rPr>
        <w:t>q</w:t>
      </w:r>
      <w:r w:rsidRPr="0060216C">
        <w:rPr>
          <w:rFonts w:eastAsia="Times New Roman"/>
          <w:i w:val="0"/>
          <w:color w:val="000000"/>
          <w:spacing w:val="-2"/>
          <w:u w:color="000000"/>
          <w:lang w:val="es-CO" w:eastAsia="es-ES"/>
        </w:rPr>
        <w:t>ue</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z</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s</w:t>
      </w:r>
      <w:r w:rsidRPr="0060216C">
        <w:rPr>
          <w:rFonts w:eastAsia="Times New Roman"/>
          <w:i w:val="0"/>
          <w:color w:val="000000"/>
          <w:spacing w:val="2"/>
          <w:u w:color="000000"/>
          <w:lang w:val="es-CO" w:eastAsia="es-ES"/>
        </w:rPr>
        <w:t>. A su vez, el Estado alegó que, según el criterio de la Corte</w:t>
      </w:r>
      <w:r w:rsidR="00502A2D">
        <w:rPr>
          <w:rFonts w:eastAsia="Times New Roman"/>
          <w:i w:val="0"/>
          <w:color w:val="000000"/>
          <w:spacing w:val="2"/>
          <w:u w:color="000000"/>
          <w:lang w:val="es-CO" w:eastAsia="es-ES"/>
        </w:rPr>
        <w:t xml:space="preserve"> Interamericana</w:t>
      </w:r>
      <w:r w:rsidRPr="0060216C">
        <w:rPr>
          <w:rFonts w:eastAsia="Times New Roman"/>
          <w:i w:val="0"/>
          <w:color w:val="000000"/>
          <w:spacing w:val="2"/>
          <w:u w:color="000000"/>
          <w:lang w:val="es-CO" w:eastAsia="es-ES"/>
        </w:rPr>
        <w:t xml:space="preserve">, </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l</w:t>
      </w:r>
      <w:r w:rsidRPr="0060216C">
        <w:rPr>
          <w:rFonts w:eastAsia="Times New Roman"/>
          <w:i w:val="0"/>
          <w:color w:val="000000"/>
          <w:spacing w:val="12"/>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b</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r</w:t>
      </w:r>
      <w:r w:rsidRPr="0060216C">
        <w:rPr>
          <w:rFonts w:eastAsia="Times New Roman"/>
          <w:i w:val="0"/>
          <w:color w:val="000000"/>
          <w:spacing w:val="12"/>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e</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1"/>
          <w:u w:color="000000"/>
          <w:lang w:val="es-CO" w:eastAsia="es-ES"/>
        </w:rPr>
        <w:t>m</w:t>
      </w:r>
      <w:r w:rsidRPr="0060216C">
        <w:rPr>
          <w:rFonts w:eastAsia="Times New Roman"/>
          <w:i w:val="0"/>
          <w:color w:val="000000"/>
          <w:spacing w:val="2"/>
          <w:u w:color="000000"/>
          <w:lang w:val="es-CO" w:eastAsia="es-ES"/>
        </w:rPr>
        <w:t>o</w:t>
      </w:r>
      <w:r w:rsidRPr="0060216C">
        <w:rPr>
          <w:rFonts w:eastAsia="Times New Roman"/>
          <w:i w:val="0"/>
          <w:color w:val="000000"/>
          <w:spacing w:val="-1"/>
          <w:u w:color="000000"/>
          <w:lang w:val="es-CO" w:eastAsia="es-ES"/>
        </w:rPr>
        <w:t>ti</w:t>
      </w:r>
      <w:r w:rsidRPr="0060216C">
        <w:rPr>
          <w:rFonts w:eastAsia="Times New Roman"/>
          <w:i w:val="0"/>
          <w:color w:val="000000"/>
          <w:spacing w:val="-2"/>
          <w:u w:color="000000"/>
          <w:lang w:val="es-CO" w:eastAsia="es-ES"/>
        </w:rPr>
        <w:t>va</w:t>
      </w:r>
      <w:r w:rsidRPr="0060216C">
        <w:rPr>
          <w:rFonts w:eastAsia="Times New Roman"/>
          <w:i w:val="0"/>
          <w:color w:val="000000"/>
          <w:u w:color="000000"/>
          <w:lang w:val="es-CO" w:eastAsia="es-ES"/>
        </w:rPr>
        <w:t>r</w:t>
      </w:r>
      <w:r w:rsidRPr="0060216C">
        <w:rPr>
          <w:rFonts w:eastAsia="Times New Roman"/>
          <w:i w:val="0"/>
          <w:color w:val="000000"/>
          <w:spacing w:val="12"/>
          <w:u w:color="000000"/>
          <w:lang w:val="es-CO" w:eastAsia="es-ES"/>
        </w:rPr>
        <w:t xml:space="preserve"> </w:t>
      </w:r>
      <w:r w:rsidRPr="0060216C">
        <w:rPr>
          <w:rFonts w:eastAsia="Times New Roman"/>
          <w:i w:val="0"/>
          <w:color w:val="000000"/>
          <w:spacing w:val="-2"/>
          <w:u w:color="000000"/>
          <w:lang w:val="es-CO" w:eastAsia="es-ES"/>
        </w:rPr>
        <w:t>n</w:t>
      </w:r>
      <w:r w:rsidRPr="0060216C">
        <w:rPr>
          <w:rFonts w:eastAsia="Times New Roman"/>
          <w:i w:val="0"/>
          <w:color w:val="000000"/>
          <w:u w:color="000000"/>
          <w:lang w:val="es-CO" w:eastAsia="es-ES"/>
        </w:rPr>
        <w:t>o</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x</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g</w:t>
      </w:r>
      <w:r w:rsidRPr="0060216C">
        <w:rPr>
          <w:rFonts w:eastAsia="Times New Roman"/>
          <w:i w:val="0"/>
          <w:color w:val="000000"/>
          <w:u w:color="000000"/>
          <w:lang w:val="es-CO" w:eastAsia="es-ES"/>
        </w:rPr>
        <w:t>e</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2"/>
          <w:u w:color="000000"/>
          <w:lang w:val="es-CO" w:eastAsia="es-ES"/>
        </w:rPr>
        <w:t>u</w:t>
      </w:r>
      <w:r w:rsidRPr="0060216C">
        <w:rPr>
          <w:rFonts w:eastAsia="Times New Roman"/>
          <w:i w:val="0"/>
          <w:color w:val="000000"/>
          <w:spacing w:val="2"/>
          <w:u w:color="000000"/>
          <w:lang w:val="es-CO" w:eastAsia="es-ES"/>
        </w:rPr>
        <w:t>n</w:t>
      </w:r>
      <w:r w:rsidRPr="0060216C">
        <w:rPr>
          <w:rFonts w:eastAsia="Times New Roman"/>
          <w:i w:val="0"/>
          <w:color w:val="000000"/>
          <w:u w:color="000000"/>
          <w:lang w:val="es-CO" w:eastAsia="es-ES"/>
        </w:rPr>
        <w:t>a</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s</w:t>
      </w:r>
      <w:r w:rsidRPr="0060216C">
        <w:rPr>
          <w:rFonts w:eastAsia="Times New Roman"/>
          <w:i w:val="0"/>
          <w:color w:val="000000"/>
          <w:spacing w:val="2"/>
          <w:u w:color="000000"/>
          <w:lang w:val="es-CO" w:eastAsia="es-ES"/>
        </w:rPr>
        <w:t>p</w:t>
      </w:r>
      <w:r w:rsidRPr="0060216C">
        <w:rPr>
          <w:rFonts w:eastAsia="Times New Roman"/>
          <w:i w:val="0"/>
          <w:color w:val="000000"/>
          <w:spacing w:val="-2"/>
          <w:u w:color="000000"/>
          <w:lang w:val="es-CO" w:eastAsia="es-ES"/>
        </w:rPr>
        <w:t>ue</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t</w:t>
      </w:r>
      <w:r w:rsidRPr="0060216C">
        <w:rPr>
          <w:rFonts w:eastAsia="Times New Roman"/>
          <w:i w:val="0"/>
          <w:color w:val="000000"/>
          <w:u w:color="000000"/>
          <w:lang w:val="es-CO" w:eastAsia="es-ES"/>
        </w:rPr>
        <w:t>a</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spacing w:val="-2"/>
          <w:u w:color="000000"/>
          <w:lang w:val="es-CO" w:eastAsia="es-ES"/>
        </w:rPr>
        <w:t>e</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ll</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a</w:t>
      </w:r>
      <w:r w:rsidRPr="0060216C">
        <w:rPr>
          <w:rFonts w:eastAsia="Times New Roman"/>
          <w:i w:val="0"/>
          <w:color w:val="000000"/>
          <w:spacing w:val="11"/>
          <w:u w:color="000000"/>
          <w:lang w:val="es-CO" w:eastAsia="es-ES"/>
        </w:rPr>
        <w:t xml:space="preserve"> </w:t>
      </w:r>
      <w:r w:rsidRPr="0060216C">
        <w:rPr>
          <w:rFonts w:eastAsia="Times New Roman"/>
          <w:i w:val="0"/>
          <w:color w:val="000000"/>
          <w:u w:color="000000"/>
          <w:lang w:val="es-CO" w:eastAsia="es-ES"/>
        </w:rPr>
        <w:t xml:space="preserve">a </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odo</w:t>
      </w:r>
      <w:r w:rsidRPr="0060216C">
        <w:rPr>
          <w:rFonts w:eastAsia="Times New Roman"/>
          <w:i w:val="0"/>
          <w:color w:val="000000"/>
          <w:u w:color="000000"/>
          <w:lang w:val="es-CO" w:eastAsia="es-ES"/>
        </w:rPr>
        <w:t>s</w:t>
      </w:r>
      <w:r w:rsidRPr="0060216C">
        <w:rPr>
          <w:rFonts w:eastAsia="Times New Roman"/>
          <w:i w:val="0"/>
          <w:color w:val="000000"/>
          <w:spacing w:val="15"/>
          <w:u w:color="000000"/>
          <w:lang w:val="es-CO" w:eastAsia="es-ES"/>
        </w:rPr>
        <w:t xml:space="preserve"> </w:t>
      </w:r>
      <w:r w:rsidRPr="0060216C">
        <w:rPr>
          <w:rFonts w:eastAsia="Times New Roman"/>
          <w:i w:val="0"/>
          <w:color w:val="000000"/>
          <w:u w:color="000000"/>
          <w:lang w:val="es-CO" w:eastAsia="es-ES"/>
        </w:rPr>
        <w:t>y</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ca</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a</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un</w:t>
      </w:r>
      <w:r w:rsidRPr="0060216C">
        <w:rPr>
          <w:rFonts w:eastAsia="Times New Roman"/>
          <w:i w:val="0"/>
          <w:color w:val="000000"/>
          <w:u w:color="000000"/>
          <w:lang w:val="es-CO" w:eastAsia="es-ES"/>
        </w:rPr>
        <w:t>o</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e</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s</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r</w:t>
      </w:r>
      <w:r w:rsidRPr="0060216C">
        <w:rPr>
          <w:rFonts w:eastAsia="Times New Roman"/>
          <w:i w:val="0"/>
          <w:color w:val="000000"/>
          <w:spacing w:val="-2"/>
          <w:u w:color="000000"/>
          <w:lang w:val="es-CO" w:eastAsia="es-ES"/>
        </w:rPr>
        <w:t>gu</w:t>
      </w:r>
      <w:r w:rsidRPr="0060216C">
        <w:rPr>
          <w:rFonts w:eastAsia="Times New Roman"/>
          <w:i w:val="0"/>
          <w:color w:val="000000"/>
          <w:spacing w:val="1"/>
          <w:u w:color="000000"/>
          <w:lang w:val="es-CO" w:eastAsia="es-ES"/>
        </w:rPr>
        <w:t>m</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n</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o</w:t>
      </w:r>
      <w:r w:rsidRPr="0060216C">
        <w:rPr>
          <w:rFonts w:eastAsia="Times New Roman"/>
          <w:i w:val="0"/>
          <w:color w:val="000000"/>
          <w:u w:color="000000"/>
          <w:lang w:val="es-CO" w:eastAsia="es-ES"/>
        </w:rPr>
        <w:t>s</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e</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a</w:t>
      </w:r>
      <w:r w:rsidRPr="0060216C">
        <w:rPr>
          <w:rFonts w:eastAsia="Times New Roman"/>
          <w:i w:val="0"/>
          <w:color w:val="000000"/>
          <w:u w:color="000000"/>
          <w:lang w:val="es-CO" w:eastAsia="es-ES"/>
        </w:rPr>
        <w:t>s</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p</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rt</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s</w:t>
      </w:r>
      <w:r w:rsidRPr="0060216C">
        <w:rPr>
          <w:rFonts w:eastAsia="Times New Roman"/>
          <w:i w:val="0"/>
          <w:color w:val="000000"/>
          <w:u w:color="000000"/>
          <w:lang w:val="es-CO" w:eastAsia="es-ES"/>
        </w:rPr>
        <w:t>,</w:t>
      </w:r>
      <w:r w:rsidRPr="0060216C">
        <w:rPr>
          <w:rFonts w:eastAsia="Times New Roman"/>
          <w:i w:val="0"/>
          <w:color w:val="000000"/>
          <w:spacing w:val="18"/>
          <w:u w:color="000000"/>
          <w:lang w:val="es-CO" w:eastAsia="es-ES"/>
        </w:rPr>
        <w:t xml:space="preserve"> </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n</w:t>
      </w:r>
      <w:r w:rsidRPr="0060216C">
        <w:rPr>
          <w:rFonts w:eastAsia="Times New Roman"/>
          <w:i w:val="0"/>
          <w:color w:val="000000"/>
          <w:u w:color="000000"/>
          <w:lang w:val="es-CO" w:eastAsia="es-ES"/>
        </w:rPr>
        <w:t>o</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qu</w:t>
      </w:r>
      <w:r w:rsidRPr="0060216C">
        <w:rPr>
          <w:rFonts w:eastAsia="Times New Roman"/>
          <w:i w:val="0"/>
          <w:color w:val="000000"/>
          <w:u w:color="000000"/>
          <w:lang w:val="es-CO" w:eastAsia="es-ES"/>
        </w:rPr>
        <w:t>e</w:t>
      </w:r>
      <w:r w:rsidRPr="0060216C">
        <w:rPr>
          <w:rFonts w:eastAsia="Times New Roman"/>
          <w:i w:val="0"/>
          <w:color w:val="000000"/>
          <w:spacing w:val="11"/>
          <w:u w:color="000000"/>
          <w:lang w:val="es-CO" w:eastAsia="es-ES"/>
        </w:rPr>
        <w:t xml:space="preserve"> </w:t>
      </w:r>
      <w:r w:rsidRPr="0060216C">
        <w:rPr>
          <w:rFonts w:eastAsia="Times New Roman"/>
          <w:i w:val="0"/>
          <w:color w:val="000000"/>
          <w:spacing w:val="2"/>
          <w:u w:color="000000"/>
          <w:lang w:val="es-CO" w:eastAsia="es-ES"/>
        </w:rPr>
        <w:t>pu</w:t>
      </w:r>
      <w:r w:rsidRPr="0060216C">
        <w:rPr>
          <w:rFonts w:eastAsia="Times New Roman"/>
          <w:i w:val="0"/>
          <w:color w:val="000000"/>
          <w:spacing w:val="-2"/>
          <w:u w:color="000000"/>
          <w:lang w:val="es-CO" w:eastAsia="es-ES"/>
        </w:rPr>
        <w:t>e</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e</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v</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r</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a</w:t>
      </w:r>
      <w:r w:rsidRPr="0060216C">
        <w:rPr>
          <w:rFonts w:eastAsia="Times New Roman"/>
          <w:i w:val="0"/>
          <w:color w:val="000000"/>
          <w:u w:color="000000"/>
          <w:lang w:val="es-CO" w:eastAsia="es-ES"/>
        </w:rPr>
        <w:t>r</w:t>
      </w:r>
      <w:r w:rsidRPr="0060216C">
        <w:rPr>
          <w:rFonts w:eastAsia="Times New Roman"/>
          <w:i w:val="0"/>
          <w:color w:val="000000"/>
          <w:spacing w:val="15"/>
          <w:u w:color="000000"/>
          <w:lang w:val="es-CO" w:eastAsia="es-ES"/>
        </w:rPr>
        <w:t xml:space="preserve"> </w:t>
      </w:r>
      <w:r w:rsidRPr="0060216C">
        <w:rPr>
          <w:rFonts w:eastAsia="Times New Roman"/>
          <w:i w:val="0"/>
          <w:color w:val="000000"/>
          <w:spacing w:val="-2"/>
          <w:u w:color="000000"/>
          <w:lang w:val="es-CO" w:eastAsia="es-ES"/>
        </w:rPr>
        <w:t>se</w:t>
      </w:r>
      <w:r w:rsidRPr="0060216C">
        <w:rPr>
          <w:rFonts w:eastAsia="Times New Roman"/>
          <w:i w:val="0"/>
          <w:color w:val="000000"/>
          <w:spacing w:val="2"/>
          <w:u w:color="000000"/>
          <w:lang w:val="es-CO" w:eastAsia="es-ES"/>
        </w:rPr>
        <w:t>g</w:t>
      </w:r>
      <w:r w:rsidRPr="0060216C">
        <w:rPr>
          <w:rFonts w:eastAsia="Times New Roman"/>
          <w:i w:val="0"/>
          <w:color w:val="000000"/>
          <w:spacing w:val="-2"/>
          <w:u w:color="000000"/>
          <w:lang w:val="es-CO" w:eastAsia="es-ES"/>
        </w:rPr>
        <w:t>ú</w:t>
      </w:r>
      <w:r w:rsidRPr="0060216C">
        <w:rPr>
          <w:rFonts w:eastAsia="Times New Roman"/>
          <w:i w:val="0"/>
          <w:color w:val="000000"/>
          <w:u w:color="000000"/>
          <w:lang w:val="es-CO" w:eastAsia="es-ES"/>
        </w:rPr>
        <w:t>n</w:t>
      </w:r>
      <w:r w:rsidRPr="0060216C">
        <w:rPr>
          <w:rFonts w:eastAsia="Times New Roman"/>
          <w:i w:val="0"/>
          <w:color w:val="000000"/>
          <w:spacing w:val="19"/>
          <w:u w:color="000000"/>
          <w:lang w:val="es-CO" w:eastAsia="es-ES"/>
        </w:rPr>
        <w:t xml:space="preserve"> </w:t>
      </w:r>
      <w:r w:rsidRPr="0060216C">
        <w:rPr>
          <w:rFonts w:eastAsia="Times New Roman"/>
          <w:i w:val="0"/>
          <w:color w:val="000000"/>
          <w:spacing w:val="-5"/>
          <w:u w:color="000000"/>
          <w:lang w:val="es-CO" w:eastAsia="es-ES"/>
        </w:rPr>
        <w:t>l</w:t>
      </w:r>
      <w:r w:rsidRPr="0060216C">
        <w:rPr>
          <w:rFonts w:eastAsia="Times New Roman"/>
          <w:i w:val="0"/>
          <w:color w:val="000000"/>
          <w:u w:color="000000"/>
          <w:lang w:val="es-CO" w:eastAsia="es-ES"/>
        </w:rPr>
        <w:t>a</w:t>
      </w:r>
      <w:r w:rsidRPr="0060216C">
        <w:rPr>
          <w:rFonts w:eastAsia="Times New Roman"/>
          <w:i w:val="0"/>
          <w:color w:val="000000"/>
          <w:spacing w:val="19"/>
          <w:u w:color="000000"/>
          <w:lang w:val="es-CO" w:eastAsia="es-ES"/>
        </w:rPr>
        <w:t xml:space="preserve"> </w:t>
      </w:r>
      <w:r w:rsidRPr="0060216C">
        <w:rPr>
          <w:rFonts w:eastAsia="Times New Roman"/>
          <w:i w:val="0"/>
          <w:color w:val="000000"/>
          <w:spacing w:val="-2"/>
          <w:u w:color="000000"/>
          <w:lang w:val="es-CO" w:eastAsia="es-ES"/>
        </w:rPr>
        <w:t>n</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t</w:t>
      </w:r>
      <w:r w:rsidRPr="0060216C">
        <w:rPr>
          <w:rFonts w:eastAsia="Times New Roman"/>
          <w:i w:val="0"/>
          <w:color w:val="000000"/>
          <w:spacing w:val="2"/>
          <w:u w:color="000000"/>
          <w:lang w:val="es-CO" w:eastAsia="es-ES"/>
        </w:rPr>
        <w:t>u</w:t>
      </w:r>
      <w:r w:rsidRPr="0060216C">
        <w:rPr>
          <w:rFonts w:eastAsia="Times New Roman"/>
          <w:i w:val="0"/>
          <w:color w:val="000000"/>
          <w:spacing w:val="-6"/>
          <w:u w:color="000000"/>
          <w:lang w:val="es-CO" w:eastAsia="es-ES"/>
        </w:rPr>
        <w:t>r</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l</w:t>
      </w:r>
      <w:r w:rsidRPr="0060216C">
        <w:rPr>
          <w:rFonts w:eastAsia="Times New Roman"/>
          <w:i w:val="0"/>
          <w:color w:val="000000"/>
          <w:spacing w:val="-2"/>
          <w:u w:color="000000"/>
          <w:lang w:val="es-CO" w:eastAsia="es-ES"/>
        </w:rPr>
        <w:t>ez</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 xml:space="preserve">e </w:t>
      </w:r>
      <w:r w:rsidRPr="0060216C">
        <w:rPr>
          <w:rFonts w:eastAsia="Times New Roman"/>
          <w:i w:val="0"/>
          <w:color w:val="000000"/>
          <w:spacing w:val="-1"/>
          <w:u w:color="000000"/>
          <w:lang w:val="es-CO" w:eastAsia="es-ES"/>
        </w:rPr>
        <w:t>l</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d</w:t>
      </w:r>
      <w:r w:rsidRPr="0060216C">
        <w:rPr>
          <w:rFonts w:eastAsia="Times New Roman"/>
          <w:i w:val="0"/>
          <w:color w:val="000000"/>
          <w:spacing w:val="-2"/>
          <w:u w:color="000000"/>
          <w:lang w:val="es-CO" w:eastAsia="es-ES"/>
        </w:rPr>
        <w:t>ec</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ón</w:t>
      </w:r>
      <w:r w:rsidRPr="0060216C">
        <w:rPr>
          <w:rFonts w:eastAsia="Times New Roman"/>
          <w:i w:val="0"/>
          <w:color w:val="000000"/>
          <w:u w:color="000000"/>
          <w:lang w:val="es-CO" w:eastAsia="es-ES"/>
        </w:rPr>
        <w:t>,</w:t>
      </w:r>
      <w:r w:rsidRPr="0060216C">
        <w:rPr>
          <w:rFonts w:eastAsia="Times New Roman"/>
          <w:i w:val="0"/>
          <w:color w:val="000000"/>
          <w:spacing w:val="39"/>
          <w:u w:color="000000"/>
          <w:lang w:val="es-CO" w:eastAsia="es-ES"/>
        </w:rPr>
        <w:t xml:space="preserve"> </w:t>
      </w:r>
      <w:r w:rsidRPr="0060216C">
        <w:rPr>
          <w:rFonts w:eastAsia="Times New Roman"/>
          <w:i w:val="0"/>
          <w:color w:val="000000"/>
          <w:u w:color="000000"/>
          <w:lang w:val="es-CO" w:eastAsia="es-ES"/>
        </w:rPr>
        <w:t xml:space="preserve">y </w:t>
      </w:r>
      <w:r w:rsidRPr="0060216C">
        <w:rPr>
          <w:rFonts w:eastAsia="Times New Roman"/>
          <w:i w:val="0"/>
          <w:color w:val="000000"/>
          <w:spacing w:val="2"/>
          <w:u w:color="000000"/>
          <w:lang w:val="es-CO" w:eastAsia="es-ES"/>
        </w:rPr>
        <w:t>qu</w:t>
      </w:r>
      <w:r w:rsidRPr="0060216C">
        <w:rPr>
          <w:rFonts w:eastAsia="Times New Roman"/>
          <w:i w:val="0"/>
          <w:color w:val="000000"/>
          <w:u w:color="000000"/>
          <w:lang w:val="es-CO" w:eastAsia="es-ES"/>
        </w:rPr>
        <w:t xml:space="preserve">e </w:t>
      </w:r>
      <w:r w:rsidRPr="0060216C">
        <w:rPr>
          <w:rFonts w:eastAsia="Times New Roman"/>
          <w:i w:val="0"/>
          <w:color w:val="000000"/>
          <w:spacing w:val="-6"/>
          <w:u w:color="000000"/>
          <w:lang w:val="es-CO" w:eastAsia="es-ES"/>
        </w:rPr>
        <w:t>c</w:t>
      </w:r>
      <w:r w:rsidRPr="0060216C">
        <w:rPr>
          <w:rFonts w:eastAsia="Times New Roman"/>
          <w:i w:val="0"/>
          <w:color w:val="000000"/>
          <w:spacing w:val="2"/>
          <w:u w:color="000000"/>
          <w:lang w:val="es-CO" w:eastAsia="es-ES"/>
        </w:rPr>
        <w:t>o</w:t>
      </w:r>
      <w:r w:rsidRPr="0060216C">
        <w:rPr>
          <w:rFonts w:eastAsia="Times New Roman"/>
          <w:i w:val="0"/>
          <w:color w:val="000000"/>
          <w:spacing w:val="-2"/>
          <w:u w:color="000000"/>
          <w:lang w:val="es-CO" w:eastAsia="es-ES"/>
        </w:rPr>
        <w:t>rres</w:t>
      </w:r>
      <w:r w:rsidRPr="0060216C">
        <w:rPr>
          <w:rFonts w:eastAsia="Times New Roman"/>
          <w:i w:val="0"/>
          <w:color w:val="000000"/>
          <w:spacing w:val="2"/>
          <w:u w:color="000000"/>
          <w:lang w:val="es-CO" w:eastAsia="es-ES"/>
        </w:rPr>
        <w:t>pond</w:t>
      </w:r>
      <w:r w:rsidRPr="0060216C">
        <w:rPr>
          <w:rFonts w:eastAsia="Times New Roman"/>
          <w:i w:val="0"/>
          <w:color w:val="000000"/>
          <w:u w:color="000000"/>
          <w:lang w:val="es-CO" w:eastAsia="es-ES"/>
        </w:rPr>
        <w:t xml:space="preserve">e </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n</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li</w:t>
      </w:r>
      <w:r w:rsidRPr="0060216C">
        <w:rPr>
          <w:rFonts w:eastAsia="Times New Roman"/>
          <w:i w:val="0"/>
          <w:color w:val="000000"/>
          <w:spacing w:val="-2"/>
          <w:u w:color="000000"/>
          <w:lang w:val="es-CO" w:eastAsia="es-ES"/>
        </w:rPr>
        <w:t>z</w:t>
      </w:r>
      <w:r w:rsidRPr="0060216C">
        <w:rPr>
          <w:rFonts w:eastAsia="Times New Roman"/>
          <w:i w:val="0"/>
          <w:color w:val="000000"/>
          <w:spacing w:val="2"/>
          <w:u w:color="000000"/>
          <w:lang w:val="es-CO" w:eastAsia="es-ES"/>
        </w:rPr>
        <w:t>a</w:t>
      </w:r>
      <w:r w:rsidRPr="0060216C">
        <w:rPr>
          <w:rFonts w:eastAsia="Times New Roman"/>
          <w:i w:val="0"/>
          <w:color w:val="000000"/>
          <w:u w:color="000000"/>
          <w:lang w:val="es-CO" w:eastAsia="es-ES"/>
        </w:rPr>
        <w:t xml:space="preserve">r </w:t>
      </w:r>
      <w:r w:rsidRPr="0060216C">
        <w:rPr>
          <w:rFonts w:eastAsia="Times New Roman"/>
          <w:i w:val="0"/>
          <w:color w:val="000000"/>
          <w:spacing w:val="-2"/>
          <w:u w:color="000000"/>
          <w:lang w:val="es-CO" w:eastAsia="es-ES"/>
        </w:rPr>
        <w:t>e</w:t>
      </w:r>
      <w:r w:rsidRPr="0060216C">
        <w:rPr>
          <w:rFonts w:eastAsia="Times New Roman"/>
          <w:i w:val="0"/>
          <w:color w:val="000000"/>
          <w:u w:color="000000"/>
          <w:lang w:val="es-CO" w:eastAsia="es-ES"/>
        </w:rPr>
        <w:t xml:space="preserve">n </w:t>
      </w:r>
      <w:r w:rsidRPr="0060216C">
        <w:rPr>
          <w:rFonts w:eastAsia="Times New Roman"/>
          <w:i w:val="0"/>
          <w:color w:val="000000"/>
          <w:spacing w:val="-2"/>
          <w:u w:color="000000"/>
          <w:lang w:val="es-CO" w:eastAsia="es-ES"/>
        </w:rPr>
        <w:t>ca</w:t>
      </w:r>
      <w:r w:rsidRPr="0060216C">
        <w:rPr>
          <w:rFonts w:eastAsia="Times New Roman"/>
          <w:i w:val="0"/>
          <w:color w:val="000000"/>
          <w:spacing w:val="2"/>
          <w:u w:color="000000"/>
          <w:lang w:val="es-CO" w:eastAsia="es-ES"/>
        </w:rPr>
        <w:t>d</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c</w:t>
      </w:r>
      <w:r w:rsidRPr="0060216C">
        <w:rPr>
          <w:rFonts w:eastAsia="Times New Roman"/>
          <w:i w:val="0"/>
          <w:color w:val="000000"/>
          <w:spacing w:val="2"/>
          <w:u w:color="000000"/>
          <w:lang w:val="es-CO" w:eastAsia="es-ES"/>
        </w:rPr>
        <w:t>a</w:t>
      </w:r>
      <w:r w:rsidRPr="0060216C">
        <w:rPr>
          <w:rFonts w:eastAsia="Times New Roman"/>
          <w:i w:val="0"/>
          <w:color w:val="000000"/>
          <w:spacing w:val="-2"/>
          <w:u w:color="000000"/>
          <w:lang w:val="es-CO" w:eastAsia="es-ES"/>
        </w:rPr>
        <w:t>s</w:t>
      </w:r>
      <w:r w:rsidRPr="0060216C">
        <w:rPr>
          <w:rFonts w:eastAsia="Times New Roman"/>
          <w:i w:val="0"/>
          <w:color w:val="000000"/>
          <w:u w:color="000000"/>
          <w:lang w:val="es-CO" w:eastAsia="es-ES"/>
        </w:rPr>
        <w:t xml:space="preserve">o </w:t>
      </w:r>
      <w:r w:rsidRPr="0060216C">
        <w:rPr>
          <w:rFonts w:eastAsia="Times New Roman"/>
          <w:i w:val="0"/>
          <w:color w:val="000000"/>
          <w:spacing w:val="-2"/>
          <w:u w:color="000000"/>
          <w:lang w:val="es-CO" w:eastAsia="es-ES"/>
        </w:rPr>
        <w:t>s</w:t>
      </w:r>
      <w:r w:rsidRPr="0060216C">
        <w:rPr>
          <w:rFonts w:eastAsia="Times New Roman"/>
          <w:i w:val="0"/>
          <w:color w:val="000000"/>
          <w:u w:color="000000"/>
          <w:lang w:val="es-CO" w:eastAsia="es-ES"/>
        </w:rPr>
        <w:t xml:space="preserve">i </w:t>
      </w:r>
      <w:r w:rsidRPr="0060216C">
        <w:rPr>
          <w:rFonts w:eastAsia="Times New Roman"/>
          <w:i w:val="0"/>
          <w:color w:val="000000"/>
          <w:spacing w:val="2"/>
          <w:u w:color="000000"/>
          <w:lang w:val="es-CO" w:eastAsia="es-ES"/>
        </w:rPr>
        <w:t>d</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ch</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ga</w:t>
      </w:r>
      <w:r w:rsidRPr="0060216C">
        <w:rPr>
          <w:rFonts w:eastAsia="Times New Roman"/>
          <w:i w:val="0"/>
          <w:color w:val="000000"/>
          <w:spacing w:val="-2"/>
          <w:u w:color="000000"/>
          <w:lang w:val="es-CO" w:eastAsia="es-ES"/>
        </w:rPr>
        <w:t>ra</w:t>
      </w:r>
      <w:r w:rsidRPr="0060216C">
        <w:rPr>
          <w:rFonts w:eastAsia="Times New Roman"/>
          <w:i w:val="0"/>
          <w:color w:val="000000"/>
          <w:spacing w:val="2"/>
          <w:u w:color="000000"/>
          <w:lang w:val="es-CO" w:eastAsia="es-ES"/>
        </w:rPr>
        <w:t>n</w:t>
      </w:r>
      <w:r w:rsidRPr="0060216C">
        <w:rPr>
          <w:rFonts w:eastAsia="Times New Roman"/>
          <w:i w:val="0"/>
          <w:color w:val="000000"/>
          <w:spacing w:val="-1"/>
          <w:u w:color="000000"/>
          <w:lang w:val="es-CO" w:eastAsia="es-ES"/>
        </w:rPr>
        <w:t>tí</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h</w:t>
      </w:r>
      <w:r w:rsidRPr="0060216C">
        <w:rPr>
          <w:rFonts w:eastAsia="Times New Roman"/>
          <w:i w:val="0"/>
          <w:color w:val="000000"/>
          <w:u w:color="000000"/>
          <w:lang w:val="es-CO" w:eastAsia="es-ES"/>
        </w:rPr>
        <w:t xml:space="preserve">a </w:t>
      </w:r>
      <w:r w:rsidRPr="0060216C">
        <w:rPr>
          <w:rFonts w:eastAsia="Times New Roman"/>
          <w:i w:val="0"/>
          <w:color w:val="000000"/>
          <w:spacing w:val="-2"/>
          <w:u w:color="000000"/>
          <w:lang w:val="es-CO" w:eastAsia="es-ES"/>
        </w:rPr>
        <w:t>s</w:t>
      </w:r>
      <w:r w:rsidRPr="0060216C">
        <w:rPr>
          <w:rFonts w:eastAsia="Times New Roman"/>
          <w:i w:val="0"/>
          <w:color w:val="000000"/>
          <w:spacing w:val="-1"/>
          <w:u w:color="000000"/>
          <w:lang w:val="es-CO" w:eastAsia="es-ES"/>
        </w:rPr>
        <w:t>i</w:t>
      </w:r>
      <w:r w:rsidRPr="0060216C">
        <w:rPr>
          <w:rFonts w:eastAsia="Times New Roman"/>
          <w:i w:val="0"/>
          <w:color w:val="000000"/>
          <w:spacing w:val="2"/>
          <w:u w:color="000000"/>
          <w:lang w:val="es-CO" w:eastAsia="es-ES"/>
        </w:rPr>
        <w:t xml:space="preserve">do </w:t>
      </w:r>
      <w:r w:rsidRPr="0060216C">
        <w:rPr>
          <w:rFonts w:eastAsia="Times New Roman"/>
          <w:i w:val="0"/>
          <w:color w:val="000000"/>
          <w:spacing w:val="-2"/>
          <w:u w:color="000000"/>
          <w:lang w:val="es-CO" w:eastAsia="es-ES"/>
        </w:rPr>
        <w:t>s</w:t>
      </w:r>
      <w:r w:rsidRPr="0060216C">
        <w:rPr>
          <w:rFonts w:eastAsia="Times New Roman"/>
          <w:i w:val="0"/>
          <w:color w:val="000000"/>
          <w:spacing w:val="2"/>
          <w:u w:color="000000"/>
          <w:lang w:val="es-CO" w:eastAsia="es-ES"/>
        </w:rPr>
        <w:t>a</w:t>
      </w:r>
      <w:r w:rsidRPr="0060216C">
        <w:rPr>
          <w:rFonts w:eastAsia="Times New Roman"/>
          <w:i w:val="0"/>
          <w:color w:val="000000"/>
          <w:spacing w:val="-1"/>
          <w:u w:color="000000"/>
          <w:lang w:val="es-CO" w:eastAsia="es-ES"/>
        </w:rPr>
        <w:t>ti</w:t>
      </w:r>
      <w:r w:rsidRPr="0060216C">
        <w:rPr>
          <w:rFonts w:eastAsia="Times New Roman"/>
          <w:i w:val="0"/>
          <w:color w:val="000000"/>
          <w:spacing w:val="-2"/>
          <w:u w:color="000000"/>
          <w:lang w:val="es-CO" w:eastAsia="es-ES"/>
        </w:rPr>
        <w:t>s</w:t>
      </w:r>
      <w:r w:rsidRPr="0060216C">
        <w:rPr>
          <w:rFonts w:eastAsia="Times New Roman"/>
          <w:i w:val="0"/>
          <w:color w:val="000000"/>
          <w:spacing w:val="3"/>
          <w:u w:color="000000"/>
          <w:lang w:val="es-CO" w:eastAsia="es-ES"/>
        </w:rPr>
        <w:t>f</w:t>
      </w:r>
      <w:r w:rsidRPr="0060216C">
        <w:rPr>
          <w:rFonts w:eastAsia="Times New Roman"/>
          <w:i w:val="0"/>
          <w:color w:val="000000"/>
          <w:spacing w:val="-2"/>
          <w:u w:color="000000"/>
          <w:lang w:val="es-CO" w:eastAsia="es-ES"/>
        </w:rPr>
        <w:t>ec</w:t>
      </w:r>
      <w:r w:rsidRPr="0060216C">
        <w:rPr>
          <w:rFonts w:eastAsia="Times New Roman"/>
          <w:i w:val="0"/>
          <w:color w:val="000000"/>
          <w:spacing w:val="2"/>
          <w:u w:color="000000"/>
          <w:lang w:val="es-CO" w:eastAsia="es-ES"/>
        </w:rPr>
        <w:t>ha</w:t>
      </w:r>
      <w:r w:rsidRPr="0060216C">
        <w:rPr>
          <w:rFonts w:eastAsia="Times New Roman"/>
          <w:i w:val="0"/>
          <w:color w:val="000000"/>
          <w:position w:val="10"/>
          <w:u w:color="000000"/>
          <w:lang w:val="es-CO" w:eastAsia="es-ES"/>
        </w:rPr>
        <w:t xml:space="preserve"> </w:t>
      </w:r>
      <w:r w:rsidRPr="0060216C">
        <w:rPr>
          <w:rFonts w:eastAsia="Times New Roman"/>
          <w:i w:val="0"/>
          <w:color w:val="000000"/>
          <w:u w:color="000000"/>
          <w:lang w:val="es-CO" w:eastAsia="es-ES"/>
        </w:rPr>
        <w:t>y</w:t>
      </w:r>
      <w:r w:rsidRPr="0060216C">
        <w:rPr>
          <w:rFonts w:eastAsia="Times New Roman"/>
          <w:i w:val="0"/>
          <w:color w:val="000000"/>
          <w:spacing w:val="23"/>
          <w:u w:color="000000"/>
          <w:lang w:val="es-CO" w:eastAsia="es-ES"/>
        </w:rPr>
        <w:t xml:space="preserve"> </w:t>
      </w:r>
      <w:r w:rsidRPr="0060216C">
        <w:rPr>
          <w:rFonts w:eastAsia="Times New Roman"/>
          <w:i w:val="0"/>
          <w:color w:val="000000"/>
          <w:spacing w:val="2"/>
          <w:u w:color="000000"/>
          <w:lang w:val="es-CO" w:eastAsia="es-ES"/>
        </w:rPr>
        <w:t xml:space="preserve">si </w:t>
      </w:r>
      <w:r w:rsidRPr="0060216C">
        <w:rPr>
          <w:rFonts w:eastAsia="Times New Roman"/>
          <w:bCs/>
          <w:i w:val="0"/>
          <w:color w:val="000000"/>
          <w:spacing w:val="-2"/>
          <w:u w:color="000000"/>
          <w:lang w:val="es-CO" w:eastAsia="es-ES"/>
        </w:rPr>
        <w:t>e</w:t>
      </w:r>
      <w:r w:rsidRPr="0060216C">
        <w:rPr>
          <w:rFonts w:eastAsia="Times New Roman"/>
          <w:bCs/>
          <w:i w:val="0"/>
          <w:color w:val="000000"/>
          <w:u w:color="000000"/>
          <w:lang w:val="es-CO" w:eastAsia="es-ES"/>
        </w:rPr>
        <w:t>l</w:t>
      </w:r>
      <w:r w:rsidRPr="0060216C">
        <w:rPr>
          <w:rFonts w:eastAsia="Times New Roman"/>
          <w:bCs/>
          <w:i w:val="0"/>
          <w:color w:val="000000"/>
          <w:spacing w:val="24"/>
          <w:u w:color="000000"/>
          <w:lang w:val="es-CO" w:eastAsia="es-ES"/>
        </w:rPr>
        <w:t xml:space="preserve"> </w:t>
      </w:r>
      <w:r w:rsidRPr="0060216C">
        <w:rPr>
          <w:rFonts w:eastAsia="Times New Roman"/>
          <w:bCs/>
          <w:i w:val="0"/>
          <w:color w:val="000000"/>
          <w:spacing w:val="-2"/>
          <w:u w:color="000000"/>
          <w:lang w:val="es-CO" w:eastAsia="es-ES"/>
        </w:rPr>
        <w:t>re</w:t>
      </w:r>
      <w:r w:rsidRPr="0060216C">
        <w:rPr>
          <w:rFonts w:eastAsia="Times New Roman"/>
          <w:bCs/>
          <w:i w:val="0"/>
          <w:color w:val="000000"/>
          <w:spacing w:val="2"/>
          <w:u w:color="000000"/>
          <w:lang w:val="es-CO" w:eastAsia="es-ES"/>
        </w:rPr>
        <w:t>qu</w:t>
      </w:r>
      <w:r w:rsidRPr="0060216C">
        <w:rPr>
          <w:rFonts w:eastAsia="Times New Roman"/>
          <w:bCs/>
          <w:i w:val="0"/>
          <w:color w:val="000000"/>
          <w:spacing w:val="-1"/>
          <w:u w:color="000000"/>
          <w:lang w:val="es-CO" w:eastAsia="es-ES"/>
        </w:rPr>
        <w:t>i</w:t>
      </w:r>
      <w:r w:rsidRPr="0060216C">
        <w:rPr>
          <w:rFonts w:eastAsia="Times New Roman"/>
          <w:bCs/>
          <w:i w:val="0"/>
          <w:color w:val="000000"/>
          <w:spacing w:val="-2"/>
          <w:u w:color="000000"/>
          <w:lang w:val="es-CO" w:eastAsia="es-ES"/>
        </w:rPr>
        <w:t>s</w:t>
      </w:r>
      <w:r w:rsidRPr="0060216C">
        <w:rPr>
          <w:rFonts w:eastAsia="Times New Roman"/>
          <w:bCs/>
          <w:i w:val="0"/>
          <w:color w:val="000000"/>
          <w:spacing w:val="3"/>
          <w:u w:color="000000"/>
          <w:lang w:val="es-CO" w:eastAsia="es-ES"/>
        </w:rPr>
        <w:t>i</w:t>
      </w:r>
      <w:r w:rsidRPr="0060216C">
        <w:rPr>
          <w:rFonts w:eastAsia="Times New Roman"/>
          <w:bCs/>
          <w:i w:val="0"/>
          <w:color w:val="000000"/>
          <w:spacing w:val="-1"/>
          <w:u w:color="000000"/>
          <w:lang w:val="es-CO" w:eastAsia="es-ES"/>
        </w:rPr>
        <w:t>t</w:t>
      </w:r>
      <w:r w:rsidRPr="0060216C">
        <w:rPr>
          <w:rFonts w:eastAsia="Times New Roman"/>
          <w:bCs/>
          <w:i w:val="0"/>
          <w:color w:val="000000"/>
          <w:u w:color="000000"/>
          <w:lang w:val="es-CO" w:eastAsia="es-ES"/>
        </w:rPr>
        <w:t>o</w:t>
      </w:r>
      <w:r w:rsidRPr="0060216C">
        <w:rPr>
          <w:rFonts w:eastAsia="Times New Roman"/>
          <w:bCs/>
          <w:i w:val="0"/>
          <w:color w:val="000000"/>
          <w:spacing w:val="27"/>
          <w:u w:color="000000"/>
          <w:lang w:val="es-CO" w:eastAsia="es-ES"/>
        </w:rPr>
        <w:t xml:space="preserve"> </w:t>
      </w:r>
      <w:r w:rsidRPr="0060216C">
        <w:rPr>
          <w:rFonts w:eastAsia="Times New Roman"/>
          <w:bCs/>
          <w:i w:val="0"/>
          <w:color w:val="000000"/>
          <w:spacing w:val="2"/>
          <w:u w:color="000000"/>
          <w:lang w:val="es-CO" w:eastAsia="es-ES"/>
        </w:rPr>
        <w:t>d</w:t>
      </w:r>
      <w:r w:rsidRPr="0060216C">
        <w:rPr>
          <w:rFonts w:eastAsia="Times New Roman"/>
          <w:bCs/>
          <w:i w:val="0"/>
          <w:color w:val="000000"/>
          <w:u w:color="000000"/>
          <w:lang w:val="es-CO" w:eastAsia="es-ES"/>
        </w:rPr>
        <w:t>e</w:t>
      </w:r>
      <w:r w:rsidRPr="0060216C">
        <w:rPr>
          <w:rFonts w:eastAsia="Times New Roman"/>
          <w:bCs/>
          <w:i w:val="0"/>
          <w:color w:val="000000"/>
          <w:spacing w:val="23"/>
          <w:u w:color="000000"/>
          <w:lang w:val="es-CO" w:eastAsia="es-ES"/>
        </w:rPr>
        <w:t xml:space="preserve"> </w:t>
      </w:r>
      <w:r w:rsidRPr="0060216C">
        <w:rPr>
          <w:rFonts w:eastAsia="Times New Roman"/>
          <w:bCs/>
          <w:i w:val="0"/>
          <w:color w:val="000000"/>
          <w:spacing w:val="2"/>
          <w:u w:color="000000"/>
          <w:lang w:val="es-CO" w:eastAsia="es-ES"/>
        </w:rPr>
        <w:t>qu</w:t>
      </w:r>
      <w:r w:rsidRPr="0060216C">
        <w:rPr>
          <w:rFonts w:eastAsia="Times New Roman"/>
          <w:bCs/>
          <w:i w:val="0"/>
          <w:color w:val="000000"/>
          <w:u w:color="000000"/>
          <w:lang w:val="es-CO" w:eastAsia="es-ES"/>
        </w:rPr>
        <w:t>e</w:t>
      </w:r>
      <w:r w:rsidRPr="0060216C">
        <w:rPr>
          <w:rFonts w:eastAsia="Times New Roman"/>
          <w:bCs/>
          <w:i w:val="0"/>
          <w:color w:val="000000"/>
          <w:spacing w:val="23"/>
          <w:u w:color="000000"/>
          <w:lang w:val="es-CO" w:eastAsia="es-ES"/>
        </w:rPr>
        <w:t xml:space="preserve"> </w:t>
      </w:r>
      <w:r w:rsidRPr="0060216C">
        <w:rPr>
          <w:rFonts w:eastAsia="Times New Roman"/>
          <w:bCs/>
          <w:i w:val="0"/>
          <w:color w:val="000000"/>
          <w:spacing w:val="-1"/>
          <w:u w:color="000000"/>
          <w:lang w:val="es-CO" w:eastAsia="es-ES"/>
        </w:rPr>
        <w:t>l</w:t>
      </w:r>
      <w:r w:rsidRPr="0060216C">
        <w:rPr>
          <w:rFonts w:eastAsia="Times New Roman"/>
          <w:bCs/>
          <w:i w:val="0"/>
          <w:color w:val="000000"/>
          <w:u w:color="000000"/>
          <w:lang w:val="es-CO" w:eastAsia="es-ES"/>
        </w:rPr>
        <w:t>a</w:t>
      </w:r>
      <w:r w:rsidRPr="0060216C">
        <w:rPr>
          <w:rFonts w:eastAsia="Times New Roman"/>
          <w:bCs/>
          <w:i w:val="0"/>
          <w:color w:val="000000"/>
          <w:spacing w:val="27"/>
          <w:u w:color="000000"/>
          <w:lang w:val="es-CO" w:eastAsia="es-ES"/>
        </w:rPr>
        <w:t xml:space="preserve"> </w:t>
      </w:r>
      <w:r w:rsidRPr="0060216C">
        <w:rPr>
          <w:rFonts w:eastAsia="Times New Roman"/>
          <w:bCs/>
          <w:i w:val="0"/>
          <w:color w:val="000000"/>
          <w:spacing w:val="2"/>
          <w:u w:color="000000"/>
          <w:lang w:val="es-CO" w:eastAsia="es-ES"/>
        </w:rPr>
        <w:t>d</w:t>
      </w:r>
      <w:r w:rsidRPr="0060216C">
        <w:rPr>
          <w:rFonts w:eastAsia="Times New Roman"/>
          <w:bCs/>
          <w:i w:val="0"/>
          <w:color w:val="000000"/>
          <w:spacing w:val="-2"/>
          <w:u w:color="000000"/>
          <w:lang w:val="es-CO" w:eastAsia="es-ES"/>
        </w:rPr>
        <w:t>ec</w:t>
      </w:r>
      <w:r w:rsidRPr="0060216C">
        <w:rPr>
          <w:rFonts w:eastAsia="Times New Roman"/>
          <w:bCs/>
          <w:i w:val="0"/>
          <w:color w:val="000000"/>
          <w:spacing w:val="-1"/>
          <w:u w:color="000000"/>
          <w:lang w:val="es-CO" w:eastAsia="es-ES"/>
        </w:rPr>
        <w:t>i</w:t>
      </w:r>
      <w:r w:rsidRPr="0060216C">
        <w:rPr>
          <w:rFonts w:eastAsia="Times New Roman"/>
          <w:bCs/>
          <w:i w:val="0"/>
          <w:color w:val="000000"/>
          <w:spacing w:val="-2"/>
          <w:u w:color="000000"/>
          <w:lang w:val="es-CO" w:eastAsia="es-ES"/>
        </w:rPr>
        <w:t>s</w:t>
      </w:r>
      <w:r w:rsidRPr="0060216C">
        <w:rPr>
          <w:rFonts w:eastAsia="Times New Roman"/>
          <w:bCs/>
          <w:i w:val="0"/>
          <w:color w:val="000000"/>
          <w:spacing w:val="-1"/>
          <w:u w:color="000000"/>
          <w:lang w:val="es-CO" w:eastAsia="es-ES"/>
        </w:rPr>
        <w:t>i</w:t>
      </w:r>
      <w:r w:rsidRPr="0060216C">
        <w:rPr>
          <w:rFonts w:eastAsia="Times New Roman"/>
          <w:bCs/>
          <w:i w:val="0"/>
          <w:color w:val="000000"/>
          <w:spacing w:val="2"/>
          <w:u w:color="000000"/>
          <w:lang w:val="es-CO" w:eastAsia="es-ES"/>
        </w:rPr>
        <w:t>ó</w:t>
      </w:r>
      <w:r w:rsidRPr="0060216C">
        <w:rPr>
          <w:rFonts w:eastAsia="Times New Roman"/>
          <w:bCs/>
          <w:i w:val="0"/>
          <w:color w:val="000000"/>
          <w:u w:color="000000"/>
          <w:lang w:val="es-CO" w:eastAsia="es-ES"/>
        </w:rPr>
        <w:t>n</w:t>
      </w:r>
      <w:r w:rsidRPr="0060216C">
        <w:rPr>
          <w:rFonts w:eastAsia="Times New Roman"/>
          <w:bCs/>
          <w:i w:val="0"/>
          <w:color w:val="000000"/>
          <w:spacing w:val="27"/>
          <w:u w:color="000000"/>
          <w:lang w:val="es-CO" w:eastAsia="es-ES"/>
        </w:rPr>
        <w:t xml:space="preserve"> </w:t>
      </w:r>
      <w:r w:rsidRPr="0060216C">
        <w:rPr>
          <w:rFonts w:eastAsia="Times New Roman"/>
          <w:bCs/>
          <w:i w:val="0"/>
          <w:color w:val="000000"/>
          <w:spacing w:val="-2"/>
          <w:u w:color="000000"/>
          <w:lang w:val="es-CO" w:eastAsia="es-ES"/>
        </w:rPr>
        <w:t>se</w:t>
      </w:r>
      <w:r w:rsidRPr="0060216C">
        <w:rPr>
          <w:rFonts w:eastAsia="Times New Roman"/>
          <w:bCs/>
          <w:i w:val="0"/>
          <w:color w:val="000000"/>
          <w:u w:color="000000"/>
          <w:lang w:val="es-CO" w:eastAsia="es-ES"/>
        </w:rPr>
        <w:t>a</w:t>
      </w:r>
      <w:r w:rsidRPr="0060216C">
        <w:rPr>
          <w:rFonts w:eastAsia="Times New Roman"/>
          <w:bCs/>
          <w:i w:val="0"/>
          <w:color w:val="000000"/>
          <w:spacing w:val="31"/>
          <w:u w:color="000000"/>
          <w:lang w:val="es-CO" w:eastAsia="es-ES"/>
        </w:rPr>
        <w:t xml:space="preserve"> </w:t>
      </w:r>
      <w:r w:rsidRPr="0060216C">
        <w:rPr>
          <w:rFonts w:eastAsia="Times New Roman"/>
          <w:bCs/>
          <w:i w:val="0"/>
          <w:color w:val="000000"/>
          <w:spacing w:val="-2"/>
          <w:u w:color="000000"/>
          <w:lang w:val="es-CO" w:eastAsia="es-ES"/>
        </w:rPr>
        <w:t>r</w:t>
      </w:r>
      <w:r w:rsidRPr="0060216C">
        <w:rPr>
          <w:rFonts w:eastAsia="Times New Roman"/>
          <w:bCs/>
          <w:i w:val="0"/>
          <w:color w:val="000000"/>
          <w:spacing w:val="2"/>
          <w:u w:color="000000"/>
          <w:lang w:val="es-CO" w:eastAsia="es-ES"/>
        </w:rPr>
        <w:t>a</w:t>
      </w:r>
      <w:r w:rsidRPr="0060216C">
        <w:rPr>
          <w:rFonts w:eastAsia="Times New Roman"/>
          <w:bCs/>
          <w:i w:val="0"/>
          <w:color w:val="000000"/>
          <w:spacing w:val="-2"/>
          <w:u w:color="000000"/>
          <w:lang w:val="es-CO" w:eastAsia="es-ES"/>
        </w:rPr>
        <w:t>z</w:t>
      </w:r>
      <w:r w:rsidRPr="0060216C">
        <w:rPr>
          <w:rFonts w:eastAsia="Times New Roman"/>
          <w:bCs/>
          <w:i w:val="0"/>
          <w:color w:val="000000"/>
          <w:spacing w:val="2"/>
          <w:u w:color="000000"/>
          <w:lang w:val="es-CO" w:eastAsia="es-ES"/>
        </w:rPr>
        <w:t>ona</w:t>
      </w:r>
      <w:r w:rsidRPr="0060216C">
        <w:rPr>
          <w:rFonts w:eastAsia="Times New Roman"/>
          <w:bCs/>
          <w:i w:val="0"/>
          <w:color w:val="000000"/>
          <w:spacing w:val="-2"/>
          <w:u w:color="000000"/>
          <w:lang w:val="es-CO" w:eastAsia="es-ES"/>
        </w:rPr>
        <w:t>d</w:t>
      </w:r>
      <w:r w:rsidRPr="0060216C">
        <w:rPr>
          <w:rFonts w:eastAsia="Times New Roman"/>
          <w:bCs/>
          <w:i w:val="0"/>
          <w:color w:val="000000"/>
          <w:spacing w:val="2"/>
          <w:u w:color="000000"/>
          <w:lang w:val="es-CO" w:eastAsia="es-ES"/>
        </w:rPr>
        <w:t>a</w:t>
      </w:r>
      <w:r w:rsidRPr="0060216C">
        <w:rPr>
          <w:rFonts w:eastAsia="Times New Roman"/>
          <w:bCs/>
          <w:i w:val="0"/>
          <w:color w:val="000000"/>
          <w:u w:color="000000"/>
          <w:lang w:val="es-CO" w:eastAsia="es-ES"/>
        </w:rPr>
        <w:t>,</w:t>
      </w:r>
      <w:r w:rsidRPr="0060216C">
        <w:rPr>
          <w:rFonts w:eastAsia="Times New Roman"/>
          <w:bCs/>
          <w:i w:val="0"/>
          <w:color w:val="000000"/>
          <w:spacing w:val="26"/>
          <w:u w:color="000000"/>
          <w:lang w:val="es-CO" w:eastAsia="es-ES"/>
        </w:rPr>
        <w:t xml:space="preserve"> </w:t>
      </w:r>
      <w:r w:rsidRPr="0060216C">
        <w:rPr>
          <w:rFonts w:eastAsia="Times New Roman"/>
          <w:bCs/>
          <w:i w:val="0"/>
          <w:color w:val="000000"/>
          <w:spacing w:val="-2"/>
          <w:u w:color="000000"/>
          <w:lang w:val="es-CO" w:eastAsia="es-ES"/>
        </w:rPr>
        <w:t>n</w:t>
      </w:r>
      <w:r w:rsidRPr="0060216C">
        <w:rPr>
          <w:rFonts w:eastAsia="Times New Roman"/>
          <w:bCs/>
          <w:i w:val="0"/>
          <w:color w:val="000000"/>
          <w:u w:color="000000"/>
          <w:lang w:val="es-CO" w:eastAsia="es-ES"/>
        </w:rPr>
        <w:t>o</w:t>
      </w:r>
      <w:r w:rsidRPr="0060216C">
        <w:rPr>
          <w:rFonts w:eastAsia="Times New Roman"/>
          <w:bCs/>
          <w:i w:val="0"/>
          <w:color w:val="000000"/>
          <w:spacing w:val="27"/>
          <w:u w:color="000000"/>
          <w:lang w:val="es-CO" w:eastAsia="es-ES"/>
        </w:rPr>
        <w:t xml:space="preserve"> </w:t>
      </w:r>
      <w:r w:rsidRPr="0060216C">
        <w:rPr>
          <w:rFonts w:eastAsia="Times New Roman"/>
          <w:bCs/>
          <w:i w:val="0"/>
          <w:color w:val="000000"/>
          <w:spacing w:val="-2"/>
          <w:u w:color="000000"/>
          <w:lang w:val="es-CO" w:eastAsia="es-ES"/>
        </w:rPr>
        <w:t>e</w:t>
      </w:r>
      <w:r w:rsidRPr="0060216C">
        <w:rPr>
          <w:rFonts w:eastAsia="Times New Roman"/>
          <w:bCs/>
          <w:i w:val="0"/>
          <w:color w:val="000000"/>
          <w:u w:color="000000"/>
          <w:lang w:val="es-CO" w:eastAsia="es-ES"/>
        </w:rPr>
        <w:t>s</w:t>
      </w:r>
      <w:r w:rsidRPr="0060216C">
        <w:rPr>
          <w:rFonts w:eastAsia="Times New Roman"/>
          <w:bCs/>
          <w:i w:val="0"/>
          <w:color w:val="000000"/>
          <w:spacing w:val="24"/>
          <w:u w:color="000000"/>
          <w:lang w:val="es-CO" w:eastAsia="es-ES"/>
        </w:rPr>
        <w:t xml:space="preserve"> </w:t>
      </w:r>
      <w:r w:rsidRPr="0060216C">
        <w:rPr>
          <w:rFonts w:eastAsia="Times New Roman"/>
          <w:bCs/>
          <w:i w:val="0"/>
          <w:color w:val="000000"/>
          <w:spacing w:val="-2"/>
          <w:u w:color="000000"/>
          <w:lang w:val="es-CO" w:eastAsia="es-ES"/>
        </w:rPr>
        <w:t>e</w:t>
      </w:r>
      <w:r w:rsidRPr="0060216C">
        <w:rPr>
          <w:rFonts w:eastAsia="Times New Roman"/>
          <w:bCs/>
          <w:i w:val="0"/>
          <w:color w:val="000000"/>
          <w:spacing w:val="2"/>
          <w:u w:color="000000"/>
          <w:lang w:val="es-CO" w:eastAsia="es-ES"/>
        </w:rPr>
        <w:t>qu</w:t>
      </w:r>
      <w:r w:rsidRPr="0060216C">
        <w:rPr>
          <w:rFonts w:eastAsia="Times New Roman"/>
          <w:bCs/>
          <w:i w:val="0"/>
          <w:color w:val="000000"/>
          <w:spacing w:val="-1"/>
          <w:u w:color="000000"/>
          <w:lang w:val="es-CO" w:eastAsia="es-ES"/>
        </w:rPr>
        <w:t>i</w:t>
      </w:r>
      <w:r w:rsidRPr="0060216C">
        <w:rPr>
          <w:rFonts w:eastAsia="Times New Roman"/>
          <w:bCs/>
          <w:i w:val="0"/>
          <w:color w:val="000000"/>
          <w:spacing w:val="-2"/>
          <w:u w:color="000000"/>
          <w:lang w:val="es-CO" w:eastAsia="es-ES"/>
        </w:rPr>
        <w:t>v</w:t>
      </w:r>
      <w:r w:rsidRPr="0060216C">
        <w:rPr>
          <w:rFonts w:eastAsia="Times New Roman"/>
          <w:bCs/>
          <w:i w:val="0"/>
          <w:color w:val="000000"/>
          <w:spacing w:val="2"/>
          <w:u w:color="000000"/>
          <w:lang w:val="es-CO" w:eastAsia="es-ES"/>
        </w:rPr>
        <w:t>a</w:t>
      </w:r>
      <w:r w:rsidRPr="0060216C">
        <w:rPr>
          <w:rFonts w:eastAsia="Times New Roman"/>
          <w:bCs/>
          <w:i w:val="0"/>
          <w:color w:val="000000"/>
          <w:spacing w:val="-1"/>
          <w:u w:color="000000"/>
          <w:lang w:val="es-CO" w:eastAsia="es-ES"/>
        </w:rPr>
        <w:t>l</w:t>
      </w:r>
      <w:r w:rsidRPr="0060216C">
        <w:rPr>
          <w:rFonts w:eastAsia="Times New Roman"/>
          <w:bCs/>
          <w:i w:val="0"/>
          <w:color w:val="000000"/>
          <w:spacing w:val="-2"/>
          <w:u w:color="000000"/>
          <w:lang w:val="es-CO" w:eastAsia="es-ES"/>
        </w:rPr>
        <w:t>e</w:t>
      </w:r>
      <w:r w:rsidRPr="0060216C">
        <w:rPr>
          <w:rFonts w:eastAsia="Times New Roman"/>
          <w:bCs/>
          <w:i w:val="0"/>
          <w:color w:val="000000"/>
          <w:spacing w:val="2"/>
          <w:u w:color="000000"/>
          <w:lang w:val="es-CO" w:eastAsia="es-ES"/>
        </w:rPr>
        <w:t>n</w:t>
      </w:r>
      <w:r w:rsidRPr="0060216C">
        <w:rPr>
          <w:rFonts w:eastAsia="Times New Roman"/>
          <w:bCs/>
          <w:i w:val="0"/>
          <w:color w:val="000000"/>
          <w:spacing w:val="-1"/>
          <w:u w:color="000000"/>
          <w:lang w:val="es-CO" w:eastAsia="es-ES"/>
        </w:rPr>
        <w:t>t</w:t>
      </w:r>
      <w:r w:rsidRPr="0060216C">
        <w:rPr>
          <w:rFonts w:eastAsia="Times New Roman"/>
          <w:bCs/>
          <w:i w:val="0"/>
          <w:color w:val="000000"/>
          <w:u w:color="000000"/>
          <w:lang w:val="es-CO" w:eastAsia="es-ES"/>
        </w:rPr>
        <w:t>e</w:t>
      </w:r>
      <w:r w:rsidRPr="0060216C">
        <w:rPr>
          <w:rFonts w:eastAsia="Times New Roman"/>
          <w:bCs/>
          <w:i w:val="0"/>
          <w:color w:val="000000"/>
          <w:spacing w:val="23"/>
          <w:u w:color="000000"/>
          <w:lang w:val="es-CO" w:eastAsia="es-ES"/>
        </w:rPr>
        <w:t xml:space="preserve"> </w:t>
      </w:r>
      <w:r w:rsidRPr="0060216C">
        <w:rPr>
          <w:rFonts w:eastAsia="Times New Roman"/>
          <w:bCs/>
          <w:i w:val="0"/>
          <w:color w:val="000000"/>
          <w:u w:color="000000"/>
          <w:lang w:val="es-CO" w:eastAsia="es-ES"/>
        </w:rPr>
        <w:t>a</w:t>
      </w:r>
      <w:r w:rsidRPr="0060216C">
        <w:rPr>
          <w:rFonts w:eastAsia="Times New Roman"/>
          <w:bCs/>
          <w:i w:val="0"/>
          <w:color w:val="000000"/>
          <w:spacing w:val="27"/>
          <w:u w:color="000000"/>
          <w:lang w:val="es-CO" w:eastAsia="es-ES"/>
        </w:rPr>
        <w:t xml:space="preserve"> </w:t>
      </w:r>
      <w:r w:rsidRPr="0060216C">
        <w:rPr>
          <w:rFonts w:eastAsia="Times New Roman"/>
          <w:bCs/>
          <w:i w:val="0"/>
          <w:color w:val="000000"/>
          <w:spacing w:val="2"/>
          <w:u w:color="000000"/>
          <w:lang w:val="es-CO" w:eastAsia="es-ES"/>
        </w:rPr>
        <w:t>qu</w:t>
      </w:r>
      <w:r w:rsidRPr="0060216C">
        <w:rPr>
          <w:rFonts w:eastAsia="Times New Roman"/>
          <w:bCs/>
          <w:i w:val="0"/>
          <w:color w:val="000000"/>
          <w:u w:color="000000"/>
          <w:lang w:val="es-CO" w:eastAsia="es-ES"/>
        </w:rPr>
        <w:t xml:space="preserve">e </w:t>
      </w:r>
      <w:r w:rsidRPr="0060216C">
        <w:rPr>
          <w:rFonts w:eastAsia="Times New Roman"/>
          <w:bCs/>
          <w:i w:val="0"/>
          <w:color w:val="000000"/>
          <w:spacing w:val="2"/>
          <w:u w:color="000000"/>
          <w:lang w:val="es-CO" w:eastAsia="es-ES"/>
        </w:rPr>
        <w:t>ha</w:t>
      </w:r>
      <w:r w:rsidRPr="0060216C">
        <w:rPr>
          <w:rFonts w:eastAsia="Times New Roman"/>
          <w:bCs/>
          <w:i w:val="0"/>
          <w:color w:val="000000"/>
          <w:spacing w:val="-2"/>
          <w:u w:color="000000"/>
          <w:lang w:val="es-CO" w:eastAsia="es-ES"/>
        </w:rPr>
        <w:t>y</w:t>
      </w:r>
      <w:r w:rsidRPr="0060216C">
        <w:rPr>
          <w:rFonts w:eastAsia="Times New Roman"/>
          <w:bCs/>
          <w:i w:val="0"/>
          <w:color w:val="000000"/>
          <w:u w:color="000000"/>
          <w:lang w:val="es-CO" w:eastAsia="es-ES"/>
        </w:rPr>
        <w:t>a</w:t>
      </w:r>
      <w:r w:rsidRPr="0060216C">
        <w:rPr>
          <w:rFonts w:eastAsia="Times New Roman"/>
          <w:bCs/>
          <w:i w:val="0"/>
          <w:color w:val="000000"/>
          <w:spacing w:val="4"/>
          <w:u w:color="000000"/>
          <w:lang w:val="es-CO" w:eastAsia="es-ES"/>
        </w:rPr>
        <w:t xml:space="preserve"> </w:t>
      </w:r>
      <w:r w:rsidRPr="0060216C">
        <w:rPr>
          <w:rFonts w:eastAsia="Times New Roman"/>
          <w:bCs/>
          <w:i w:val="0"/>
          <w:color w:val="000000"/>
          <w:spacing w:val="-2"/>
          <w:u w:color="000000"/>
          <w:lang w:val="es-CO" w:eastAsia="es-ES"/>
        </w:rPr>
        <w:t>u</w:t>
      </w:r>
      <w:r w:rsidRPr="0060216C">
        <w:rPr>
          <w:rFonts w:eastAsia="Times New Roman"/>
          <w:bCs/>
          <w:i w:val="0"/>
          <w:color w:val="000000"/>
          <w:u w:color="000000"/>
          <w:lang w:val="es-CO" w:eastAsia="es-ES"/>
        </w:rPr>
        <w:t>n</w:t>
      </w:r>
      <w:r w:rsidRPr="0060216C">
        <w:rPr>
          <w:rFonts w:eastAsia="Times New Roman"/>
          <w:bCs/>
          <w:i w:val="0"/>
          <w:color w:val="000000"/>
          <w:spacing w:val="4"/>
          <w:u w:color="000000"/>
          <w:lang w:val="es-CO" w:eastAsia="es-ES"/>
        </w:rPr>
        <w:t xml:space="preserve"> </w:t>
      </w:r>
      <w:r w:rsidRPr="0060216C">
        <w:rPr>
          <w:rFonts w:eastAsia="Times New Roman"/>
          <w:bCs/>
          <w:i w:val="0"/>
          <w:color w:val="000000"/>
          <w:spacing w:val="-2"/>
          <w:u w:color="000000"/>
          <w:lang w:val="es-CO" w:eastAsia="es-ES"/>
        </w:rPr>
        <w:t>a</w:t>
      </w:r>
      <w:r w:rsidRPr="0060216C">
        <w:rPr>
          <w:rFonts w:eastAsia="Times New Roman"/>
          <w:bCs/>
          <w:i w:val="0"/>
          <w:color w:val="000000"/>
          <w:spacing w:val="2"/>
          <w:u w:color="000000"/>
          <w:lang w:val="es-CO" w:eastAsia="es-ES"/>
        </w:rPr>
        <w:t>ná</w:t>
      </w:r>
      <w:r w:rsidRPr="0060216C">
        <w:rPr>
          <w:rFonts w:eastAsia="Times New Roman"/>
          <w:bCs/>
          <w:i w:val="0"/>
          <w:color w:val="000000"/>
          <w:spacing w:val="-1"/>
          <w:u w:color="000000"/>
          <w:lang w:val="es-CO" w:eastAsia="es-ES"/>
        </w:rPr>
        <w:t>li</w:t>
      </w:r>
      <w:r w:rsidRPr="0060216C">
        <w:rPr>
          <w:rFonts w:eastAsia="Times New Roman"/>
          <w:bCs/>
          <w:i w:val="0"/>
          <w:color w:val="000000"/>
          <w:spacing w:val="-2"/>
          <w:u w:color="000000"/>
          <w:lang w:val="es-CO" w:eastAsia="es-ES"/>
        </w:rPr>
        <w:t>s</w:t>
      </w:r>
      <w:r w:rsidRPr="0060216C">
        <w:rPr>
          <w:rFonts w:eastAsia="Times New Roman"/>
          <w:bCs/>
          <w:i w:val="0"/>
          <w:color w:val="000000"/>
          <w:spacing w:val="-1"/>
          <w:u w:color="000000"/>
          <w:lang w:val="es-CO" w:eastAsia="es-ES"/>
        </w:rPr>
        <w:t>i</w:t>
      </w:r>
      <w:r w:rsidRPr="0060216C">
        <w:rPr>
          <w:rFonts w:eastAsia="Times New Roman"/>
          <w:bCs/>
          <w:i w:val="0"/>
          <w:color w:val="000000"/>
          <w:u w:color="000000"/>
          <w:lang w:val="es-CO" w:eastAsia="es-ES"/>
        </w:rPr>
        <w:t>s</w:t>
      </w:r>
      <w:r w:rsidRPr="0060216C">
        <w:rPr>
          <w:rFonts w:eastAsia="Times New Roman"/>
          <w:bCs/>
          <w:i w:val="0"/>
          <w:color w:val="000000"/>
          <w:spacing w:val="1"/>
          <w:u w:color="000000"/>
          <w:lang w:val="es-CO" w:eastAsia="es-ES"/>
        </w:rPr>
        <w:t xml:space="preserve"> </w:t>
      </w:r>
      <w:r w:rsidRPr="0060216C">
        <w:rPr>
          <w:rFonts w:eastAsia="Times New Roman"/>
          <w:bCs/>
          <w:i w:val="0"/>
          <w:color w:val="000000"/>
          <w:spacing w:val="-2"/>
          <w:u w:color="000000"/>
          <w:lang w:val="es-CO" w:eastAsia="es-ES"/>
        </w:rPr>
        <w:t>s</w:t>
      </w:r>
      <w:r w:rsidRPr="0060216C">
        <w:rPr>
          <w:rFonts w:eastAsia="Times New Roman"/>
          <w:bCs/>
          <w:i w:val="0"/>
          <w:color w:val="000000"/>
          <w:spacing w:val="2"/>
          <w:u w:color="000000"/>
          <w:lang w:val="es-CO" w:eastAsia="es-ES"/>
        </w:rPr>
        <w:t>ob</w:t>
      </w:r>
      <w:r w:rsidRPr="0060216C">
        <w:rPr>
          <w:rFonts w:eastAsia="Times New Roman"/>
          <w:bCs/>
          <w:i w:val="0"/>
          <w:color w:val="000000"/>
          <w:spacing w:val="-2"/>
          <w:u w:color="000000"/>
          <w:lang w:val="es-CO" w:eastAsia="es-ES"/>
        </w:rPr>
        <w:t>r</w:t>
      </w:r>
      <w:r w:rsidRPr="0060216C">
        <w:rPr>
          <w:rFonts w:eastAsia="Times New Roman"/>
          <w:bCs/>
          <w:i w:val="0"/>
          <w:color w:val="000000"/>
          <w:u w:color="000000"/>
          <w:lang w:val="es-CO" w:eastAsia="es-ES"/>
        </w:rPr>
        <w:t xml:space="preserve">e </w:t>
      </w:r>
      <w:r w:rsidRPr="0060216C">
        <w:rPr>
          <w:rFonts w:eastAsia="Times New Roman"/>
          <w:bCs/>
          <w:i w:val="0"/>
          <w:color w:val="000000"/>
          <w:spacing w:val="-2"/>
          <w:u w:color="000000"/>
          <w:lang w:val="es-CO" w:eastAsia="es-ES"/>
        </w:rPr>
        <w:t>e</w:t>
      </w:r>
      <w:r w:rsidRPr="0060216C">
        <w:rPr>
          <w:rFonts w:eastAsia="Times New Roman"/>
          <w:bCs/>
          <w:i w:val="0"/>
          <w:color w:val="000000"/>
          <w:u w:color="000000"/>
          <w:lang w:val="es-CO" w:eastAsia="es-ES"/>
        </w:rPr>
        <w:t>l</w:t>
      </w:r>
      <w:r w:rsidRPr="0060216C">
        <w:rPr>
          <w:rFonts w:eastAsia="Times New Roman"/>
          <w:bCs/>
          <w:i w:val="0"/>
          <w:color w:val="000000"/>
          <w:spacing w:val="1"/>
          <w:u w:color="000000"/>
          <w:lang w:val="es-CO" w:eastAsia="es-ES"/>
        </w:rPr>
        <w:t xml:space="preserve"> </w:t>
      </w:r>
      <w:r w:rsidRPr="0060216C">
        <w:rPr>
          <w:rFonts w:eastAsia="Times New Roman"/>
          <w:bCs/>
          <w:i w:val="0"/>
          <w:color w:val="000000"/>
          <w:spacing w:val="-1"/>
          <w:u w:color="000000"/>
          <w:lang w:val="es-CO" w:eastAsia="es-ES"/>
        </w:rPr>
        <w:t>f</w:t>
      </w:r>
      <w:r w:rsidRPr="0060216C">
        <w:rPr>
          <w:rFonts w:eastAsia="Times New Roman"/>
          <w:bCs/>
          <w:i w:val="0"/>
          <w:color w:val="000000"/>
          <w:spacing w:val="2"/>
          <w:u w:color="000000"/>
          <w:lang w:val="es-CO" w:eastAsia="es-ES"/>
        </w:rPr>
        <w:t>ond</w:t>
      </w:r>
      <w:r w:rsidRPr="0060216C">
        <w:rPr>
          <w:rFonts w:eastAsia="Times New Roman"/>
          <w:bCs/>
          <w:i w:val="0"/>
          <w:color w:val="000000"/>
          <w:u w:color="000000"/>
          <w:lang w:val="es-CO" w:eastAsia="es-ES"/>
        </w:rPr>
        <w:t>o</w:t>
      </w:r>
      <w:r w:rsidRPr="0060216C">
        <w:rPr>
          <w:rFonts w:eastAsia="Times New Roman"/>
          <w:bCs/>
          <w:i w:val="0"/>
          <w:color w:val="000000"/>
          <w:spacing w:val="4"/>
          <w:u w:color="000000"/>
          <w:lang w:val="es-CO" w:eastAsia="es-ES"/>
        </w:rPr>
        <w:t xml:space="preserve"> </w:t>
      </w:r>
      <w:r w:rsidRPr="0060216C">
        <w:rPr>
          <w:rFonts w:eastAsia="Times New Roman"/>
          <w:bCs/>
          <w:i w:val="0"/>
          <w:color w:val="000000"/>
          <w:spacing w:val="2"/>
          <w:u w:color="000000"/>
          <w:lang w:val="es-CO" w:eastAsia="es-ES"/>
        </w:rPr>
        <w:t>d</w:t>
      </w:r>
      <w:r w:rsidRPr="0060216C">
        <w:rPr>
          <w:rFonts w:eastAsia="Times New Roman"/>
          <w:bCs/>
          <w:i w:val="0"/>
          <w:color w:val="000000"/>
          <w:spacing w:val="-2"/>
          <w:u w:color="000000"/>
          <w:lang w:val="es-CO" w:eastAsia="es-ES"/>
        </w:rPr>
        <w:t>e</w:t>
      </w:r>
      <w:r w:rsidRPr="0060216C">
        <w:rPr>
          <w:rFonts w:eastAsia="Times New Roman"/>
          <w:bCs/>
          <w:i w:val="0"/>
          <w:color w:val="000000"/>
          <w:u w:color="000000"/>
          <w:lang w:val="es-CO" w:eastAsia="es-ES"/>
        </w:rPr>
        <w:t>l</w:t>
      </w:r>
      <w:r w:rsidRPr="0060216C">
        <w:rPr>
          <w:rFonts w:eastAsia="Times New Roman"/>
          <w:bCs/>
          <w:i w:val="0"/>
          <w:color w:val="000000"/>
          <w:spacing w:val="1"/>
          <w:u w:color="000000"/>
          <w:lang w:val="es-CO" w:eastAsia="es-ES"/>
        </w:rPr>
        <w:t xml:space="preserve"> </w:t>
      </w:r>
      <w:r w:rsidRPr="0060216C">
        <w:rPr>
          <w:rFonts w:eastAsia="Times New Roman"/>
          <w:bCs/>
          <w:i w:val="0"/>
          <w:color w:val="000000"/>
          <w:spacing w:val="2"/>
          <w:u w:color="000000"/>
          <w:lang w:val="es-CO" w:eastAsia="es-ES"/>
        </w:rPr>
        <w:t>a</w:t>
      </w:r>
      <w:r w:rsidRPr="0060216C">
        <w:rPr>
          <w:rFonts w:eastAsia="Times New Roman"/>
          <w:bCs/>
          <w:i w:val="0"/>
          <w:color w:val="000000"/>
          <w:spacing w:val="-2"/>
          <w:u w:color="000000"/>
          <w:lang w:val="es-CO" w:eastAsia="es-ES"/>
        </w:rPr>
        <w:t>s</w:t>
      </w:r>
      <w:r w:rsidRPr="0060216C">
        <w:rPr>
          <w:rFonts w:eastAsia="Times New Roman"/>
          <w:bCs/>
          <w:i w:val="0"/>
          <w:color w:val="000000"/>
          <w:spacing w:val="2"/>
          <w:u w:color="000000"/>
          <w:lang w:val="es-CO" w:eastAsia="es-ES"/>
        </w:rPr>
        <w:t>un</w:t>
      </w:r>
      <w:r w:rsidRPr="0060216C">
        <w:rPr>
          <w:rFonts w:eastAsia="Times New Roman"/>
          <w:bCs/>
          <w:i w:val="0"/>
          <w:color w:val="000000"/>
          <w:spacing w:val="-1"/>
          <w:u w:color="000000"/>
          <w:lang w:val="es-CO" w:eastAsia="es-ES"/>
        </w:rPr>
        <w:t>t</w:t>
      </w:r>
      <w:r w:rsidRPr="0060216C">
        <w:rPr>
          <w:rFonts w:eastAsia="Times New Roman"/>
          <w:bCs/>
          <w:i w:val="0"/>
          <w:color w:val="000000"/>
          <w:spacing w:val="-2"/>
          <w:u w:color="000000"/>
          <w:lang w:val="es-CO" w:eastAsia="es-ES"/>
        </w:rPr>
        <w:t>o</w:t>
      </w:r>
      <w:r w:rsidRPr="0060216C">
        <w:rPr>
          <w:rFonts w:eastAsia="Times New Roman"/>
          <w:bCs/>
          <w:i w:val="0"/>
          <w:color w:val="000000"/>
          <w:u w:color="000000"/>
          <w:lang w:val="es-CO" w:eastAsia="es-ES"/>
        </w:rPr>
        <w:t>.</w:t>
      </w:r>
    </w:p>
    <w:p w14:paraId="16BA0870" w14:textId="77777777" w:rsidR="008E387F" w:rsidRPr="0060216C" w:rsidRDefault="008E387F" w:rsidP="008E387F">
      <w:pPr>
        <w:pStyle w:val="Estilo1"/>
        <w:tabs>
          <w:tab w:val="left" w:pos="709"/>
          <w:tab w:val="left" w:pos="1134"/>
        </w:tabs>
        <w:spacing w:after="0"/>
        <w:ind w:left="0" w:right="-4" w:firstLine="0"/>
        <w:rPr>
          <w:rFonts w:cs="Arial"/>
          <w:i w:val="0"/>
          <w:color w:val="000000"/>
          <w:u w:color="000000"/>
          <w:lang w:val="es-CO"/>
        </w:rPr>
      </w:pPr>
    </w:p>
    <w:p w14:paraId="3D0BFAAF" w14:textId="7BA72273" w:rsidR="008E387F" w:rsidRDefault="00C42183" w:rsidP="008E387F">
      <w:pPr>
        <w:pStyle w:val="Ttulo2"/>
        <w:spacing w:before="0" w:after="0"/>
        <w:rPr>
          <w:rFonts w:eastAsia="Verdana" w:cs="Cambria"/>
          <w:bCs/>
          <w:color w:val="000000"/>
          <w:u w:color="000000"/>
          <w:lang w:eastAsia="x-none"/>
        </w:rPr>
      </w:pPr>
      <w:bookmarkStart w:id="87" w:name="_Toc527466496"/>
      <w:r w:rsidRPr="00AA013D">
        <w:rPr>
          <w:rFonts w:eastAsia="Verdana" w:cs="Cambria"/>
          <w:bCs/>
          <w:color w:val="000000"/>
          <w:u w:color="000000"/>
          <w:lang w:eastAsia="x-none"/>
        </w:rPr>
        <w:t>Consideraciones de la Corte</w:t>
      </w:r>
      <w:bookmarkEnd w:id="87"/>
    </w:p>
    <w:p w14:paraId="008BD378" w14:textId="77777777" w:rsidR="008E387F" w:rsidRPr="008E387F" w:rsidRDefault="008E387F" w:rsidP="008E387F">
      <w:pPr>
        <w:rPr>
          <w:lang w:val="es-CR" w:eastAsia="x-none"/>
        </w:rPr>
      </w:pPr>
    </w:p>
    <w:p w14:paraId="2408E6C3" w14:textId="566FB99A" w:rsidR="00C42183" w:rsidRPr="008E387F" w:rsidRDefault="00C42183" w:rsidP="00E92CA8">
      <w:pPr>
        <w:pStyle w:val="Estilo1"/>
        <w:numPr>
          <w:ilvl w:val="0"/>
          <w:numId w:val="3"/>
        </w:numPr>
        <w:tabs>
          <w:tab w:val="left" w:pos="709"/>
          <w:tab w:val="left" w:pos="1134"/>
        </w:tabs>
        <w:spacing w:after="0"/>
        <w:ind w:left="0" w:right="-4" w:firstLine="0"/>
        <w:rPr>
          <w:rFonts w:cs="Verdana"/>
          <w:bCs/>
          <w:i w:val="0"/>
          <w:iCs/>
        </w:rPr>
      </w:pPr>
      <w:r w:rsidRPr="0060216C">
        <w:rPr>
          <w:rFonts w:cs="Verdana"/>
          <w:bCs/>
          <w:i w:val="0"/>
          <w:iCs/>
        </w:rPr>
        <w:t xml:space="preserve">Este Tribunal ha señalado, en relación con el artículo 25.1 de la Convención, que dicha norma </w:t>
      </w:r>
      <w:r w:rsidRPr="0060216C">
        <w:rPr>
          <w:i w:val="0"/>
        </w:rPr>
        <w:t>contempla la obligación de los Estados Parte</w:t>
      </w:r>
      <w:r w:rsidR="00F155E0">
        <w:rPr>
          <w:i w:val="0"/>
        </w:rPr>
        <w:t>s</w:t>
      </w:r>
      <w:r w:rsidRPr="0060216C">
        <w:rPr>
          <w:i w:val="0"/>
        </w:rPr>
        <w:t xml:space="preserve"> de garantizar, a todas las personas bajo su jurisdicción, un recurso judicial efectivo contra actos violatorios de sus derechos fundamentales</w:t>
      </w:r>
      <w:r w:rsidRPr="0060216C">
        <w:rPr>
          <w:rFonts w:eastAsiaTheme="minorHAnsi" w:cstheme="minorBidi"/>
          <w:i w:val="0"/>
          <w:vertAlign w:val="superscript"/>
          <w:lang w:val="es-AR"/>
        </w:rPr>
        <w:footnoteReference w:id="198"/>
      </w:r>
      <w:r w:rsidRPr="0060216C">
        <w:rPr>
          <w:i w:val="0"/>
        </w:rPr>
        <w:t xml:space="preserve">. Dicha efectividad supone que, además de la existencia formal de </w:t>
      </w:r>
      <w:r w:rsidRPr="0060216C">
        <w:rPr>
          <w:rFonts w:cs="Arial"/>
          <w:i w:val="0"/>
        </w:rPr>
        <w:t>los</w:t>
      </w:r>
      <w:r w:rsidRPr="0060216C">
        <w:rPr>
          <w:i w:val="0"/>
        </w:rPr>
        <w:t xml:space="preserve"> recursos, éstos den resultados o respuestas a las violaciones de derechos contemplados ya sea en la Convención, en la Constitución o en las leyes</w:t>
      </w:r>
      <w:r w:rsidRPr="0060216C">
        <w:rPr>
          <w:rStyle w:val="Refdenotaalpie"/>
          <w:i w:val="0"/>
        </w:rPr>
        <w:footnoteReference w:id="199"/>
      </w:r>
      <w:r w:rsidRPr="0060216C">
        <w:rPr>
          <w:i w:val="0"/>
        </w:rPr>
        <w:t>. En ese sentido, no pueden considerarse efectivos aquellos recursos que, por las condiciones generales del país o incluso por las circunstancias particulares de un caso dado, resulten ilusorios</w:t>
      </w:r>
      <w:r w:rsidRPr="0060216C">
        <w:rPr>
          <w:rStyle w:val="Refdenotaalpie"/>
          <w:i w:val="0"/>
        </w:rPr>
        <w:footnoteReference w:id="200"/>
      </w:r>
      <w:r w:rsidRPr="0060216C">
        <w:rPr>
          <w:i w:val="0"/>
        </w:rPr>
        <w:t xml:space="preserve">. Ello puede ocurrir, por ejemplo, cuando su inutilidad haya quedado demostrada por la práctica, </w:t>
      </w:r>
      <w:r w:rsidR="00F155E0">
        <w:rPr>
          <w:i w:val="0"/>
        </w:rPr>
        <w:t>porque el Poder Judicial carezca de la independencia necesaria para decidir con imparcialidad</w:t>
      </w:r>
      <w:r w:rsidRPr="0060216C">
        <w:rPr>
          <w:i w:val="0"/>
        </w:rPr>
        <w:t xml:space="preserve"> o por cualquier otra situación que configure un cuadro de denegación de justicia</w:t>
      </w:r>
      <w:r w:rsidRPr="0060216C">
        <w:rPr>
          <w:rStyle w:val="Refdenotaalpie"/>
          <w:i w:val="0"/>
        </w:rPr>
        <w:footnoteReference w:id="201"/>
      </w:r>
      <w:r w:rsidRPr="0060216C">
        <w:rPr>
          <w:i w:val="0"/>
        </w:rPr>
        <w:t xml:space="preserve">. Así, el proceso debe </w:t>
      </w:r>
      <w:r w:rsidRPr="0060216C">
        <w:rPr>
          <w:i w:val="0"/>
        </w:rPr>
        <w:lastRenderedPageBreak/>
        <w:t>tender a la materialización de la protección del derecho reconocido en el pronunciamiento judicial mediante la aplicación idónea de dicho pronunciamiento</w:t>
      </w:r>
      <w:r w:rsidRPr="0060216C">
        <w:rPr>
          <w:rFonts w:cs="Verdana"/>
          <w:i w:val="0"/>
          <w:sz w:val="16"/>
          <w:szCs w:val="16"/>
          <w:vertAlign w:val="superscript"/>
        </w:rPr>
        <w:footnoteReference w:id="202"/>
      </w:r>
      <w:r w:rsidR="008E387F">
        <w:rPr>
          <w:i w:val="0"/>
        </w:rPr>
        <w:t>.</w:t>
      </w:r>
    </w:p>
    <w:p w14:paraId="67DE21A2" w14:textId="77777777" w:rsidR="008E387F" w:rsidRPr="0060216C" w:rsidRDefault="008E387F" w:rsidP="008E387F">
      <w:pPr>
        <w:pStyle w:val="Estilo1"/>
        <w:tabs>
          <w:tab w:val="left" w:pos="709"/>
          <w:tab w:val="left" w:pos="1134"/>
        </w:tabs>
        <w:spacing w:after="0"/>
        <w:ind w:left="0" w:right="-4" w:firstLine="0"/>
        <w:rPr>
          <w:rFonts w:cs="Verdana"/>
          <w:bCs/>
          <w:i w:val="0"/>
          <w:iCs/>
        </w:rPr>
      </w:pPr>
    </w:p>
    <w:p w14:paraId="2E2B2D4A" w14:textId="77777777" w:rsidR="00C42183" w:rsidRDefault="00C42183" w:rsidP="00E92CA8">
      <w:pPr>
        <w:pStyle w:val="Estilo1"/>
        <w:numPr>
          <w:ilvl w:val="0"/>
          <w:numId w:val="3"/>
        </w:numPr>
        <w:tabs>
          <w:tab w:val="left" w:pos="709"/>
          <w:tab w:val="left" w:pos="1134"/>
        </w:tabs>
        <w:spacing w:after="0"/>
        <w:ind w:left="0" w:right="-4" w:firstLine="0"/>
        <w:rPr>
          <w:rFonts w:cs="Verdana"/>
          <w:bCs/>
          <w:i w:val="0"/>
          <w:iCs/>
        </w:rPr>
      </w:pPr>
      <w:r w:rsidRPr="0060216C">
        <w:rPr>
          <w:rFonts w:cs="Verdana"/>
          <w:bCs/>
          <w:i w:val="0"/>
          <w:iCs/>
        </w:rPr>
        <w:t>La Corte ha establecido que para que exista un recurso efectivo no basta con que éste exista formalmente</w:t>
      </w:r>
      <w:r w:rsidRPr="0060216C">
        <w:rPr>
          <w:rFonts w:cs="Verdana"/>
          <w:bCs/>
          <w:i w:val="0"/>
          <w:iCs/>
          <w:sz w:val="16"/>
          <w:szCs w:val="16"/>
          <w:vertAlign w:val="superscript"/>
        </w:rPr>
        <w:footnoteReference w:id="203"/>
      </w:r>
      <w:r w:rsidRPr="0060216C">
        <w:rPr>
          <w:rFonts w:cs="Verdana"/>
          <w:bCs/>
          <w:i w:val="0"/>
          <w:iCs/>
        </w:rPr>
        <w:t>. Esto implica que el recurso debe ser idóneo para combatir la violación y que sea efectiva su aplicación por la autoridad competente</w:t>
      </w:r>
      <w:r w:rsidRPr="0060216C">
        <w:rPr>
          <w:rFonts w:cs="Verdana"/>
          <w:bCs/>
          <w:i w:val="0"/>
          <w:iCs/>
          <w:sz w:val="16"/>
          <w:szCs w:val="16"/>
          <w:vertAlign w:val="superscript"/>
        </w:rPr>
        <w:footnoteReference w:id="204"/>
      </w:r>
      <w:r w:rsidRPr="0060216C">
        <w:rPr>
          <w:rFonts w:cs="Verdana"/>
          <w:bCs/>
          <w:i w:val="0"/>
          <w:iCs/>
        </w:rPr>
        <w:t>. De igual forma, esta Corte ha establecido que un recurso judicial efectivo implica que el análisis por la autoridad competente de un recurso judicial no puede reducirse a una mera formalidad, sino que debe examinar las razones invocadas por el demandante y manifestarse expresamente sobre ellas</w:t>
      </w:r>
      <w:r w:rsidRPr="0060216C">
        <w:rPr>
          <w:rFonts w:cs="Verdana"/>
          <w:bCs/>
          <w:i w:val="0"/>
          <w:iCs/>
          <w:sz w:val="16"/>
          <w:szCs w:val="16"/>
          <w:vertAlign w:val="superscript"/>
        </w:rPr>
        <w:footnoteReference w:id="205"/>
      </w:r>
      <w:r w:rsidRPr="0060216C">
        <w:rPr>
          <w:rFonts w:cs="Verdana"/>
          <w:bCs/>
          <w:i w:val="0"/>
          <w:iCs/>
        </w:rPr>
        <w:t>. Lo anterior no implica que se evalúe la efectividad de un recurso en función de que éste produzca un resultado favorable para el demandante</w:t>
      </w:r>
      <w:r w:rsidRPr="0060216C">
        <w:rPr>
          <w:rFonts w:cs="Verdana"/>
          <w:bCs/>
          <w:i w:val="0"/>
          <w:iCs/>
          <w:sz w:val="16"/>
          <w:szCs w:val="16"/>
          <w:vertAlign w:val="superscript"/>
        </w:rPr>
        <w:footnoteReference w:id="206"/>
      </w:r>
      <w:r w:rsidRPr="0060216C">
        <w:rPr>
          <w:rFonts w:cs="Verdana"/>
          <w:bCs/>
          <w:i w:val="0"/>
          <w:iCs/>
        </w:rPr>
        <w:t>. La Corte ha señalado, en virtud del artículo 25.2.c de la Convención, que la responsabilidad estatal no termina cuando las autoridades competentes emiten una decisión o sentencia, sino que requiere además que el Estado garantice los medios para ejecutar las decisiones definitivas, de manera que se protejan efectivamente los derechos declarados</w:t>
      </w:r>
      <w:r w:rsidRPr="0060216C">
        <w:rPr>
          <w:rFonts w:cs="Verdana"/>
          <w:bCs/>
          <w:i w:val="0"/>
          <w:iCs/>
          <w:sz w:val="16"/>
          <w:szCs w:val="16"/>
          <w:vertAlign w:val="superscript"/>
        </w:rPr>
        <w:footnoteReference w:id="207"/>
      </w:r>
      <w:r w:rsidRPr="0060216C">
        <w:rPr>
          <w:rFonts w:cs="Verdana"/>
          <w:bCs/>
          <w:i w:val="0"/>
          <w:iCs/>
        </w:rPr>
        <w:t>.</w:t>
      </w:r>
    </w:p>
    <w:p w14:paraId="28631595" w14:textId="77777777" w:rsidR="008E387F" w:rsidRPr="0060216C" w:rsidRDefault="008E387F" w:rsidP="008E387F">
      <w:pPr>
        <w:pStyle w:val="Estilo1"/>
        <w:tabs>
          <w:tab w:val="left" w:pos="709"/>
          <w:tab w:val="left" w:pos="1134"/>
        </w:tabs>
        <w:spacing w:after="0"/>
        <w:ind w:left="0" w:right="-4" w:firstLine="0"/>
        <w:rPr>
          <w:rFonts w:cs="Verdana"/>
          <w:bCs/>
          <w:i w:val="0"/>
          <w:iCs/>
        </w:rPr>
      </w:pPr>
    </w:p>
    <w:p w14:paraId="336EF1D2" w14:textId="77777777" w:rsidR="00C42183" w:rsidRPr="008E387F" w:rsidRDefault="00C42183" w:rsidP="00E92CA8">
      <w:pPr>
        <w:pStyle w:val="Estilo1"/>
        <w:numPr>
          <w:ilvl w:val="0"/>
          <w:numId w:val="3"/>
        </w:numPr>
        <w:tabs>
          <w:tab w:val="left" w:pos="709"/>
          <w:tab w:val="left" w:pos="1134"/>
        </w:tabs>
        <w:spacing w:after="0"/>
        <w:ind w:left="0" w:right="-4" w:firstLine="0"/>
        <w:rPr>
          <w:rFonts w:eastAsia="Cambria" w:cs="Verdana"/>
          <w:bCs/>
          <w:i w:val="0"/>
          <w:iCs/>
          <w:color w:val="000000"/>
          <w:u w:color="000000"/>
          <w:lang w:eastAsia="es-ES"/>
        </w:rPr>
      </w:pPr>
      <w:r w:rsidRPr="0060216C">
        <w:rPr>
          <w:rFonts w:eastAsia="Cambria" w:cs="Verdana"/>
          <w:bCs/>
          <w:i w:val="0"/>
          <w:iCs/>
          <w:color w:val="000000"/>
          <w:u w:color="000000"/>
          <w:lang w:eastAsia="es-ES"/>
        </w:rPr>
        <w:t>Por otro lado, la Corte ha señalado que, a la luz del artículo 8.1 de la Convención, toda persona tiene el derecho a ser oída por un órgano imparcial y competente, con las debidas garantías procesales, las que incluyen la posibilidad de presentar alegatos y aportar pruebas. Este Tribunal ha indicado que esa disposición convencional implica 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sidRPr="0060216C">
        <w:rPr>
          <w:rFonts w:eastAsia="Cambria" w:cs="Cambria"/>
          <w:i w:val="0"/>
          <w:color w:val="000000"/>
          <w:sz w:val="16"/>
          <w:szCs w:val="16"/>
          <w:u w:color="000000"/>
          <w:vertAlign w:val="superscript"/>
          <w:lang w:val="en-US" w:eastAsia="es-ES"/>
        </w:rPr>
        <w:footnoteReference w:id="208"/>
      </w:r>
      <w:r w:rsidRPr="0060216C">
        <w:rPr>
          <w:rFonts w:eastAsia="Cambria" w:cs="Verdana"/>
          <w:bCs/>
          <w:i w:val="0"/>
          <w:iCs/>
          <w:color w:val="000000"/>
          <w:u w:color="000000"/>
          <w:lang w:eastAsia="es-ES"/>
        </w:rPr>
        <w:t xml:space="preserve">. Asimismo, </w:t>
      </w:r>
      <w:r w:rsidRPr="0060216C">
        <w:rPr>
          <w:rFonts w:eastAsia="Cambria" w:cs="Cambria"/>
          <w:i w:val="0"/>
          <w:color w:val="000000"/>
          <w:u w:color="000000"/>
          <w:lang w:eastAsia="es-ES"/>
        </w:rPr>
        <w:t>la Corte recuerda que el derecho de acceso a la justicia requiere que la solución de una controversia sea resuelta en un plazo razonable, toda vez que una demora prolongada puede llegar a constituir, en ciertos casos, por sí misma, una violación de las garantías judiciales</w:t>
      </w:r>
      <w:r w:rsidRPr="0060216C">
        <w:rPr>
          <w:rFonts w:eastAsia="Cambria" w:cs="Verdana"/>
          <w:i w:val="0"/>
          <w:color w:val="000000"/>
          <w:sz w:val="16"/>
          <w:szCs w:val="16"/>
          <w:u w:color="000000"/>
          <w:vertAlign w:val="superscript"/>
          <w:lang w:val="en-US" w:eastAsia="es-ES"/>
        </w:rPr>
        <w:footnoteReference w:id="209"/>
      </w:r>
      <w:r w:rsidRPr="0060216C">
        <w:rPr>
          <w:rFonts w:eastAsia="Cambria" w:cs="Cambria"/>
          <w:i w:val="0"/>
          <w:color w:val="000000"/>
          <w:u w:color="000000"/>
          <w:lang w:eastAsia="es-ES"/>
        </w:rPr>
        <w:t>.</w:t>
      </w:r>
    </w:p>
    <w:p w14:paraId="541AA191" w14:textId="77777777" w:rsidR="008E387F" w:rsidRPr="0060216C" w:rsidRDefault="008E387F" w:rsidP="008E387F">
      <w:pPr>
        <w:pStyle w:val="Estilo1"/>
        <w:tabs>
          <w:tab w:val="left" w:pos="709"/>
          <w:tab w:val="left" w:pos="1134"/>
        </w:tabs>
        <w:spacing w:after="0"/>
        <w:ind w:left="0" w:right="-4" w:firstLine="0"/>
        <w:rPr>
          <w:rFonts w:eastAsia="Cambria" w:cs="Verdana"/>
          <w:bCs/>
          <w:i w:val="0"/>
          <w:iCs/>
          <w:color w:val="000000"/>
          <w:u w:color="000000"/>
          <w:lang w:eastAsia="es-ES"/>
        </w:rPr>
      </w:pPr>
    </w:p>
    <w:p w14:paraId="2512812D" w14:textId="77777777" w:rsidR="00C42183" w:rsidRPr="008E387F" w:rsidRDefault="00C42183" w:rsidP="00E92CA8">
      <w:pPr>
        <w:pStyle w:val="Estilo1"/>
        <w:numPr>
          <w:ilvl w:val="0"/>
          <w:numId w:val="3"/>
        </w:numPr>
        <w:tabs>
          <w:tab w:val="left" w:pos="709"/>
          <w:tab w:val="left" w:pos="1134"/>
        </w:tabs>
        <w:spacing w:after="0"/>
        <w:ind w:left="0" w:right="-4" w:firstLine="0"/>
        <w:rPr>
          <w:rFonts w:eastAsia="Cambria" w:cs="Verdana"/>
          <w:bCs/>
          <w:i w:val="0"/>
          <w:iCs/>
          <w:color w:val="000000"/>
          <w:u w:color="000000"/>
          <w:lang w:eastAsia="es-ES"/>
        </w:rPr>
      </w:pPr>
      <w:r w:rsidRPr="0060216C">
        <w:rPr>
          <w:rFonts w:eastAsia="Verdana" w:cs="Cambria"/>
          <w:bCs/>
          <w:i w:val="0"/>
          <w:color w:val="000000"/>
          <w:u w:color="000000"/>
          <w:lang w:eastAsia="x-none"/>
        </w:rPr>
        <w:lastRenderedPageBreak/>
        <w:t>Asimismo, e</w:t>
      </w:r>
      <w:r w:rsidRPr="0060216C">
        <w:rPr>
          <w:rFonts w:cs="Verdana"/>
          <w:bCs/>
          <w:i w:val="0"/>
          <w:iCs/>
        </w:rPr>
        <w:t>ste Tribunal ha sostenido que el deber de motivación es una de las debidas garantías incluidas en el artículo 8.1 para salvaguardar el derecho al debido proceso</w:t>
      </w:r>
      <w:r w:rsidRPr="0060216C">
        <w:rPr>
          <w:i w:val="0"/>
          <w:sz w:val="16"/>
          <w:szCs w:val="16"/>
          <w:vertAlign w:val="superscript"/>
        </w:rPr>
        <w:footnoteReference w:id="210"/>
      </w:r>
      <w:r w:rsidRPr="0060216C">
        <w:rPr>
          <w:rFonts w:cs="Verdana"/>
          <w:bCs/>
          <w:i w:val="0"/>
          <w:iCs/>
        </w:rPr>
        <w:t xml:space="preserve">. </w:t>
      </w:r>
      <w:bookmarkStart w:id="88" w:name="_Ref454242864"/>
      <w:r w:rsidRPr="0060216C">
        <w:rPr>
          <w:rFonts w:cs="Verdana"/>
          <w:bCs/>
          <w:i w:val="0"/>
          <w:iCs/>
        </w:rPr>
        <w:t>La motivación es la exteriorización de la justificación razonada que permite llegar a una conclusión</w:t>
      </w:r>
      <w:r w:rsidRPr="0060216C">
        <w:rPr>
          <w:i w:val="0"/>
          <w:sz w:val="16"/>
          <w:szCs w:val="16"/>
          <w:vertAlign w:val="superscript"/>
        </w:rPr>
        <w:footnoteReference w:id="211"/>
      </w:r>
      <w:r w:rsidRPr="0060216C">
        <w:rPr>
          <w:rFonts w:cs="Verdana"/>
          <w:bCs/>
          <w:i w:val="0"/>
          <w:iCs/>
        </w:rPr>
        <w:t>. El deber de motivar las resoluciones es una garantía vinculada a la recta administración de justicia, que le garantiza a los ciudadanos el derecho a ser juzgados por las razones que el derecho otorga, a la vez que brinda credibilidad a las decisiones judiciales en una sociedad democrática</w:t>
      </w:r>
      <w:r w:rsidRPr="0060216C">
        <w:rPr>
          <w:i w:val="0"/>
          <w:sz w:val="16"/>
          <w:szCs w:val="16"/>
          <w:vertAlign w:val="superscript"/>
        </w:rPr>
        <w:footnoteReference w:id="212"/>
      </w:r>
      <w:r w:rsidRPr="0060216C">
        <w:rPr>
          <w:rFonts w:cs="Verdana"/>
          <w:bCs/>
          <w:i w:val="0"/>
          <w:iCs/>
        </w:rPr>
        <w:t>. En virtud de lo anterior, las decisiones que adopten los órganos internos de los Estados que puedan afectar derechos humanos deben de estar motivadas, de lo contrario serían decisiones arbitrarias</w:t>
      </w:r>
      <w:r w:rsidRPr="0060216C">
        <w:rPr>
          <w:i w:val="0"/>
          <w:sz w:val="16"/>
          <w:szCs w:val="16"/>
          <w:vertAlign w:val="superscript"/>
        </w:rPr>
        <w:footnoteReference w:id="213"/>
      </w:r>
      <w:r w:rsidRPr="0060216C">
        <w:rPr>
          <w:rFonts w:cs="Verdana"/>
          <w:bCs/>
          <w:i w:val="0"/>
          <w:iCs/>
        </w:rPr>
        <w:t>. La motivación de un fallo debe permitir conocer cuáles son los hechos, motivos y normas en las que se basó el órgano que lo dictó para tomar su decisión de modo que se pueda desechar cualquier indicio de arbitrariedad, a la vez que les demuestra a las partes que estas han sido oídas en el marco del proceso</w:t>
      </w:r>
      <w:r w:rsidRPr="0060216C">
        <w:rPr>
          <w:i w:val="0"/>
          <w:sz w:val="16"/>
          <w:szCs w:val="16"/>
          <w:vertAlign w:val="superscript"/>
        </w:rPr>
        <w:footnoteReference w:id="214"/>
      </w:r>
      <w:r w:rsidRPr="0060216C">
        <w:rPr>
          <w:rFonts w:cs="Verdana"/>
          <w:bCs/>
          <w:i w:val="0"/>
          <w:iCs/>
        </w:rPr>
        <w:t>. Además, debe mostrar que han sido debidamente tomados en cuenta los alegatos de las partes y que el conjunto de pruebas ha sido analizado</w:t>
      </w:r>
      <w:r w:rsidRPr="0060216C">
        <w:rPr>
          <w:i w:val="0"/>
          <w:sz w:val="16"/>
          <w:szCs w:val="16"/>
          <w:vertAlign w:val="superscript"/>
        </w:rPr>
        <w:footnoteReference w:id="215"/>
      </w:r>
      <w:r w:rsidRPr="0060216C">
        <w:rPr>
          <w:rFonts w:cs="Verdana"/>
          <w:bCs/>
          <w:i w:val="0"/>
          <w:iCs/>
        </w:rPr>
        <w:t>.</w:t>
      </w:r>
      <w:bookmarkEnd w:id="88"/>
    </w:p>
    <w:p w14:paraId="15F95D09" w14:textId="77777777" w:rsidR="008E387F" w:rsidRPr="0060216C" w:rsidRDefault="008E387F" w:rsidP="008E387F">
      <w:pPr>
        <w:pStyle w:val="Estilo1"/>
        <w:tabs>
          <w:tab w:val="left" w:pos="709"/>
          <w:tab w:val="left" w:pos="1134"/>
        </w:tabs>
        <w:spacing w:after="0"/>
        <w:ind w:left="0" w:right="-4" w:firstLine="0"/>
        <w:rPr>
          <w:rFonts w:eastAsia="Cambria" w:cs="Verdana"/>
          <w:bCs/>
          <w:i w:val="0"/>
          <w:iCs/>
          <w:color w:val="000000"/>
          <w:u w:color="000000"/>
          <w:lang w:eastAsia="es-ES"/>
        </w:rPr>
      </w:pPr>
    </w:p>
    <w:p w14:paraId="7C5877E9" w14:textId="38C4AF23" w:rsidR="005A37F3" w:rsidRPr="008E387F"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5A37F3">
        <w:rPr>
          <w:rFonts w:eastAsia="Verdana" w:cs="Cambria"/>
          <w:i w:val="0"/>
          <w:color w:val="000000"/>
          <w:u w:color="000000"/>
          <w:lang w:eastAsia="x-none"/>
        </w:rPr>
        <w:t xml:space="preserve">En referencia al presente caso, la Corte recuerda </w:t>
      </w:r>
      <w:r w:rsidR="005A37F3" w:rsidRPr="005A37F3">
        <w:rPr>
          <w:rFonts w:eastAsia="Verdana" w:cs="Cambria"/>
          <w:i w:val="0"/>
          <w:color w:val="000000"/>
          <w:u w:color="000000"/>
          <w:lang w:eastAsia="x-none"/>
        </w:rPr>
        <w:t>q</w:t>
      </w:r>
      <w:r w:rsidRPr="005A37F3">
        <w:rPr>
          <w:rFonts w:eastAsia="Verdana" w:cs="Cambria"/>
          <w:i w:val="0"/>
          <w:color w:val="000000"/>
          <w:u w:color="000000"/>
          <w:lang w:eastAsia="x-none"/>
        </w:rPr>
        <w:t xml:space="preserve">ue </w:t>
      </w:r>
      <w:r w:rsidRPr="005A37F3">
        <w:rPr>
          <w:i w:val="0"/>
          <w:lang w:val="es-ES"/>
        </w:rPr>
        <w:t>la Asociación Coordinadora de Sectores de Lucha Contra el SIDA (ACSLCS), el Procurador de los Derechos Humanos y otras organizaciones que representan a las personas que viven con</w:t>
      </w:r>
      <w:r w:rsidR="00D92087">
        <w:rPr>
          <w:i w:val="0"/>
          <w:lang w:val="es-ES"/>
        </w:rPr>
        <w:t xml:space="preserve"> el</w:t>
      </w:r>
      <w:r w:rsidRPr="005A37F3">
        <w:rPr>
          <w:i w:val="0"/>
          <w:lang w:val="es-ES"/>
        </w:rPr>
        <w:t xml:space="preserve"> VIH/SIDA, en fechas 23 de noviembre de 2001, 27 de mayo y 10 de junio de 2002, remitieron tres cartas en las cuales solicitaron al Estado de Guatemala, a través del Presidente de la Rep</w:t>
      </w:r>
      <w:r w:rsidR="00462F6A">
        <w:rPr>
          <w:i w:val="0"/>
          <w:lang w:val="es-ES"/>
        </w:rPr>
        <w:t>ú</w:t>
      </w:r>
      <w:r w:rsidRPr="005A37F3">
        <w:rPr>
          <w:i w:val="0"/>
          <w:lang w:val="es-ES"/>
        </w:rPr>
        <w:t>blica y del Ministerio de Salud, atención médica y tratamiento antirretroviral para todas las personas diagnosticadas con VIH/SIDA, sin recib</w:t>
      </w:r>
      <w:r w:rsidR="00C51C1D">
        <w:rPr>
          <w:i w:val="0"/>
          <w:lang w:val="es-ES"/>
        </w:rPr>
        <w:t>ir respuesta alguna (</w:t>
      </w:r>
      <w:r w:rsidR="00C51C1D" w:rsidRPr="00C51C1D">
        <w:rPr>
          <w:lang w:val="es-ES"/>
        </w:rPr>
        <w:t>supra</w:t>
      </w:r>
      <w:r w:rsidR="00C51C1D">
        <w:rPr>
          <w:i w:val="0"/>
          <w:lang w:val="es-ES"/>
        </w:rPr>
        <w:t xml:space="preserve"> párr.</w:t>
      </w:r>
      <w:r w:rsidRPr="005A37F3">
        <w:rPr>
          <w:i w:val="0"/>
          <w:lang w:val="es-ES"/>
        </w:rPr>
        <w:t xml:space="preserve"> </w:t>
      </w:r>
      <w:r w:rsidR="00C51C1D">
        <w:rPr>
          <w:i w:val="0"/>
          <w:lang w:val="es-ES"/>
        </w:rPr>
        <w:t>56</w:t>
      </w:r>
      <w:r w:rsidRPr="005A37F3">
        <w:rPr>
          <w:i w:val="0"/>
          <w:lang w:val="es-ES"/>
        </w:rPr>
        <w:t>).</w:t>
      </w:r>
      <w:r w:rsidR="005A37F3" w:rsidRPr="005A37F3">
        <w:rPr>
          <w:i w:val="0"/>
          <w:lang w:val="es-ES"/>
        </w:rPr>
        <w:t xml:space="preserve"> </w:t>
      </w:r>
      <w:r w:rsidR="005A37F3" w:rsidRPr="005A37F3">
        <w:rPr>
          <w:rFonts w:eastAsia="Verdana" w:cs="Cambria"/>
          <w:bCs/>
          <w:i w:val="0"/>
          <w:color w:val="000000"/>
          <w:u w:color="000000"/>
          <w:lang w:eastAsia="x-none"/>
        </w:rPr>
        <w:t>E</w:t>
      </w:r>
      <w:r w:rsidRPr="005A37F3">
        <w:rPr>
          <w:i w:val="0"/>
          <w:lang w:val="es-ES"/>
        </w:rPr>
        <w:t>n virtud de la falta de respuesta del Presidente</w:t>
      </w:r>
      <w:r w:rsidR="00F155E0">
        <w:rPr>
          <w:i w:val="0"/>
          <w:lang w:val="es-ES"/>
        </w:rPr>
        <w:t xml:space="preserve"> y del Ministro de Salud</w:t>
      </w:r>
      <w:r w:rsidRPr="005A37F3">
        <w:rPr>
          <w:i w:val="0"/>
          <w:lang w:val="es-ES"/>
        </w:rPr>
        <w:t xml:space="preserve">, el 26 de julio de 2002 veintidós personas, incluyendo a trece de las presuntas víctimas, presentaron una acción de amparo ante la Corte de Constitucionalidad </w:t>
      </w:r>
      <w:r w:rsidR="00C51C1D">
        <w:rPr>
          <w:i w:val="0"/>
          <w:lang w:val="es-ES"/>
        </w:rPr>
        <w:t>(</w:t>
      </w:r>
      <w:r w:rsidR="00C51C1D" w:rsidRPr="00C51C1D">
        <w:rPr>
          <w:lang w:val="es-ES"/>
        </w:rPr>
        <w:t>supra</w:t>
      </w:r>
      <w:r w:rsidR="00C51C1D">
        <w:rPr>
          <w:i w:val="0"/>
          <w:lang w:val="es-ES"/>
        </w:rPr>
        <w:t xml:space="preserve"> párr.</w:t>
      </w:r>
      <w:r w:rsidR="005A37F3" w:rsidRPr="005A37F3">
        <w:rPr>
          <w:i w:val="0"/>
          <w:lang w:val="es-ES"/>
        </w:rPr>
        <w:t xml:space="preserve"> </w:t>
      </w:r>
      <w:r w:rsidR="00C51C1D">
        <w:rPr>
          <w:i w:val="0"/>
          <w:lang w:val="es-ES"/>
        </w:rPr>
        <w:t>57</w:t>
      </w:r>
      <w:r w:rsidR="005A37F3" w:rsidRPr="005A37F3">
        <w:rPr>
          <w:i w:val="0"/>
          <w:lang w:val="es-ES"/>
        </w:rPr>
        <w:t>). L</w:t>
      </w:r>
      <w:r w:rsidRPr="005A37F3">
        <w:rPr>
          <w:i w:val="0"/>
          <w:lang w:val="es-ES"/>
        </w:rPr>
        <w:t>os accionantes expusieron que, como consecuencia de dicha negativa u omisión por parte del Presidente, se vulneró el derecho a la protección de la persona, el derecho a la vida, el derecho de petición, los derechos inherentes a la persona humana, y el derecho a la salud</w:t>
      </w:r>
      <w:r w:rsidR="005A37F3" w:rsidRPr="005A37F3">
        <w:rPr>
          <w:i w:val="0"/>
          <w:lang w:val="es-ES"/>
        </w:rPr>
        <w:t xml:space="preserve">, y solicitaron a la Corte de Constitucionalidad </w:t>
      </w:r>
      <w:r w:rsidR="005A37F3" w:rsidRPr="005A37F3">
        <w:rPr>
          <w:i w:val="0"/>
        </w:rPr>
        <w:t xml:space="preserve">que resolviera con toda prontitud la acción de amparo y que el Estado tenía la obligación de garantizarles la </w:t>
      </w:r>
      <w:r w:rsidR="005A37F3" w:rsidRPr="005A37F3">
        <w:rPr>
          <w:bCs/>
          <w:i w:val="0"/>
        </w:rPr>
        <w:t xml:space="preserve">vida a través de una política de compra, distribución indiscriminada, sistemática y diaria de </w:t>
      </w:r>
      <w:r w:rsidR="005A37F3" w:rsidRPr="005A37F3">
        <w:rPr>
          <w:i w:val="0"/>
        </w:rPr>
        <w:lastRenderedPageBreak/>
        <w:t>los tratamientos antirretrovirales, preferentemente genéricos de calidad disponibles en el mercado.</w:t>
      </w:r>
    </w:p>
    <w:p w14:paraId="1C57D3E9" w14:textId="77777777" w:rsidR="008E387F" w:rsidRPr="005A37F3"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62D4BEDE" w14:textId="44B9DEA9" w:rsidR="005A37F3" w:rsidRPr="008E387F" w:rsidRDefault="005A37F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5A37F3">
        <w:rPr>
          <w:rFonts w:eastAsia="Verdana" w:cs="Cambria"/>
          <w:bCs/>
          <w:i w:val="0"/>
          <w:color w:val="000000"/>
          <w:u w:color="000000"/>
          <w:lang w:eastAsia="x-none"/>
        </w:rPr>
        <w:t>E</w:t>
      </w:r>
      <w:r w:rsidR="00C42183" w:rsidRPr="005A37F3">
        <w:rPr>
          <w:rFonts w:eastAsia="Verdana" w:cs="Cambria"/>
          <w:i w:val="0"/>
          <w:color w:val="000000"/>
          <w:u w:color="000000"/>
          <w:lang w:eastAsia="x-none"/>
        </w:rPr>
        <w:t xml:space="preserve">n respuesta a la demanda, </w:t>
      </w:r>
      <w:r w:rsidRPr="005A37F3">
        <w:rPr>
          <w:rFonts w:eastAsia="Verdana" w:cs="Cambria"/>
          <w:i w:val="0"/>
          <w:color w:val="000000"/>
          <w:u w:color="000000"/>
          <w:lang w:eastAsia="x-none"/>
        </w:rPr>
        <w:t>el Presidente</w:t>
      </w:r>
      <w:r w:rsidR="00C42183" w:rsidRPr="005A37F3">
        <w:rPr>
          <w:rFonts w:eastAsia="Verdana" w:cs="Cambria"/>
          <w:i w:val="0"/>
          <w:color w:val="000000"/>
          <w:u w:color="000000"/>
          <w:lang w:eastAsia="x-none"/>
        </w:rPr>
        <w:t xml:space="preserve"> autorizó una partida extraordinaria de quinientos mil quetzales (Q.500,000.00) para llenar los requerimientos de las personas viviendo con</w:t>
      </w:r>
      <w:r w:rsidR="00F155E0">
        <w:rPr>
          <w:rFonts w:eastAsia="Verdana" w:cs="Cambria"/>
          <w:i w:val="0"/>
          <w:color w:val="000000"/>
          <w:u w:color="000000"/>
          <w:lang w:eastAsia="x-none"/>
        </w:rPr>
        <w:t xml:space="preserve"> el </w:t>
      </w:r>
      <w:r w:rsidR="00C42183" w:rsidRPr="005A37F3">
        <w:rPr>
          <w:rFonts w:eastAsia="Verdana" w:cs="Cambria"/>
          <w:i w:val="0"/>
          <w:color w:val="000000"/>
          <w:u w:color="000000"/>
          <w:lang w:eastAsia="x-none"/>
        </w:rPr>
        <w:t>VIH (</w:t>
      </w:r>
      <w:r w:rsidR="00C42183" w:rsidRPr="00C51C1D">
        <w:rPr>
          <w:rFonts w:eastAsia="Verdana" w:cs="Cambria"/>
          <w:color w:val="000000"/>
          <w:u w:color="000000"/>
          <w:lang w:eastAsia="x-none"/>
        </w:rPr>
        <w:t>supra</w:t>
      </w:r>
      <w:r w:rsidR="00C42183" w:rsidRPr="005A37F3">
        <w:rPr>
          <w:rFonts w:eastAsia="Verdana" w:cs="Cambria"/>
          <w:i w:val="0"/>
          <w:color w:val="000000"/>
          <w:u w:color="000000"/>
          <w:lang w:eastAsia="x-none"/>
        </w:rPr>
        <w:t xml:space="preserve"> párr.</w:t>
      </w:r>
      <w:r w:rsidR="001D40BB">
        <w:rPr>
          <w:rFonts w:eastAsia="Verdana" w:cs="Cambria"/>
          <w:i w:val="0"/>
          <w:color w:val="000000"/>
          <w:u w:color="000000"/>
          <w:lang w:eastAsia="x-none"/>
        </w:rPr>
        <w:t xml:space="preserve"> </w:t>
      </w:r>
      <w:r w:rsidR="00C51C1D">
        <w:rPr>
          <w:rFonts w:eastAsia="Verdana" w:cs="Cambria"/>
          <w:i w:val="0"/>
          <w:color w:val="000000"/>
          <w:u w:color="000000"/>
          <w:lang w:eastAsia="x-none"/>
        </w:rPr>
        <w:t>60</w:t>
      </w:r>
      <w:r w:rsidR="00C42183" w:rsidRPr="005A37F3">
        <w:rPr>
          <w:rFonts w:eastAsia="Verdana" w:cs="Cambria"/>
          <w:i w:val="0"/>
          <w:color w:val="000000"/>
          <w:u w:color="000000"/>
          <w:lang w:eastAsia="x-none"/>
        </w:rPr>
        <w:t>)</w:t>
      </w:r>
      <w:r w:rsidRPr="005A37F3">
        <w:rPr>
          <w:rFonts w:eastAsia="Verdana" w:cs="Cambria"/>
          <w:i w:val="0"/>
          <w:color w:val="000000"/>
          <w:u w:color="000000"/>
          <w:lang w:eastAsia="x-none"/>
        </w:rPr>
        <w:t>. El</w:t>
      </w:r>
      <w:r w:rsidR="00C42183" w:rsidRPr="005A37F3">
        <w:rPr>
          <w:rFonts w:eastAsia="Verdana" w:cs="Cambria"/>
          <w:bCs/>
          <w:i w:val="0"/>
          <w:color w:val="000000"/>
          <w:u w:color="000000"/>
          <w:lang w:eastAsia="x-none"/>
        </w:rPr>
        <w:t xml:space="preserve"> </w:t>
      </w:r>
      <w:r w:rsidR="00C42183" w:rsidRPr="005A37F3">
        <w:rPr>
          <w:rFonts w:eastAsia="Verdana" w:cs="Cambria"/>
          <w:i w:val="0"/>
          <w:color w:val="000000"/>
          <w:u w:color="000000"/>
          <w:lang w:eastAsia="x-none"/>
        </w:rPr>
        <w:t xml:space="preserve">29 de octubre de 2002 los demandantes reconocieron la voluntad del Presidente de Guatemala para atender los requerimientos realizados en la demanda inicial, en virtud de que destinó quinientos mil quetzales para la atención de personas </w:t>
      </w:r>
      <w:r w:rsidR="001D40BB">
        <w:rPr>
          <w:rFonts w:eastAsia="Verdana" w:cs="Cambria"/>
          <w:i w:val="0"/>
          <w:color w:val="000000"/>
          <w:u w:color="000000"/>
          <w:lang w:eastAsia="x-none"/>
        </w:rPr>
        <w:t xml:space="preserve">que viven </w:t>
      </w:r>
      <w:r w:rsidR="00C42183" w:rsidRPr="005A37F3">
        <w:rPr>
          <w:rFonts w:eastAsia="Verdana" w:cs="Cambria"/>
          <w:i w:val="0"/>
          <w:color w:val="000000"/>
          <w:u w:color="000000"/>
          <w:lang w:eastAsia="x-none"/>
        </w:rPr>
        <w:t>con</w:t>
      </w:r>
      <w:r w:rsidR="001D40BB">
        <w:rPr>
          <w:rFonts w:eastAsia="Verdana" w:cs="Cambria"/>
          <w:i w:val="0"/>
          <w:color w:val="000000"/>
          <w:u w:color="000000"/>
          <w:lang w:eastAsia="x-none"/>
        </w:rPr>
        <w:t xml:space="preserve"> el</w:t>
      </w:r>
      <w:r w:rsidR="00C42183" w:rsidRPr="005A37F3">
        <w:rPr>
          <w:rFonts w:eastAsia="Verdana" w:cs="Cambria"/>
          <w:i w:val="0"/>
          <w:color w:val="000000"/>
          <w:u w:color="000000"/>
          <w:lang w:eastAsia="x-none"/>
        </w:rPr>
        <w:t xml:space="preserve"> VIH. Sin e</w:t>
      </w:r>
      <w:r w:rsidRPr="005A37F3">
        <w:rPr>
          <w:rFonts w:eastAsia="Verdana" w:cs="Cambria"/>
          <w:i w:val="0"/>
          <w:color w:val="000000"/>
          <w:u w:color="000000"/>
          <w:lang w:eastAsia="x-none"/>
        </w:rPr>
        <w:t>mbargo, sostuvieron que subsistían</w:t>
      </w:r>
      <w:r w:rsidR="00C42183" w:rsidRPr="005A37F3">
        <w:rPr>
          <w:rFonts w:eastAsia="Verdana" w:cs="Cambria"/>
          <w:i w:val="0"/>
          <w:color w:val="000000"/>
          <w:u w:color="000000"/>
          <w:lang w:eastAsia="x-none"/>
        </w:rPr>
        <w:t xml:space="preserve"> las razones que motivaron la presentación de la acción de amparo, ya que no se iniciaron los tratamientos antirretrovirales para todas las personas que viven con ese diagnóstico, pues únicamente se propo</w:t>
      </w:r>
      <w:r w:rsidR="001D40BB">
        <w:rPr>
          <w:rFonts w:eastAsia="Verdana" w:cs="Cambria"/>
          <w:i w:val="0"/>
          <w:color w:val="000000"/>
          <w:u w:color="000000"/>
          <w:lang w:eastAsia="x-none"/>
        </w:rPr>
        <w:t>rcionaba atención a 27 de ellas (</w:t>
      </w:r>
      <w:r w:rsidR="001D40BB" w:rsidRPr="00C51C1D">
        <w:rPr>
          <w:rFonts w:eastAsia="Verdana" w:cs="Cambria"/>
          <w:color w:val="000000"/>
          <w:u w:color="000000"/>
          <w:lang w:eastAsia="x-none"/>
        </w:rPr>
        <w:t>supra</w:t>
      </w:r>
      <w:r w:rsidR="001D40BB">
        <w:rPr>
          <w:rFonts w:eastAsia="Verdana" w:cs="Cambria"/>
          <w:i w:val="0"/>
          <w:color w:val="000000"/>
          <w:u w:color="000000"/>
          <w:lang w:eastAsia="x-none"/>
        </w:rPr>
        <w:t xml:space="preserve"> párr. </w:t>
      </w:r>
      <w:r w:rsidR="00C51C1D">
        <w:rPr>
          <w:rFonts w:eastAsia="Verdana" w:cs="Cambria"/>
          <w:i w:val="0"/>
          <w:color w:val="000000"/>
          <w:u w:color="000000"/>
          <w:lang w:eastAsia="x-none"/>
        </w:rPr>
        <w:t>60</w:t>
      </w:r>
      <w:r w:rsidR="00C42183" w:rsidRPr="005A37F3">
        <w:rPr>
          <w:rFonts w:eastAsia="Verdana" w:cs="Cambria"/>
          <w:i w:val="0"/>
          <w:color w:val="000000"/>
          <w:u w:color="000000"/>
          <w:lang w:eastAsia="x-none"/>
        </w:rPr>
        <w:t>)</w:t>
      </w:r>
      <w:r w:rsidRPr="005A37F3">
        <w:rPr>
          <w:rFonts w:eastAsia="Verdana" w:cs="Cambria"/>
          <w:i w:val="0"/>
          <w:color w:val="000000"/>
          <w:u w:color="000000"/>
          <w:lang w:eastAsia="x-none"/>
        </w:rPr>
        <w:t>. L</w:t>
      </w:r>
      <w:r w:rsidR="00C42183" w:rsidRPr="005A37F3">
        <w:rPr>
          <w:rFonts w:eastAsia="Verdana" w:cs="Cambria"/>
          <w:i w:val="0"/>
          <w:color w:val="000000"/>
          <w:u w:color="000000"/>
          <w:lang w:eastAsia="x-none"/>
        </w:rPr>
        <w:t xml:space="preserve">os accionistas solicitaron a la Corte de Constitucionalidad que, para comprobar el vínculo entre la violación a los derechos humanos reclamados y los peticionarios de amparo, dictara un auto para mejor fallar en el cual se recabara el certificado médico de las personas </w:t>
      </w:r>
      <w:proofErr w:type="spellStart"/>
      <w:r w:rsidR="00C42183" w:rsidRPr="005A37F3">
        <w:rPr>
          <w:rFonts w:eastAsia="Verdana" w:cs="Cambria"/>
          <w:i w:val="0"/>
          <w:color w:val="000000"/>
          <w:u w:color="000000"/>
          <w:lang w:eastAsia="x-none"/>
        </w:rPr>
        <w:t>interponentes</w:t>
      </w:r>
      <w:proofErr w:type="spellEnd"/>
      <w:r w:rsidR="00C42183" w:rsidRPr="005A37F3">
        <w:rPr>
          <w:rFonts w:eastAsia="Verdana" w:cs="Cambria"/>
          <w:i w:val="0"/>
          <w:color w:val="000000"/>
          <w:u w:color="000000"/>
          <w:lang w:eastAsia="x-none"/>
        </w:rPr>
        <w:t>, pues to</w:t>
      </w:r>
      <w:r w:rsidR="001D40BB">
        <w:rPr>
          <w:rFonts w:eastAsia="Verdana" w:cs="Cambria"/>
          <w:i w:val="0"/>
          <w:color w:val="000000"/>
          <w:u w:color="000000"/>
          <w:lang w:eastAsia="x-none"/>
        </w:rPr>
        <w:t>dos ellos son portadores de VIH</w:t>
      </w:r>
      <w:r w:rsidR="00C42183" w:rsidRPr="001D40BB">
        <w:rPr>
          <w:rFonts w:eastAsia="Verdana" w:cs="Cambria"/>
          <w:i w:val="0"/>
          <w:color w:val="000000"/>
          <w:u w:color="000000"/>
          <w:lang w:eastAsia="x-none"/>
        </w:rPr>
        <w:t>,</w:t>
      </w:r>
      <w:r w:rsidR="00C42183" w:rsidRPr="005A37F3">
        <w:rPr>
          <w:rFonts w:eastAsia="Verdana" w:cs="Cambria"/>
          <w:i w:val="0"/>
          <w:color w:val="000000"/>
          <w:u w:color="000000"/>
          <w:lang w:eastAsia="x-none"/>
        </w:rPr>
        <w:t xml:space="preserve"> y que declarara con lugar la acción de amparo ordenando al Estado que dictara políticas públicas que garanticen el derecho difuso de la vida a las personas que viven con</w:t>
      </w:r>
      <w:r w:rsidR="001D40BB">
        <w:rPr>
          <w:rFonts w:eastAsia="Verdana" w:cs="Cambria"/>
          <w:i w:val="0"/>
          <w:color w:val="000000"/>
          <w:u w:color="000000"/>
          <w:lang w:eastAsia="x-none"/>
        </w:rPr>
        <w:t xml:space="preserve"> el</w:t>
      </w:r>
      <w:r w:rsidR="00C42183" w:rsidRPr="005A37F3">
        <w:rPr>
          <w:rFonts w:eastAsia="Verdana" w:cs="Cambria"/>
          <w:i w:val="0"/>
          <w:color w:val="000000"/>
          <w:u w:color="000000"/>
          <w:lang w:eastAsia="x-none"/>
        </w:rPr>
        <w:t xml:space="preserve"> VIH y la distribución de medicamentos antirretrovirales sin discriminación alguna en los centros hos</w:t>
      </w:r>
      <w:r w:rsidR="001D40BB">
        <w:rPr>
          <w:rFonts w:eastAsia="Verdana" w:cs="Cambria"/>
          <w:i w:val="0"/>
          <w:color w:val="000000"/>
          <w:u w:color="000000"/>
          <w:lang w:eastAsia="x-none"/>
        </w:rPr>
        <w:t>pitalarios y de salud del país</w:t>
      </w:r>
      <w:r w:rsidR="00C42183" w:rsidRPr="005A37F3">
        <w:rPr>
          <w:rFonts w:eastAsia="Verdana" w:cs="Cambria"/>
          <w:i w:val="0"/>
          <w:color w:val="000000"/>
          <w:u w:color="000000"/>
          <w:lang w:eastAsia="x-none"/>
        </w:rPr>
        <w:t xml:space="preserve"> (</w:t>
      </w:r>
      <w:r w:rsidR="00C42183" w:rsidRPr="00C51C1D">
        <w:rPr>
          <w:rFonts w:eastAsia="Verdana" w:cs="Cambria"/>
          <w:color w:val="000000"/>
          <w:u w:color="000000"/>
          <w:lang w:eastAsia="x-none"/>
        </w:rPr>
        <w:t>supra</w:t>
      </w:r>
      <w:r w:rsidR="00C42183" w:rsidRPr="005A37F3">
        <w:rPr>
          <w:rFonts w:eastAsia="Verdana" w:cs="Cambria"/>
          <w:i w:val="0"/>
          <w:color w:val="000000"/>
          <w:u w:color="000000"/>
          <w:lang w:eastAsia="x-none"/>
        </w:rPr>
        <w:t xml:space="preserve"> párr. </w:t>
      </w:r>
      <w:r w:rsidR="00C51C1D">
        <w:rPr>
          <w:rFonts w:eastAsia="Verdana" w:cs="Cambria"/>
          <w:i w:val="0"/>
          <w:color w:val="000000"/>
          <w:u w:color="000000"/>
          <w:lang w:eastAsia="x-none"/>
        </w:rPr>
        <w:t>61</w:t>
      </w:r>
      <w:r w:rsidR="00C42183" w:rsidRPr="005A37F3">
        <w:rPr>
          <w:rFonts w:eastAsia="Verdana" w:cs="Cambria"/>
          <w:i w:val="0"/>
          <w:color w:val="000000"/>
          <w:u w:color="000000"/>
          <w:lang w:eastAsia="x-none"/>
        </w:rPr>
        <w:t>)</w:t>
      </w:r>
      <w:r w:rsidR="001D40BB">
        <w:rPr>
          <w:rFonts w:eastAsia="Verdana" w:cs="Cambria"/>
          <w:i w:val="0"/>
          <w:color w:val="000000"/>
          <w:u w:color="000000"/>
          <w:lang w:eastAsia="x-none"/>
        </w:rPr>
        <w:t>.</w:t>
      </w:r>
    </w:p>
    <w:p w14:paraId="2AD0EAF2" w14:textId="77777777" w:rsidR="008E387F" w:rsidRPr="005A37F3"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6020A569" w14:textId="26685D31" w:rsidR="00C42183" w:rsidRPr="008E387F" w:rsidRDefault="005A37F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Pr>
          <w:rFonts w:eastAsia="Verdana" w:cs="Cambria"/>
          <w:i w:val="0"/>
          <w:color w:val="000000"/>
          <w:u w:color="000000"/>
          <w:lang w:eastAsia="x-none"/>
        </w:rPr>
        <w:t>Finalmente,</w:t>
      </w:r>
      <w:r w:rsidR="00C42183" w:rsidRPr="005A37F3">
        <w:rPr>
          <w:rFonts w:eastAsia="Verdana" w:cs="Cambria"/>
          <w:color w:val="000000"/>
          <w:u w:color="000000"/>
          <w:lang w:eastAsia="x-none"/>
        </w:rPr>
        <w:t xml:space="preserve"> </w:t>
      </w:r>
      <w:r w:rsidR="00C42183" w:rsidRPr="005A37F3">
        <w:rPr>
          <w:rFonts w:eastAsia="Verdana" w:cs="Cambria"/>
          <w:i w:val="0"/>
          <w:color w:val="000000"/>
          <w:u w:color="000000"/>
          <w:lang w:eastAsia="x-none"/>
        </w:rPr>
        <w:t>el 29 de enero de 2003 la Corte de Constitucionalidad resolvió que la acción intentada por los accionantes quedó sin materia, pues había cesado la conducta reclamada, por lo que la declaró “simplemente improcedente”. La Corte de Constitucionalidad advirtió que los postulantes, en memorial de 30 de octubre de 2002, manifestaron que la transferencia de recursos que el Presidente ofreció hab</w:t>
      </w:r>
      <w:r w:rsidR="001D40BB">
        <w:rPr>
          <w:rFonts w:eastAsia="Verdana" w:cs="Cambria"/>
          <w:i w:val="0"/>
          <w:color w:val="000000"/>
          <w:u w:color="000000"/>
          <w:lang w:eastAsia="x-none"/>
        </w:rPr>
        <w:t>ía sido efectivamente realizada (</w:t>
      </w:r>
      <w:r w:rsidR="001D40BB" w:rsidRPr="00C51C1D">
        <w:rPr>
          <w:rFonts w:eastAsia="Verdana" w:cs="Cambria"/>
          <w:color w:val="000000"/>
          <w:u w:color="000000"/>
          <w:lang w:eastAsia="x-none"/>
        </w:rPr>
        <w:t>supra</w:t>
      </w:r>
      <w:r w:rsidR="001D40BB">
        <w:rPr>
          <w:rFonts w:eastAsia="Verdana" w:cs="Cambria"/>
          <w:i w:val="0"/>
          <w:color w:val="000000"/>
          <w:u w:color="000000"/>
          <w:lang w:eastAsia="x-none"/>
        </w:rPr>
        <w:t xml:space="preserve"> párr.</w:t>
      </w:r>
      <w:r w:rsidR="00C42183" w:rsidRPr="005A37F3">
        <w:rPr>
          <w:rFonts w:eastAsia="Verdana" w:cs="Cambria"/>
          <w:i w:val="0"/>
          <w:color w:val="000000"/>
          <w:u w:color="000000"/>
          <w:lang w:eastAsia="x-none"/>
        </w:rPr>
        <w:t xml:space="preserve"> </w:t>
      </w:r>
      <w:r w:rsidR="00C51C1D">
        <w:rPr>
          <w:rFonts w:eastAsia="Verdana" w:cs="Cambria"/>
          <w:i w:val="0"/>
          <w:color w:val="000000"/>
          <w:u w:color="000000"/>
          <w:lang w:eastAsia="x-none"/>
        </w:rPr>
        <w:t>62</w:t>
      </w:r>
      <w:r w:rsidR="00C42183" w:rsidRPr="005A37F3">
        <w:rPr>
          <w:rFonts w:eastAsia="Verdana" w:cs="Cambria"/>
          <w:i w:val="0"/>
          <w:color w:val="000000"/>
          <w:u w:color="000000"/>
          <w:lang w:eastAsia="x-none"/>
        </w:rPr>
        <w:t>)</w:t>
      </w:r>
      <w:r w:rsidR="001D40BB">
        <w:rPr>
          <w:rFonts w:eastAsia="Verdana" w:cs="Cambria"/>
          <w:i w:val="0"/>
          <w:color w:val="000000"/>
          <w:u w:color="000000"/>
          <w:lang w:eastAsia="x-none"/>
        </w:rPr>
        <w:t>.</w:t>
      </w:r>
    </w:p>
    <w:p w14:paraId="3E9A0621" w14:textId="77777777" w:rsidR="008E387F" w:rsidRPr="005A37F3"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61368271" w14:textId="0D22763C" w:rsidR="00C42183" w:rsidRPr="0060216C" w:rsidRDefault="00C42183" w:rsidP="00E92CA8">
      <w:pPr>
        <w:pStyle w:val="Estilo1"/>
        <w:numPr>
          <w:ilvl w:val="0"/>
          <w:numId w:val="3"/>
        </w:numPr>
        <w:tabs>
          <w:tab w:val="left" w:pos="709"/>
          <w:tab w:val="left" w:pos="1134"/>
        </w:tabs>
        <w:spacing w:after="0"/>
        <w:ind w:left="0" w:right="-4" w:firstLine="0"/>
        <w:rPr>
          <w:rFonts w:eastAsia="Verdana" w:cs="Cambria"/>
          <w:i w:val="0"/>
          <w:color w:val="000000"/>
          <w:u w:color="000000"/>
          <w:lang w:eastAsia="x-none"/>
        </w:rPr>
      </w:pPr>
      <w:r w:rsidRPr="0060216C">
        <w:rPr>
          <w:rFonts w:eastAsia="Verdana" w:cs="Cambria"/>
          <w:i w:val="0"/>
          <w:color w:val="000000"/>
          <w:u w:color="000000"/>
          <w:lang w:eastAsia="x-none"/>
        </w:rPr>
        <w:t xml:space="preserve">En consideración de lo anterior, la Corte procederá a calificar si las actuaciones del Tribunal Constitucional constituyeron una violación al derecho a las garantías judiciales y a la protección judicial de las presuntas víctimas. En concreto, el Tribunal determinará si el recurso intentado ante </w:t>
      </w:r>
      <w:r w:rsidR="001D40BB">
        <w:rPr>
          <w:rFonts w:eastAsia="Verdana" w:cs="Cambria"/>
          <w:i w:val="0"/>
          <w:color w:val="000000"/>
          <w:u w:color="000000"/>
          <w:lang w:eastAsia="x-none"/>
        </w:rPr>
        <w:t xml:space="preserve">la Corte de Constitucionalidad </w:t>
      </w:r>
      <w:r w:rsidRPr="0060216C">
        <w:rPr>
          <w:rFonts w:eastAsia="Verdana" w:cs="Cambria"/>
          <w:i w:val="0"/>
          <w:color w:val="000000"/>
          <w:u w:color="000000"/>
          <w:lang w:eastAsia="x-none"/>
        </w:rPr>
        <w:t>i) cumplió con los requisitos</w:t>
      </w:r>
      <w:r w:rsidR="001D40BB">
        <w:rPr>
          <w:rFonts w:eastAsia="Verdana" w:cs="Cambria"/>
          <w:i w:val="0"/>
          <w:color w:val="000000"/>
          <w:u w:color="000000"/>
          <w:lang w:eastAsia="x-none"/>
        </w:rPr>
        <w:t xml:space="preserve"> de idoneidad y efectividad, y </w:t>
      </w:r>
      <w:r w:rsidRPr="0060216C">
        <w:rPr>
          <w:rFonts w:eastAsia="Verdana" w:cs="Cambria"/>
          <w:i w:val="0"/>
          <w:color w:val="000000"/>
          <w:u w:color="000000"/>
          <w:lang w:eastAsia="x-none"/>
        </w:rPr>
        <w:t>ii) si fue resuelto en un plazo razonable.</w:t>
      </w:r>
    </w:p>
    <w:p w14:paraId="79089773" w14:textId="77777777" w:rsidR="00EE1E0E" w:rsidRDefault="00EE1E0E" w:rsidP="00E92CA8">
      <w:pPr>
        <w:rPr>
          <w:b/>
          <w:i/>
          <w:u w:color="000000"/>
        </w:rPr>
      </w:pPr>
    </w:p>
    <w:p w14:paraId="72709FBC" w14:textId="58AE38FF" w:rsidR="00C42183" w:rsidRPr="000B26F9" w:rsidRDefault="000B26F9" w:rsidP="000B26F9">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C42183" w:rsidRPr="000B26F9">
        <w:rPr>
          <w:rFonts w:eastAsia="Times" w:cs="Arial"/>
          <w:b/>
          <w:szCs w:val="20"/>
          <w:lang w:val="es-MX"/>
        </w:rPr>
        <w:t>B.1</w:t>
      </w:r>
      <w:r w:rsidR="00762208" w:rsidRPr="000B26F9">
        <w:rPr>
          <w:rFonts w:eastAsia="Times" w:cs="Arial"/>
          <w:b/>
          <w:szCs w:val="20"/>
          <w:lang w:val="es-MX"/>
        </w:rPr>
        <w:t>.</w:t>
      </w:r>
      <w:r w:rsidR="00C42183" w:rsidRPr="000B26F9">
        <w:rPr>
          <w:rFonts w:eastAsia="Times" w:cs="Arial"/>
          <w:b/>
          <w:szCs w:val="20"/>
          <w:lang w:val="es-MX"/>
        </w:rPr>
        <w:t xml:space="preserve"> Idoneidad y efectividad de la acción de amparo interpuesta</w:t>
      </w:r>
    </w:p>
    <w:p w14:paraId="2462D0DE" w14:textId="77777777" w:rsidR="008E387F" w:rsidRPr="008E387F" w:rsidRDefault="008E387F" w:rsidP="008E387F">
      <w:pPr>
        <w:rPr>
          <w:lang w:val="es-CR"/>
        </w:rPr>
      </w:pPr>
    </w:p>
    <w:p w14:paraId="36E5A4BE" w14:textId="419CAF0D" w:rsidR="00C42183"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eastAsia="Verdana" w:cs="Cambria"/>
          <w:bCs/>
          <w:i w:val="0"/>
          <w:color w:val="000000"/>
          <w:u w:color="000000"/>
          <w:lang w:eastAsia="x-none"/>
        </w:rPr>
        <w:t xml:space="preserve">En primer lugar, corresponde determinar si la decisión de la Corte de Constitucionalidad cumplió con los requisitos de idoneidad y efectividad conforme a los estándares convencionales. En ese sentido, la Corte recuerda que del derecho a un recurso efectivo se desprende la obligación de la autoridad competente de examinar las razones invocadas por un demandante, de manifestarse expresamente sobre ellas, y de verificar el cumplimiento de sus fallos. Sin embargo, esta obligación no implica que la efectividad de un recurso se mida en función de que éste produzca un resultado favorable para el demandante. La obligación del Estado de garantizar este derecho es una obligación de medios o comportamiento, por lo que, en el presente caso, el hecho de que la Corte de Constitucionalidad </w:t>
      </w:r>
      <w:r w:rsidRPr="0060216C">
        <w:rPr>
          <w:rFonts w:cs="Verdana"/>
          <w:bCs/>
          <w:i w:val="0"/>
          <w:iCs/>
        </w:rPr>
        <w:t>no arribara a la conclusión jurídica que deseaban los accionantes, no constituye per se una violación al derecho de acceso a la justicia.</w:t>
      </w:r>
      <w:r w:rsidRPr="0060216C">
        <w:rPr>
          <w:rFonts w:eastAsia="Verdana" w:cs="Cambria"/>
          <w:bCs/>
          <w:i w:val="0"/>
          <w:color w:val="000000"/>
          <w:u w:color="000000"/>
          <w:lang w:eastAsia="x-none"/>
        </w:rPr>
        <w:t xml:space="preserve"> Sin perjuicio de ello, la Corte recuerda que, en virtud del artículo 8.1 de la Convención, las autoridades competentes tienen la obligación de motivar sus decisiones (</w:t>
      </w:r>
      <w:r w:rsidRPr="00C51C1D">
        <w:rPr>
          <w:rFonts w:eastAsia="Verdana" w:cs="Cambria"/>
          <w:bCs/>
          <w:color w:val="000000"/>
          <w:u w:color="000000"/>
          <w:lang w:eastAsia="x-none"/>
        </w:rPr>
        <w:t>supra</w:t>
      </w:r>
      <w:r w:rsidRPr="0060216C">
        <w:rPr>
          <w:rFonts w:eastAsia="Verdana" w:cs="Cambria"/>
          <w:bCs/>
          <w:i w:val="0"/>
          <w:color w:val="000000"/>
          <w:u w:color="000000"/>
          <w:lang w:eastAsia="x-none"/>
        </w:rPr>
        <w:t xml:space="preserve"> párr.</w:t>
      </w:r>
      <w:r w:rsidR="007972C3">
        <w:rPr>
          <w:rFonts w:eastAsia="Verdana" w:cs="Cambria"/>
          <w:bCs/>
          <w:i w:val="0"/>
          <w:color w:val="000000"/>
          <w:u w:color="000000"/>
          <w:lang w:eastAsia="x-none"/>
        </w:rPr>
        <w:t xml:space="preserve"> </w:t>
      </w:r>
      <w:r w:rsidR="00C51C1D">
        <w:rPr>
          <w:rFonts w:eastAsia="Verdana" w:cs="Cambria"/>
          <w:bCs/>
          <w:i w:val="0"/>
          <w:color w:val="000000"/>
          <w:u w:color="000000"/>
          <w:lang w:eastAsia="x-none"/>
        </w:rPr>
        <w:t>17</w:t>
      </w:r>
      <w:r w:rsidR="00462F6A">
        <w:rPr>
          <w:rFonts w:eastAsia="Verdana" w:cs="Cambria"/>
          <w:bCs/>
          <w:i w:val="0"/>
          <w:color w:val="000000"/>
          <w:u w:color="000000"/>
          <w:lang w:eastAsia="x-none"/>
        </w:rPr>
        <w:t>1</w:t>
      </w:r>
      <w:r w:rsidRPr="0060216C">
        <w:rPr>
          <w:rFonts w:eastAsia="Verdana" w:cs="Cambria"/>
          <w:bCs/>
          <w:i w:val="0"/>
          <w:color w:val="000000"/>
          <w:u w:color="000000"/>
          <w:lang w:eastAsia="x-none"/>
        </w:rPr>
        <w:t>).</w:t>
      </w:r>
    </w:p>
    <w:p w14:paraId="22EB58B0"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1D200E0D" w14:textId="07393F20" w:rsidR="00C42183"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cs="Verdana"/>
          <w:bCs/>
          <w:i w:val="0"/>
          <w:iCs/>
        </w:rPr>
        <w:t xml:space="preserve">Este Tribunal constata que, en su sentencia de 29 de enero de 2003, la Corte de Constitucionalidad se limitó a analizar si podría considerarse que el acuerdo de 30 de octubre de 2002 había cesado el acto reclamado, en tanto había </w:t>
      </w:r>
      <w:r w:rsidR="00EF4AC3" w:rsidRPr="0060216C">
        <w:rPr>
          <w:rFonts w:cs="Verdana"/>
          <w:bCs/>
          <w:i w:val="0"/>
          <w:iCs/>
        </w:rPr>
        <w:t>constituido</w:t>
      </w:r>
      <w:r w:rsidRPr="0060216C">
        <w:rPr>
          <w:rFonts w:cs="Verdana"/>
          <w:bCs/>
          <w:i w:val="0"/>
          <w:iCs/>
        </w:rPr>
        <w:t xml:space="preserve"> una respuesta por parte del Presidente a la solicitud de los accionantes. Al respecto, este Tribunal advierte que la Corte </w:t>
      </w:r>
      <w:r w:rsidRPr="0060216C">
        <w:rPr>
          <w:rFonts w:cs="Verdana"/>
          <w:bCs/>
          <w:i w:val="0"/>
          <w:iCs/>
        </w:rPr>
        <w:lastRenderedPageBreak/>
        <w:t xml:space="preserve">de Constitucionalidad </w:t>
      </w:r>
      <w:r w:rsidR="00EF4AC3">
        <w:rPr>
          <w:rFonts w:cs="Verdana"/>
          <w:bCs/>
          <w:i w:val="0"/>
          <w:iCs/>
        </w:rPr>
        <w:t>no tomó en consideración que, au</w:t>
      </w:r>
      <w:r w:rsidRPr="0060216C">
        <w:rPr>
          <w:rFonts w:cs="Verdana"/>
          <w:bCs/>
          <w:i w:val="0"/>
          <w:iCs/>
        </w:rPr>
        <w:t xml:space="preserve">n cuando el acto reclamado por las presuntas víctimas consistió en la conducta omisiva del Presidente respecto a su petición, </w:t>
      </w:r>
      <w:r w:rsidRPr="0060216C">
        <w:rPr>
          <w:rFonts w:eastAsia="Verdana" w:cs="Cambria"/>
          <w:bCs/>
          <w:i w:val="0"/>
          <w:color w:val="000000"/>
          <w:u w:color="000000"/>
          <w:lang w:eastAsia="x-none"/>
        </w:rPr>
        <w:t xml:space="preserve">los accionantes también reclamaron que la falta de tratamiento médico </w:t>
      </w:r>
      <w:r w:rsidR="007972C3">
        <w:rPr>
          <w:rFonts w:eastAsia="Verdana" w:cs="Cambria"/>
          <w:bCs/>
          <w:i w:val="0"/>
          <w:color w:val="000000"/>
          <w:u w:color="000000"/>
          <w:lang w:eastAsia="x-none"/>
        </w:rPr>
        <w:t>ponía</w:t>
      </w:r>
      <w:r w:rsidRPr="0060216C">
        <w:rPr>
          <w:rFonts w:eastAsia="Verdana" w:cs="Cambria"/>
          <w:bCs/>
          <w:i w:val="0"/>
          <w:color w:val="000000"/>
          <w:u w:color="000000"/>
          <w:lang w:eastAsia="x-none"/>
        </w:rPr>
        <w:t xml:space="preserve"> en peligro su derecho a la vida y a la salud por la falta de acceso a antir</w:t>
      </w:r>
      <w:r w:rsidR="00461BB6">
        <w:rPr>
          <w:rFonts w:eastAsia="Verdana" w:cs="Cambria"/>
          <w:bCs/>
          <w:i w:val="0"/>
          <w:color w:val="000000"/>
          <w:u w:color="000000"/>
          <w:lang w:eastAsia="x-none"/>
        </w:rPr>
        <w:t>r</w:t>
      </w:r>
      <w:r w:rsidRPr="0060216C">
        <w:rPr>
          <w:rFonts w:eastAsia="Verdana" w:cs="Cambria"/>
          <w:bCs/>
          <w:i w:val="0"/>
          <w:color w:val="000000"/>
          <w:u w:color="000000"/>
          <w:lang w:eastAsia="x-none"/>
        </w:rPr>
        <w:t>etrovirales. En ese sentido, este Tribunal advierte la insuficiencia de la respuesta de la Corte de Constitucionalidad, pues no bastaba que se pronunciara respecto a la omisión del Presidente de responder la solicitud de los accionantes, sino que era necesario que se pronunciara sobre el aspecto central que motivó la presentación del amparo, que era el riesgo que existía al derecho a la salud y a la vida de los accionantes por la falta de acceso a tratamiento médico.</w:t>
      </w:r>
    </w:p>
    <w:p w14:paraId="37D47B8B"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1B00EEDC" w14:textId="0E98E9C2" w:rsidR="00C42183" w:rsidRPr="008E387F"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cs="Verdana"/>
          <w:bCs/>
          <w:i w:val="0"/>
          <w:iCs/>
        </w:rPr>
        <w:t xml:space="preserve">Asimismo, la Corte advierte que la Corte de Constitucionalidad no exteriorizó la justificación por la cual consideró que la </w:t>
      </w:r>
      <w:r w:rsidR="00415397">
        <w:rPr>
          <w:rFonts w:cs="Verdana"/>
          <w:bCs/>
          <w:i w:val="0"/>
          <w:iCs/>
        </w:rPr>
        <w:t>medida tomada por el Presidente</w:t>
      </w:r>
      <w:r w:rsidRPr="0060216C">
        <w:rPr>
          <w:rFonts w:cs="Verdana"/>
          <w:bCs/>
          <w:i w:val="0"/>
          <w:iCs/>
        </w:rPr>
        <w:t xml:space="preserve"> de destinar quinientos mil quetzales para la </w:t>
      </w:r>
      <w:r w:rsidR="00415397" w:rsidRPr="0060216C">
        <w:rPr>
          <w:rFonts w:cs="Verdana"/>
          <w:bCs/>
          <w:i w:val="0"/>
          <w:iCs/>
        </w:rPr>
        <w:t>atención</w:t>
      </w:r>
      <w:r w:rsidRPr="0060216C">
        <w:rPr>
          <w:rFonts w:cs="Verdana"/>
          <w:bCs/>
          <w:i w:val="0"/>
          <w:iCs/>
        </w:rPr>
        <w:t xml:space="preserve"> medica de las personas que viven con</w:t>
      </w:r>
      <w:r w:rsidR="007972C3">
        <w:rPr>
          <w:rFonts w:cs="Verdana"/>
          <w:bCs/>
          <w:i w:val="0"/>
          <w:iCs/>
        </w:rPr>
        <w:t xml:space="preserve"> el</w:t>
      </w:r>
      <w:r w:rsidRPr="0060216C">
        <w:rPr>
          <w:rFonts w:cs="Verdana"/>
          <w:bCs/>
          <w:i w:val="0"/>
          <w:iCs/>
        </w:rPr>
        <w:t xml:space="preserve"> VIH, era suficiente para considerar que </w:t>
      </w:r>
      <w:r w:rsidR="00415397" w:rsidRPr="0060216C">
        <w:rPr>
          <w:rFonts w:cs="Verdana"/>
          <w:bCs/>
          <w:i w:val="0"/>
          <w:iCs/>
        </w:rPr>
        <w:t>había</w:t>
      </w:r>
      <w:r w:rsidRPr="0060216C">
        <w:rPr>
          <w:rFonts w:cs="Verdana"/>
          <w:bCs/>
          <w:i w:val="0"/>
          <w:iCs/>
        </w:rPr>
        <w:t xml:space="preserve"> cesado la </w:t>
      </w:r>
      <w:r w:rsidR="00415397" w:rsidRPr="0060216C">
        <w:rPr>
          <w:rFonts w:cs="Verdana"/>
          <w:bCs/>
          <w:i w:val="0"/>
          <w:iCs/>
        </w:rPr>
        <w:t>cuestión</w:t>
      </w:r>
      <w:r w:rsidRPr="0060216C">
        <w:rPr>
          <w:rFonts w:cs="Verdana"/>
          <w:bCs/>
          <w:i w:val="0"/>
          <w:iCs/>
        </w:rPr>
        <w:t xml:space="preserve"> de </w:t>
      </w:r>
      <w:r w:rsidR="00415397" w:rsidRPr="0060216C">
        <w:rPr>
          <w:rFonts w:cs="Verdana"/>
          <w:bCs/>
          <w:i w:val="0"/>
          <w:iCs/>
        </w:rPr>
        <w:t>constitucionalidad</w:t>
      </w:r>
      <w:r w:rsidRPr="0060216C">
        <w:rPr>
          <w:rFonts w:cs="Verdana"/>
          <w:bCs/>
          <w:i w:val="0"/>
          <w:iCs/>
        </w:rPr>
        <w:t xml:space="preserve"> planteada en el fondo. Tal y como se mencionó con anterioridad, las presuntas víctimas no sólo se </w:t>
      </w:r>
      <w:r w:rsidR="00415397" w:rsidRPr="0060216C">
        <w:rPr>
          <w:rFonts w:cs="Verdana"/>
          <w:bCs/>
          <w:i w:val="0"/>
          <w:iCs/>
        </w:rPr>
        <w:t>inconformaron</w:t>
      </w:r>
      <w:r w:rsidRPr="0060216C">
        <w:rPr>
          <w:rFonts w:cs="Verdana"/>
          <w:bCs/>
          <w:i w:val="0"/>
          <w:iCs/>
        </w:rPr>
        <w:t xml:space="preserve"> con la omisión del Presidente de dar contestación a su carta, sino que en dicha comunicación solicitaron atención médica y tratamiento antirretroviral para las personas diagnosticadas con</w:t>
      </w:r>
      <w:r w:rsidR="00D92087">
        <w:rPr>
          <w:rFonts w:cs="Verdana"/>
          <w:bCs/>
          <w:i w:val="0"/>
          <w:iCs/>
        </w:rPr>
        <w:t xml:space="preserve"> el</w:t>
      </w:r>
      <w:r w:rsidRPr="0060216C">
        <w:rPr>
          <w:rFonts w:cs="Verdana"/>
          <w:bCs/>
          <w:i w:val="0"/>
          <w:iCs/>
        </w:rPr>
        <w:t xml:space="preserve"> VIH, lo cual debió ser materia de estudio por la Corte de Constitucionalidad. En concreto, dicha Corte debió analizar si la medida planteada por el Presidente era efectiva para gara</w:t>
      </w:r>
      <w:r w:rsidR="00415397">
        <w:rPr>
          <w:rFonts w:cs="Verdana"/>
          <w:bCs/>
          <w:i w:val="0"/>
          <w:iCs/>
        </w:rPr>
        <w:t>ntizar los derechos en juego</w:t>
      </w:r>
      <w:r w:rsidR="008E387F">
        <w:rPr>
          <w:rFonts w:cs="Verdana"/>
          <w:bCs/>
          <w:i w:val="0"/>
          <w:iCs/>
        </w:rPr>
        <w:t>.</w:t>
      </w:r>
    </w:p>
    <w:p w14:paraId="3FC9C56E"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469BC7F8" w14:textId="33CC7D8E" w:rsidR="00C42183" w:rsidRPr="00360392"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cs="Verdana"/>
          <w:bCs/>
          <w:i w:val="0"/>
          <w:iCs/>
        </w:rPr>
        <w:t>En relación con lo anterior, la Corte recuerda que el requisito de que una decisión sea razonada no es equivalente a que haya un análisis sobre el fondo del asunto, estudio que no es imprescindible para determinar la efectividad del recurso</w:t>
      </w:r>
      <w:r w:rsidRPr="0060216C">
        <w:rPr>
          <w:rFonts w:cs="Verdana"/>
          <w:bCs/>
          <w:i w:val="0"/>
          <w:iCs/>
          <w:vertAlign w:val="superscript"/>
        </w:rPr>
        <w:footnoteReference w:id="216"/>
      </w:r>
      <w:r w:rsidRPr="0060216C">
        <w:rPr>
          <w:rFonts w:cs="Verdana"/>
          <w:bCs/>
          <w:i w:val="0"/>
          <w:iCs/>
        </w:rPr>
        <w:t>. Sin embargo, la argumentación de un fallo debe permitir conocer cuáles fueron los hechos, motivos y normas en que se basó la autoridad para tomar su decisión, de manera clara y expresa, a fin de descartar cualquier indicio de arbitrariedad, situación que no ocurrió en el presente caso. El Tribunal Europeo ha considerado que un recurso “es efectivo por contar con una revisión judicial suficiente [,] aun cuando el órgano judicial no estuviere facultado para analizar todos los aspectos de una decisión administrativa, si aquél es capaz de anular dicha decisión bajo distintos supuestos, entre ellos una incorrecta interpretación de los hechos o de la ley”</w:t>
      </w:r>
      <w:r w:rsidRPr="0060216C">
        <w:rPr>
          <w:rFonts w:cs="Verdana"/>
          <w:bCs/>
          <w:i w:val="0"/>
          <w:iCs/>
          <w:vertAlign w:val="superscript"/>
        </w:rPr>
        <w:footnoteReference w:id="217"/>
      </w:r>
      <w:r w:rsidRPr="0060216C">
        <w:rPr>
          <w:rFonts w:cs="Verdana"/>
          <w:bCs/>
          <w:i w:val="0"/>
          <w:iCs/>
        </w:rPr>
        <w:t>.</w:t>
      </w:r>
    </w:p>
    <w:p w14:paraId="7384243F" w14:textId="77777777" w:rsidR="00EE1E0E" w:rsidRDefault="00EE1E0E" w:rsidP="00E92CA8">
      <w:pPr>
        <w:rPr>
          <w:u w:color="000000"/>
        </w:rPr>
      </w:pPr>
    </w:p>
    <w:p w14:paraId="52C0473D" w14:textId="01B18634" w:rsidR="00C42183" w:rsidRDefault="000B26F9" w:rsidP="000B26F9">
      <w:pPr>
        <w:pStyle w:val="Estilo1"/>
        <w:tabs>
          <w:tab w:val="left" w:pos="709"/>
          <w:tab w:val="left" w:pos="1134"/>
        </w:tabs>
        <w:spacing w:after="0"/>
        <w:ind w:left="0" w:right="-4" w:firstLine="0"/>
        <w:rPr>
          <w:u w:color="000000"/>
        </w:rPr>
      </w:pPr>
      <w:r>
        <w:rPr>
          <w:rFonts w:eastAsia="Times" w:cs="Arial"/>
          <w:b/>
          <w:szCs w:val="20"/>
          <w:lang w:val="es-MX"/>
        </w:rPr>
        <w:tab/>
      </w:r>
      <w:r>
        <w:rPr>
          <w:rFonts w:eastAsia="Times" w:cs="Arial"/>
          <w:b/>
          <w:szCs w:val="20"/>
          <w:lang w:val="es-MX"/>
        </w:rPr>
        <w:tab/>
      </w:r>
      <w:r w:rsidR="00C42183" w:rsidRPr="000B26F9">
        <w:rPr>
          <w:rFonts w:eastAsia="Times" w:cs="Arial"/>
          <w:b/>
          <w:szCs w:val="20"/>
          <w:lang w:val="es-MX"/>
        </w:rPr>
        <w:t>B.2</w:t>
      </w:r>
      <w:r w:rsidR="00762208" w:rsidRPr="000B26F9">
        <w:rPr>
          <w:rFonts w:eastAsia="Times" w:cs="Arial"/>
          <w:b/>
          <w:szCs w:val="20"/>
          <w:lang w:val="es-MX"/>
        </w:rPr>
        <w:t>.</w:t>
      </w:r>
      <w:r w:rsidR="00C42183" w:rsidRPr="000B26F9">
        <w:rPr>
          <w:rFonts w:eastAsia="Times" w:cs="Arial"/>
          <w:b/>
          <w:szCs w:val="20"/>
          <w:lang w:val="es-MX"/>
        </w:rPr>
        <w:t xml:space="preserve"> Plazo razonable</w:t>
      </w:r>
    </w:p>
    <w:p w14:paraId="44AD7B96" w14:textId="77777777" w:rsidR="008E387F" w:rsidRPr="008E387F" w:rsidRDefault="008E387F" w:rsidP="008E387F">
      <w:pPr>
        <w:rPr>
          <w:lang w:val="es-CR"/>
        </w:rPr>
      </w:pPr>
    </w:p>
    <w:p w14:paraId="1D79C728" w14:textId="221D298D" w:rsidR="00C42183" w:rsidRPr="008E387F"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cs="Verdana"/>
          <w:bCs/>
          <w:i w:val="0"/>
          <w:iCs/>
        </w:rPr>
        <w:t>La Comisión y los representantes alegaron que el Estado habría violado el plazo razonable establecido en el artículo 8.1. Al respecto, este Tribunal ha reiterado que la evaluación del plazo razonable se debe analizar en cada caso concreto, en relación con la duración total del proceso, desde el primer acto procesal hasta que se dicta sentencia definitiva</w:t>
      </w:r>
      <w:r w:rsidRPr="0060216C">
        <w:rPr>
          <w:rFonts w:cs="Verdana"/>
          <w:bCs/>
          <w:i w:val="0"/>
          <w:iCs/>
          <w:sz w:val="16"/>
          <w:szCs w:val="16"/>
          <w:vertAlign w:val="superscript"/>
        </w:rPr>
        <w:footnoteReference w:id="218"/>
      </w:r>
      <w:r w:rsidRPr="0060216C">
        <w:rPr>
          <w:rFonts w:cs="Verdana"/>
          <w:bCs/>
          <w:i w:val="0"/>
          <w:iCs/>
        </w:rPr>
        <w:t>. De esta manera, ha considerado cuatro elementos para analizar si se cumplió con la garantía del</w:t>
      </w:r>
      <w:r w:rsidR="002B7CD7">
        <w:rPr>
          <w:rFonts w:cs="Verdana"/>
          <w:bCs/>
          <w:i w:val="0"/>
          <w:iCs/>
        </w:rPr>
        <w:t xml:space="preserve"> plazo razonable, a sabe</w:t>
      </w:r>
      <w:r w:rsidR="00462F6A">
        <w:rPr>
          <w:rFonts w:cs="Verdana"/>
          <w:bCs/>
          <w:i w:val="0"/>
          <w:iCs/>
        </w:rPr>
        <w:t>r: i) la complejidad del asunto,</w:t>
      </w:r>
      <w:r w:rsidR="002B7CD7">
        <w:rPr>
          <w:rFonts w:cs="Verdana"/>
          <w:bCs/>
          <w:i w:val="0"/>
          <w:iCs/>
        </w:rPr>
        <w:t xml:space="preserve"> ii</w:t>
      </w:r>
      <w:r w:rsidRPr="0060216C">
        <w:rPr>
          <w:rFonts w:cs="Verdana"/>
          <w:bCs/>
          <w:i w:val="0"/>
          <w:iCs/>
        </w:rPr>
        <w:t>) la acti</w:t>
      </w:r>
      <w:r w:rsidR="00462F6A">
        <w:rPr>
          <w:rFonts w:cs="Verdana"/>
          <w:bCs/>
          <w:i w:val="0"/>
          <w:iCs/>
        </w:rPr>
        <w:t>vidad procesal del interesado,</w:t>
      </w:r>
      <w:r w:rsidR="002B7CD7">
        <w:rPr>
          <w:rFonts w:cs="Verdana"/>
          <w:bCs/>
          <w:i w:val="0"/>
          <w:iCs/>
        </w:rPr>
        <w:t xml:space="preserve"> iii</w:t>
      </w:r>
      <w:r w:rsidRPr="0060216C">
        <w:rPr>
          <w:rFonts w:cs="Verdana"/>
          <w:bCs/>
          <w:i w:val="0"/>
          <w:iCs/>
        </w:rPr>
        <w:t>) la conducta de</w:t>
      </w:r>
      <w:r w:rsidR="00462F6A">
        <w:rPr>
          <w:rFonts w:cs="Verdana"/>
          <w:bCs/>
          <w:i w:val="0"/>
          <w:iCs/>
        </w:rPr>
        <w:t xml:space="preserve"> las autoridades judiciales,</w:t>
      </w:r>
      <w:r w:rsidR="002B7CD7">
        <w:rPr>
          <w:rFonts w:cs="Verdana"/>
          <w:bCs/>
          <w:i w:val="0"/>
          <w:iCs/>
        </w:rPr>
        <w:t xml:space="preserve"> y iv</w:t>
      </w:r>
      <w:r w:rsidRPr="0060216C">
        <w:rPr>
          <w:rFonts w:cs="Verdana"/>
          <w:bCs/>
          <w:i w:val="0"/>
          <w:iCs/>
        </w:rPr>
        <w:t xml:space="preserve">) la afectación generada en la situación jurídica de la persona involucrada en el proceso. La Corte recuerda </w:t>
      </w:r>
      <w:r w:rsidRPr="0060216C">
        <w:rPr>
          <w:rFonts w:cs="Verdana"/>
          <w:bCs/>
          <w:i w:val="0"/>
          <w:iCs/>
        </w:rPr>
        <w:lastRenderedPageBreak/>
        <w:t>que 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Pr="0060216C">
        <w:rPr>
          <w:rFonts w:cs="Verdana"/>
          <w:bCs/>
          <w:i w:val="0"/>
          <w:iCs/>
          <w:sz w:val="16"/>
          <w:szCs w:val="16"/>
          <w:vertAlign w:val="superscript"/>
        </w:rPr>
        <w:footnoteReference w:id="219"/>
      </w:r>
      <w:r w:rsidRPr="0060216C">
        <w:rPr>
          <w:rFonts w:cs="Verdana"/>
          <w:bCs/>
          <w:i w:val="0"/>
          <w:iCs/>
        </w:rPr>
        <w:t>.</w:t>
      </w:r>
    </w:p>
    <w:p w14:paraId="3BA05A1B"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3D5BC0EF" w14:textId="7EBA3A0E" w:rsidR="00C42183"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cs="Verdana"/>
          <w:bCs/>
          <w:i w:val="0"/>
          <w:iCs/>
        </w:rPr>
        <w:t xml:space="preserve">En el presente caso, la Corte constata que la </w:t>
      </w:r>
      <w:r w:rsidR="00415397" w:rsidRPr="0060216C">
        <w:rPr>
          <w:rFonts w:cs="Verdana"/>
          <w:bCs/>
          <w:i w:val="0"/>
          <w:iCs/>
        </w:rPr>
        <w:t>acción</w:t>
      </w:r>
      <w:r w:rsidRPr="0060216C">
        <w:rPr>
          <w:rFonts w:cs="Verdana"/>
          <w:bCs/>
          <w:i w:val="0"/>
          <w:iCs/>
        </w:rPr>
        <w:t xml:space="preserve"> de amparo fue presentada </w:t>
      </w:r>
      <w:r w:rsidRPr="0060216C">
        <w:rPr>
          <w:rFonts w:eastAsia="Verdana" w:cs="Cambria"/>
          <w:bCs/>
          <w:i w:val="0"/>
          <w:color w:val="000000"/>
          <w:u w:color="000000"/>
          <w:lang w:eastAsia="x-none"/>
        </w:rPr>
        <w:t>el 26 de julio de 2002 y concluyó con la resolución de improcedencia de 29 de enero de 2003, por lo que la duración del proceso fue de aproximadamente seis meses. En vista de lo anterior, la Corte entrará ahora a determinar si el plazo transcurrido es razonable conforme a los criterios est</w:t>
      </w:r>
      <w:r w:rsidR="008E387F">
        <w:rPr>
          <w:rFonts w:eastAsia="Verdana" w:cs="Cambria"/>
          <w:bCs/>
          <w:i w:val="0"/>
          <w:color w:val="000000"/>
          <w:u w:color="000000"/>
          <w:lang w:eastAsia="x-none"/>
        </w:rPr>
        <w:t>ablecidos en su jurisprudencia.</w:t>
      </w:r>
    </w:p>
    <w:p w14:paraId="20CEC5C0"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5CA666C7" w14:textId="6BFCABF7" w:rsidR="00C42183" w:rsidRPr="00496750"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eastAsia="Verdana" w:cs="Cambria"/>
          <w:bCs/>
          <w:i w:val="0"/>
          <w:color w:val="000000"/>
          <w:u w:color="000000"/>
          <w:lang w:eastAsia="x-none"/>
        </w:rPr>
        <w:t>Este Tribunal ha tenido en cuenta diversos criterios para determinar la complejidad de un proceso. Entre ellos, la complejidad de la prueba, la pluralidad de sujetos procesales o la cantidad de víctimas, el tiempo transcurrido desde la violación</w:t>
      </w:r>
      <w:r w:rsidR="00496750">
        <w:rPr>
          <w:rFonts w:eastAsia="Verdana" w:cs="Cambria"/>
          <w:bCs/>
          <w:i w:val="0"/>
          <w:color w:val="000000"/>
          <w:u w:color="000000"/>
          <w:lang w:eastAsia="x-none"/>
        </w:rPr>
        <w:t>,</w:t>
      </w:r>
      <w:r w:rsidRPr="0060216C">
        <w:rPr>
          <w:rFonts w:eastAsia="Verdana" w:cs="Cambria"/>
          <w:bCs/>
          <w:i w:val="0"/>
          <w:color w:val="000000"/>
          <w:u w:color="000000"/>
          <w:lang w:eastAsia="x-none"/>
        </w:rPr>
        <w:t xml:space="preserve"> las características del recurso consagradas en la legislación interna y el contexto en el que ocurrió la violación</w:t>
      </w:r>
      <w:r w:rsidRPr="0060216C">
        <w:rPr>
          <w:rFonts w:eastAsia="Verdana" w:cs="Cambria"/>
          <w:bCs/>
          <w:i w:val="0"/>
          <w:color w:val="000000"/>
          <w:u w:color="000000"/>
          <w:vertAlign w:val="superscript"/>
          <w:lang w:eastAsia="x-none"/>
        </w:rPr>
        <w:footnoteReference w:id="220"/>
      </w:r>
      <w:r w:rsidRPr="0060216C">
        <w:rPr>
          <w:rFonts w:eastAsia="Verdana" w:cs="Cambria"/>
          <w:bCs/>
          <w:i w:val="0"/>
          <w:color w:val="000000"/>
          <w:u w:color="000000"/>
          <w:lang w:eastAsia="x-none"/>
        </w:rPr>
        <w:t xml:space="preserve">. </w:t>
      </w:r>
      <w:r w:rsidRPr="0060216C">
        <w:rPr>
          <w:rFonts w:eastAsia="Verdana" w:cs="Cambria"/>
          <w:bCs/>
          <w:i w:val="0"/>
          <w:color w:val="000000"/>
          <w:u w:color="000000"/>
          <w:lang w:val="es-CO" w:eastAsia="x-none"/>
        </w:rPr>
        <w:t>En el presente caso, la Corte observa que, en el marco de la acción de amparo, existía cierto nivel de complejidad respecto a la pluralidad de accionantes y debido al contexto en el que desarrolló dicho recurso, pues se trata de personas que viven con</w:t>
      </w:r>
      <w:r w:rsidR="00496750">
        <w:rPr>
          <w:rFonts w:eastAsia="Verdana" w:cs="Cambria"/>
          <w:bCs/>
          <w:i w:val="0"/>
          <w:color w:val="000000"/>
          <w:u w:color="000000"/>
          <w:lang w:val="es-CO" w:eastAsia="x-none"/>
        </w:rPr>
        <w:t xml:space="preserve"> el</w:t>
      </w:r>
      <w:r w:rsidRPr="0060216C">
        <w:rPr>
          <w:rFonts w:eastAsia="Verdana" w:cs="Cambria"/>
          <w:bCs/>
          <w:i w:val="0"/>
          <w:color w:val="000000"/>
          <w:u w:color="000000"/>
          <w:lang w:val="es-CO" w:eastAsia="x-none"/>
        </w:rPr>
        <w:t xml:space="preserve"> VIH, por lo que su salud y su vida son derechos que se encontraban de por medio. La Corte considera que esas características complejizan el análisis de fondo del asunto, así como su trámite.</w:t>
      </w:r>
    </w:p>
    <w:p w14:paraId="7DAD7030" w14:textId="77777777" w:rsidR="00496750" w:rsidRPr="0060216C" w:rsidRDefault="00496750" w:rsidP="00496750">
      <w:pPr>
        <w:pStyle w:val="Estilo1"/>
        <w:tabs>
          <w:tab w:val="left" w:pos="709"/>
          <w:tab w:val="left" w:pos="1134"/>
        </w:tabs>
        <w:spacing w:after="0"/>
        <w:ind w:left="0" w:right="-4" w:firstLine="0"/>
        <w:rPr>
          <w:rFonts w:eastAsia="Verdana" w:cs="Cambria"/>
          <w:bCs/>
          <w:i w:val="0"/>
          <w:color w:val="000000"/>
          <w:u w:color="000000"/>
          <w:lang w:eastAsia="x-none"/>
        </w:rPr>
      </w:pPr>
    </w:p>
    <w:p w14:paraId="014DB92F" w14:textId="0D088782" w:rsidR="00C42183"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eastAsia="Verdana" w:cs="Cambria"/>
          <w:bCs/>
          <w:i w:val="0"/>
          <w:color w:val="000000"/>
          <w:u w:color="000000"/>
          <w:lang w:eastAsia="x-none"/>
        </w:rPr>
        <w:t>Respecto a la actividad procesal de los interesados, la Corte nota que existió un impulso procesal promovido por las presuntas víctimas y que no hay información sobre actividades destinadas a obstaculizar la acción de amparo. Tomando en cuenta lo anterior, no es posible concluir que existió dilación por parte</w:t>
      </w:r>
      <w:r w:rsidR="008E387F">
        <w:rPr>
          <w:rFonts w:eastAsia="Verdana" w:cs="Cambria"/>
          <w:bCs/>
          <w:i w:val="0"/>
          <w:color w:val="000000"/>
          <w:u w:color="000000"/>
          <w:lang w:eastAsia="x-none"/>
        </w:rPr>
        <w:t xml:space="preserve"> de los accionistas del amparo.</w:t>
      </w:r>
    </w:p>
    <w:p w14:paraId="1B4347B7"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4BF552BA" w14:textId="295F18F8" w:rsidR="00C42183" w:rsidRPr="008E387F"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60216C">
        <w:rPr>
          <w:rFonts w:eastAsia="Verdana" w:cs="Cambria"/>
          <w:bCs/>
          <w:i w:val="0"/>
          <w:color w:val="000000"/>
          <w:u w:color="000000"/>
          <w:lang w:eastAsia="x-none"/>
        </w:rPr>
        <w:t>En atención a la conducta de las autoridades judiciales, la</w:t>
      </w:r>
      <w:r w:rsidRPr="0060216C">
        <w:rPr>
          <w:rFonts w:eastAsia="Verdana" w:cs="Cambria"/>
          <w:bCs/>
          <w:i w:val="0"/>
          <w:color w:val="000000"/>
          <w:u w:color="000000"/>
          <w:lang w:val="es-CO" w:eastAsia="x-none"/>
        </w:rPr>
        <w:t xml:space="preserve"> Corte advierte que la acción de amparo fue interpuesta el </w:t>
      </w:r>
      <w:r w:rsidR="00BA6447">
        <w:rPr>
          <w:rFonts w:eastAsia="Verdana" w:cs="Cambria"/>
          <w:bCs/>
          <w:i w:val="0"/>
          <w:color w:val="000000"/>
          <w:u w:color="000000"/>
          <w:lang w:val="es-CO" w:eastAsia="x-none"/>
        </w:rPr>
        <w:t>26</w:t>
      </w:r>
      <w:r w:rsidRPr="0060216C">
        <w:rPr>
          <w:rFonts w:eastAsia="Verdana" w:cs="Cambria"/>
          <w:bCs/>
          <w:i w:val="0"/>
          <w:color w:val="000000"/>
          <w:u w:color="000000"/>
          <w:lang w:val="es-CO" w:eastAsia="x-none"/>
        </w:rPr>
        <w:t xml:space="preserve"> de julio de 2002. Con posterioridad, mediante auto de </w:t>
      </w:r>
      <w:r w:rsidR="00BA6447">
        <w:rPr>
          <w:rFonts w:eastAsia="Verdana" w:cs="Cambria"/>
          <w:bCs/>
          <w:i w:val="0"/>
          <w:color w:val="000000"/>
          <w:u w:color="000000"/>
          <w:lang w:val="es-CO" w:eastAsia="x-none"/>
        </w:rPr>
        <w:t>18</w:t>
      </w:r>
      <w:r w:rsidRPr="0060216C">
        <w:rPr>
          <w:rFonts w:eastAsia="Verdana" w:cs="Cambria"/>
          <w:bCs/>
          <w:i w:val="0"/>
          <w:color w:val="000000"/>
          <w:u w:color="000000"/>
          <w:lang w:val="es-CO" w:eastAsia="x-none"/>
        </w:rPr>
        <w:t xml:space="preserve"> de octubre, la Corte de Constitucionalidad otorgó un término común a las partes por cuarenta y ocho horas para la exposición de sus alegatos de audiencia. Concluido dicho plazo, mediante sentencia, el </w:t>
      </w:r>
      <w:r w:rsidR="00BA6447">
        <w:rPr>
          <w:rFonts w:eastAsia="Verdana" w:cs="Cambria"/>
          <w:bCs/>
          <w:i w:val="0"/>
          <w:color w:val="000000"/>
          <w:u w:color="000000"/>
          <w:lang w:val="es-CO" w:eastAsia="x-none"/>
        </w:rPr>
        <w:t>29</w:t>
      </w:r>
      <w:r w:rsidRPr="0060216C">
        <w:rPr>
          <w:rFonts w:eastAsia="Verdana" w:cs="Cambria"/>
          <w:bCs/>
          <w:i w:val="0"/>
          <w:color w:val="000000"/>
          <w:u w:color="000000"/>
          <w:lang w:val="es-CO" w:eastAsia="x-none"/>
        </w:rPr>
        <w:t xml:space="preserve"> de </w:t>
      </w:r>
      <w:r w:rsidR="00BA6447">
        <w:rPr>
          <w:rFonts w:eastAsia="Verdana" w:cs="Cambria"/>
          <w:bCs/>
          <w:i w:val="0"/>
          <w:color w:val="000000"/>
          <w:u w:color="000000"/>
          <w:lang w:val="es-CO" w:eastAsia="x-none"/>
        </w:rPr>
        <w:t>enero</w:t>
      </w:r>
      <w:r w:rsidRPr="0060216C">
        <w:rPr>
          <w:rFonts w:eastAsia="Verdana" w:cs="Cambria"/>
          <w:bCs/>
          <w:i w:val="0"/>
          <w:color w:val="000000"/>
          <w:u w:color="000000"/>
          <w:lang w:val="es-CO" w:eastAsia="x-none"/>
        </w:rPr>
        <w:t xml:space="preserve"> de </w:t>
      </w:r>
      <w:r w:rsidR="00BA6447">
        <w:rPr>
          <w:rFonts w:eastAsia="Verdana" w:cs="Cambria"/>
          <w:bCs/>
          <w:i w:val="0"/>
          <w:color w:val="000000"/>
          <w:u w:color="000000"/>
          <w:lang w:val="es-CO" w:eastAsia="x-none"/>
        </w:rPr>
        <w:t>2003</w:t>
      </w:r>
      <w:r w:rsidRPr="0060216C">
        <w:rPr>
          <w:rFonts w:eastAsia="Verdana" w:cs="Cambria"/>
          <w:bCs/>
          <w:i w:val="0"/>
          <w:color w:val="000000"/>
          <w:u w:color="000000"/>
          <w:lang w:val="es-CO" w:eastAsia="x-none"/>
        </w:rPr>
        <w:t>, declaró simplemente improcedente la acción de amparo promovida. Al respecto, la Corte advierte que no existe evidencia acerca de inactividad procesal de las autoridades, o de la comisión de actos que podrían haber dilatado el proceso.</w:t>
      </w:r>
    </w:p>
    <w:p w14:paraId="1F16CA77" w14:textId="77777777" w:rsidR="008E387F" w:rsidRPr="006021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553002BC" w14:textId="6D75884F" w:rsidR="00360392"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BF5B6C">
        <w:rPr>
          <w:rFonts w:eastAsia="Verdana" w:cs="Cambria"/>
          <w:bCs/>
          <w:i w:val="0"/>
          <w:color w:val="000000"/>
          <w:u w:color="000000"/>
          <w:lang w:eastAsia="x-none"/>
        </w:rPr>
        <w:t>En referencia al cuarto elemento, la Corte ha dicho que para determinar la razonabilidad del plazo se debe tomar en cuenta la afectación generada por la duración del procedimiento en la situación jurídica de la persona involucrada en el mismo, considerando, entre otros elementos, la materia de la controversia. Así, el Tribunal ha establecido que si el paso del tiempo incide de manera relevante en la situación j</w:t>
      </w:r>
      <w:r w:rsidR="00462F6A">
        <w:rPr>
          <w:rFonts w:eastAsia="Verdana" w:cs="Cambria"/>
          <w:bCs/>
          <w:i w:val="0"/>
          <w:color w:val="000000"/>
          <w:u w:color="000000"/>
          <w:lang w:eastAsia="x-none"/>
        </w:rPr>
        <w:t>urídica del individuo, resultará</w:t>
      </w:r>
      <w:r w:rsidRPr="00BF5B6C">
        <w:rPr>
          <w:rFonts w:eastAsia="Verdana" w:cs="Cambria"/>
          <w:bCs/>
          <w:i w:val="0"/>
          <w:color w:val="000000"/>
          <w:u w:color="000000"/>
          <w:lang w:eastAsia="x-none"/>
        </w:rPr>
        <w:t xml:space="preserve"> necesario que el procedimiento se desarrolle con mayor prontitud a fin de que el caso se resuelva en un tiempo breve. </w:t>
      </w:r>
      <w:r w:rsidR="00E70689" w:rsidRPr="00BF5B6C">
        <w:rPr>
          <w:rFonts w:eastAsia="Verdana" w:cs="Cambria"/>
          <w:bCs/>
          <w:i w:val="0"/>
          <w:color w:val="000000"/>
          <w:u w:color="000000"/>
          <w:lang w:eastAsia="x-none"/>
        </w:rPr>
        <w:t>En el presente caso, la Corte</w:t>
      </w:r>
      <w:r w:rsidR="00747D88" w:rsidRPr="00BF5B6C">
        <w:rPr>
          <w:rFonts w:eastAsia="Verdana" w:cs="Cambria"/>
          <w:bCs/>
          <w:i w:val="0"/>
          <w:color w:val="000000"/>
          <w:u w:color="000000"/>
          <w:lang w:eastAsia="x-none"/>
        </w:rPr>
        <w:t xml:space="preserve"> </w:t>
      </w:r>
      <w:r w:rsidR="00360392" w:rsidRPr="00BF5B6C">
        <w:rPr>
          <w:rFonts w:eastAsia="Verdana" w:cs="Cambria"/>
          <w:bCs/>
          <w:i w:val="0"/>
          <w:color w:val="000000"/>
          <w:u w:color="000000"/>
          <w:lang w:eastAsia="x-none"/>
        </w:rPr>
        <w:t xml:space="preserve">considera relevante recordar que el amparo intentado por las presuntas víctimas involucraba personas </w:t>
      </w:r>
      <w:r w:rsidR="00BA6447">
        <w:rPr>
          <w:rFonts w:eastAsia="Verdana" w:cs="Cambria"/>
          <w:bCs/>
          <w:i w:val="0"/>
          <w:color w:val="000000"/>
          <w:u w:color="000000"/>
          <w:lang w:eastAsia="x-none"/>
        </w:rPr>
        <w:t xml:space="preserve">que viven </w:t>
      </w:r>
      <w:r w:rsidR="00360392" w:rsidRPr="00BF5B6C">
        <w:rPr>
          <w:rFonts w:eastAsia="Verdana" w:cs="Cambria"/>
          <w:bCs/>
          <w:i w:val="0"/>
          <w:color w:val="000000"/>
          <w:u w:color="000000"/>
          <w:lang w:eastAsia="x-none"/>
        </w:rPr>
        <w:t xml:space="preserve">con </w:t>
      </w:r>
      <w:r w:rsidR="00BA6447">
        <w:rPr>
          <w:rFonts w:eastAsia="Verdana" w:cs="Cambria"/>
          <w:bCs/>
          <w:i w:val="0"/>
          <w:color w:val="000000"/>
          <w:u w:color="000000"/>
          <w:lang w:eastAsia="x-none"/>
        </w:rPr>
        <w:t xml:space="preserve">el </w:t>
      </w:r>
      <w:r w:rsidR="00360392" w:rsidRPr="00BF5B6C">
        <w:rPr>
          <w:rFonts w:eastAsia="Verdana" w:cs="Cambria"/>
          <w:bCs/>
          <w:i w:val="0"/>
          <w:color w:val="000000"/>
          <w:u w:color="000000"/>
          <w:lang w:eastAsia="x-none"/>
        </w:rPr>
        <w:t xml:space="preserve">VIH que dependían de atención médica para evitar afectaciones a su salud, su integridad personal y a su vida, lo cual implicaba una obligación reforzada de respeto y garantía de sus derechos. La Corte considera que en la resolución del recurso intentado las autoridades tuvieran en </w:t>
      </w:r>
      <w:r w:rsidR="00360392" w:rsidRPr="00BF5B6C">
        <w:rPr>
          <w:rFonts w:eastAsia="Verdana" w:cs="Cambria"/>
          <w:bCs/>
          <w:i w:val="0"/>
          <w:color w:val="000000"/>
          <w:u w:color="000000"/>
          <w:lang w:eastAsia="x-none"/>
        </w:rPr>
        <w:lastRenderedPageBreak/>
        <w:t>cuenta la vulnerabilidad y el riesgo de afectación a los derechos en juego para las presuntas víctimas.</w:t>
      </w:r>
    </w:p>
    <w:p w14:paraId="360A5CE4" w14:textId="77777777" w:rsidR="008E387F" w:rsidRPr="00BF5B6C"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4BFBED73" w14:textId="014373D3" w:rsidR="00C42183" w:rsidRPr="00EE1E0E" w:rsidRDefault="00360392"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BF5B6C">
        <w:rPr>
          <w:rFonts w:eastAsia="Verdana" w:cs="Cambria"/>
          <w:bCs/>
          <w:i w:val="0"/>
          <w:color w:val="000000"/>
          <w:u w:color="000000"/>
          <w:lang w:eastAsia="x-none"/>
        </w:rPr>
        <w:t>Teniendo en cuenta lo anterior, la Corte considera que se encuentra suficientemente probado que la prolongación del proceso en este caso, dadas sus características, incidió en la situación jurídica de las personas accionantes, pues derivado del retraso en la resolución del caso</w:t>
      </w:r>
      <w:r w:rsidR="00462F6A">
        <w:rPr>
          <w:rFonts w:eastAsia="Verdana" w:cs="Cambria"/>
          <w:bCs/>
          <w:i w:val="0"/>
          <w:color w:val="000000"/>
          <w:u w:color="000000"/>
          <w:lang w:eastAsia="x-none"/>
        </w:rPr>
        <w:t xml:space="preserve"> también se</w:t>
      </w:r>
      <w:r w:rsidR="00D03901" w:rsidRPr="00BF5B6C">
        <w:rPr>
          <w:rFonts w:eastAsia="Verdana" w:cs="Cambria"/>
          <w:bCs/>
          <w:i w:val="0"/>
          <w:color w:val="000000"/>
          <w:u w:color="000000"/>
          <w:lang w:eastAsia="x-none"/>
        </w:rPr>
        <w:t xml:space="preserve"> retrasó la posibilidad de entrega de antirretrovirales lo cual</w:t>
      </w:r>
      <w:r w:rsidRPr="00BF5B6C">
        <w:rPr>
          <w:rFonts w:eastAsia="Verdana" w:cs="Cambria"/>
          <w:bCs/>
          <w:i w:val="0"/>
          <w:color w:val="000000"/>
          <w:u w:color="000000"/>
          <w:lang w:eastAsia="x-none"/>
        </w:rPr>
        <w:t xml:space="preserve"> generó un riesgo para sus derechos a la salud, a la integridad personal y a la vida. </w:t>
      </w:r>
      <w:r w:rsidR="00C42183" w:rsidRPr="00BF5B6C">
        <w:rPr>
          <w:rFonts w:cs="Verdana"/>
          <w:bCs/>
          <w:i w:val="0"/>
          <w:iCs/>
        </w:rPr>
        <w:t xml:space="preserve">En consecuencia, en atención a la duración y las características del proceso, así como de la actuación de las presuntas víctimas y de las autoridades, </w:t>
      </w:r>
      <w:r w:rsidR="002B396C" w:rsidRPr="00BF5B6C">
        <w:rPr>
          <w:rFonts w:cs="Verdana"/>
          <w:bCs/>
          <w:i w:val="0"/>
          <w:iCs/>
        </w:rPr>
        <w:t xml:space="preserve">y al hecho de que </w:t>
      </w:r>
      <w:r w:rsidR="00747D88" w:rsidRPr="00BF5B6C">
        <w:rPr>
          <w:rFonts w:cs="Verdana"/>
          <w:bCs/>
          <w:i w:val="0"/>
          <w:iCs/>
        </w:rPr>
        <w:t xml:space="preserve">el paso del tiempo </w:t>
      </w:r>
      <w:r w:rsidR="002B396C" w:rsidRPr="00BF5B6C">
        <w:rPr>
          <w:rFonts w:cs="Verdana"/>
          <w:bCs/>
          <w:i w:val="0"/>
          <w:iCs/>
        </w:rPr>
        <w:t>influyó</w:t>
      </w:r>
      <w:r w:rsidR="00747D88" w:rsidRPr="00BF5B6C">
        <w:rPr>
          <w:rFonts w:cs="Verdana"/>
          <w:bCs/>
          <w:i w:val="0"/>
          <w:iCs/>
        </w:rPr>
        <w:t xml:space="preserve"> en la situación jurídica de los accionantes, </w:t>
      </w:r>
      <w:r w:rsidR="00C42183" w:rsidRPr="00BF5B6C">
        <w:rPr>
          <w:rFonts w:cs="Verdana"/>
          <w:bCs/>
          <w:i w:val="0"/>
          <w:iCs/>
        </w:rPr>
        <w:t xml:space="preserve">la Corte concluye que el trascurso de aproximadamente 6 meses en la sustanciación de la acción de amparo intentada por las 13 </w:t>
      </w:r>
      <w:r w:rsidR="00747D88" w:rsidRPr="00BF5B6C">
        <w:rPr>
          <w:rFonts w:cs="Verdana"/>
          <w:bCs/>
          <w:i w:val="0"/>
          <w:iCs/>
        </w:rPr>
        <w:t>presuntas víctimas constituyó</w:t>
      </w:r>
      <w:r w:rsidR="00C42183" w:rsidRPr="00BF5B6C">
        <w:rPr>
          <w:rFonts w:cs="Verdana"/>
          <w:bCs/>
          <w:i w:val="0"/>
          <w:iCs/>
        </w:rPr>
        <w:t xml:space="preserve"> una violación al plazo razonable que plantea el artículo 8.1 de la Convención Americana.</w:t>
      </w:r>
    </w:p>
    <w:p w14:paraId="74994C0B" w14:textId="77777777" w:rsidR="00EE1E0E" w:rsidRDefault="00EE1E0E" w:rsidP="00E92CA8">
      <w:pPr>
        <w:rPr>
          <w:u w:color="000000"/>
        </w:rPr>
      </w:pPr>
    </w:p>
    <w:p w14:paraId="305CADD2" w14:textId="4CB7E548" w:rsidR="008E387F" w:rsidRPr="000B26F9" w:rsidRDefault="000B26F9" w:rsidP="000B26F9">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C42183" w:rsidRPr="000B26F9">
        <w:rPr>
          <w:rFonts w:eastAsia="Times" w:cs="Arial"/>
          <w:b/>
          <w:szCs w:val="20"/>
          <w:lang w:val="es-MX"/>
        </w:rPr>
        <w:t>B.3</w:t>
      </w:r>
      <w:r w:rsidR="00762208" w:rsidRPr="000B26F9">
        <w:rPr>
          <w:rFonts w:eastAsia="Times" w:cs="Arial"/>
          <w:b/>
          <w:szCs w:val="20"/>
          <w:lang w:val="es-MX"/>
        </w:rPr>
        <w:t>.</w:t>
      </w:r>
      <w:r w:rsidR="00C42183" w:rsidRPr="000B26F9">
        <w:rPr>
          <w:rFonts w:eastAsia="Times" w:cs="Arial"/>
          <w:b/>
          <w:szCs w:val="20"/>
          <w:lang w:val="es-MX"/>
        </w:rPr>
        <w:t xml:space="preserve"> Conclusión</w:t>
      </w:r>
    </w:p>
    <w:p w14:paraId="49C7E8C0" w14:textId="77777777" w:rsidR="008E387F" w:rsidRPr="008E387F" w:rsidRDefault="008E387F" w:rsidP="008E387F">
      <w:pPr>
        <w:rPr>
          <w:lang w:val="es-CR"/>
        </w:rPr>
      </w:pPr>
    </w:p>
    <w:p w14:paraId="465CFED8" w14:textId="2939B964" w:rsidR="00C42183" w:rsidRPr="008E387F" w:rsidRDefault="00C42183" w:rsidP="00E92CA8">
      <w:pPr>
        <w:pStyle w:val="Estilo1"/>
        <w:numPr>
          <w:ilvl w:val="0"/>
          <w:numId w:val="3"/>
        </w:numPr>
        <w:tabs>
          <w:tab w:val="left" w:pos="709"/>
          <w:tab w:val="left" w:pos="1134"/>
        </w:tabs>
        <w:spacing w:after="0"/>
        <w:ind w:left="0" w:right="-4" w:firstLine="0"/>
        <w:rPr>
          <w:rFonts w:eastAsia="Verdana" w:cs="Cambria"/>
          <w:bCs/>
          <w:i w:val="0"/>
          <w:color w:val="000000"/>
          <w:u w:color="000000"/>
          <w:lang w:eastAsia="x-none"/>
        </w:rPr>
      </w:pPr>
      <w:r w:rsidRPr="0091276A">
        <w:rPr>
          <w:rFonts w:cs="Verdana"/>
          <w:bCs/>
          <w:i w:val="0"/>
          <w:iCs/>
        </w:rPr>
        <w:t>En ese sentido, este Tribunal ha establecido que el análisis por la autoridad competente de un recurso judicial que controvierte derechos constitucionales no puede reducirse a una mera formalidad y omitir argumentos de las partes, ya que debe examinar sus razones y manifestarse sobre ellas conforme a los parámetros establecidos por la Convención Americana</w:t>
      </w:r>
      <w:r w:rsidRPr="0091276A">
        <w:rPr>
          <w:rFonts w:cs="Verdana"/>
          <w:bCs/>
          <w:i w:val="0"/>
          <w:iCs/>
          <w:sz w:val="16"/>
          <w:szCs w:val="16"/>
          <w:vertAlign w:val="superscript"/>
        </w:rPr>
        <w:footnoteReference w:id="221"/>
      </w:r>
      <w:r w:rsidRPr="0091276A">
        <w:rPr>
          <w:rFonts w:cs="Verdana"/>
          <w:bCs/>
          <w:i w:val="0"/>
          <w:iCs/>
        </w:rPr>
        <w:t xml:space="preserve">. </w:t>
      </w:r>
      <w:r w:rsidR="0056202B">
        <w:rPr>
          <w:rFonts w:cs="Verdana"/>
          <w:bCs/>
          <w:i w:val="0"/>
          <w:iCs/>
        </w:rPr>
        <w:t>E</w:t>
      </w:r>
      <w:r w:rsidRPr="0091276A">
        <w:rPr>
          <w:rFonts w:cs="Verdana"/>
          <w:bCs/>
          <w:i w:val="0"/>
          <w:iCs/>
        </w:rPr>
        <w:t>n el presente caso, la Corte concluye que el Estado violó el derecho a un recurso judicial efectivo por no pronunciarse sobre el fondo de la cuestión planteada por las 13 presuntas víctimas y por no verificar si la medida adoptada por el Presidente fue adecuada para remediar el acto reclamado. Asimismo, la Corte considera que la Corte de Constitucionalidad incumplió su deber de motivar adecuadamente su sentencia. En consecuencia, el Estado es responsable por la violación a los artículos 8.1 y 25 de la Convención, en relación con el artículo 1.1 del mismo instrumento</w:t>
      </w:r>
      <w:r w:rsidR="0091276A" w:rsidRPr="0091276A">
        <w:rPr>
          <w:rFonts w:cs="Verdana"/>
          <w:bCs/>
          <w:i w:val="0"/>
          <w:iCs/>
        </w:rPr>
        <w:t xml:space="preserve">, en perjuicio de </w:t>
      </w:r>
      <w:r w:rsidR="0091276A" w:rsidRPr="0091276A">
        <w:rPr>
          <w:i w:val="0"/>
          <w:szCs w:val="16"/>
        </w:rPr>
        <w:t xml:space="preserve">Luis Rolando </w:t>
      </w:r>
      <w:proofErr w:type="spellStart"/>
      <w:r w:rsidR="0091276A" w:rsidRPr="0091276A">
        <w:rPr>
          <w:i w:val="0"/>
          <w:szCs w:val="16"/>
        </w:rPr>
        <w:t>Cuscul</w:t>
      </w:r>
      <w:proofErr w:type="spellEnd"/>
      <w:r w:rsidR="0091276A" w:rsidRPr="0091276A">
        <w:rPr>
          <w:i w:val="0"/>
          <w:szCs w:val="16"/>
        </w:rPr>
        <w:t xml:space="preserve"> Pivaral, Luis Armando Linares</w:t>
      </w:r>
      <w:r w:rsidR="00190C87">
        <w:rPr>
          <w:i w:val="0"/>
          <w:szCs w:val="16"/>
        </w:rPr>
        <w:t xml:space="preserve"> Ruano</w:t>
      </w:r>
      <w:r w:rsidR="0091276A" w:rsidRPr="0091276A">
        <w:rPr>
          <w:i w:val="0"/>
          <w:szCs w:val="16"/>
        </w:rPr>
        <w:t xml:space="preserve">, Facundo Gómez Reyes, Marta Alicia Maldonado Paz, Miguel Lucas </w:t>
      </w:r>
      <w:proofErr w:type="spellStart"/>
      <w:r w:rsidR="0091276A" w:rsidRPr="0091276A">
        <w:rPr>
          <w:i w:val="0"/>
          <w:szCs w:val="16"/>
        </w:rPr>
        <w:t>Va</w:t>
      </w:r>
      <w:r w:rsidR="00190C87">
        <w:rPr>
          <w:i w:val="0"/>
          <w:szCs w:val="16"/>
        </w:rPr>
        <w:t>í</w:t>
      </w:r>
      <w:r w:rsidR="0091276A" w:rsidRPr="0091276A">
        <w:rPr>
          <w:i w:val="0"/>
          <w:szCs w:val="16"/>
        </w:rPr>
        <w:t>l</w:t>
      </w:r>
      <w:proofErr w:type="spellEnd"/>
      <w:r w:rsidR="0091276A" w:rsidRPr="0091276A">
        <w:rPr>
          <w:i w:val="0"/>
          <w:szCs w:val="16"/>
        </w:rPr>
        <w:t>, Ingrid Barillas Martínez, Jorge Armando Tavare</w:t>
      </w:r>
      <w:r w:rsidR="00190C87">
        <w:rPr>
          <w:i w:val="0"/>
          <w:szCs w:val="16"/>
        </w:rPr>
        <w:t xml:space="preserve">s Barreno, Melvin </w:t>
      </w:r>
      <w:proofErr w:type="spellStart"/>
      <w:r w:rsidR="00190C87">
        <w:rPr>
          <w:i w:val="0"/>
          <w:szCs w:val="16"/>
        </w:rPr>
        <w:t>Yovani</w:t>
      </w:r>
      <w:proofErr w:type="spellEnd"/>
      <w:r w:rsidR="00190C87">
        <w:rPr>
          <w:i w:val="0"/>
          <w:szCs w:val="16"/>
        </w:rPr>
        <w:t xml:space="preserve"> Ajtu</w:t>
      </w:r>
      <w:r w:rsidR="0091276A" w:rsidRPr="0091276A">
        <w:rPr>
          <w:i w:val="0"/>
          <w:szCs w:val="16"/>
        </w:rPr>
        <w:t>n</w:t>
      </w:r>
      <w:r w:rsidR="00190C87">
        <w:rPr>
          <w:i w:val="0"/>
          <w:szCs w:val="16"/>
        </w:rPr>
        <w:t xml:space="preserve"> Escobar</w:t>
      </w:r>
      <w:r w:rsidR="0091276A" w:rsidRPr="0091276A">
        <w:rPr>
          <w:i w:val="0"/>
          <w:szCs w:val="16"/>
        </w:rPr>
        <w:t xml:space="preserve">, </w:t>
      </w:r>
      <w:proofErr w:type="spellStart"/>
      <w:r w:rsidR="0091276A" w:rsidRPr="0091276A">
        <w:rPr>
          <w:i w:val="0"/>
          <w:szCs w:val="16"/>
        </w:rPr>
        <w:t>Mardo</w:t>
      </w:r>
      <w:proofErr w:type="spellEnd"/>
      <w:r w:rsidR="0091276A" w:rsidRPr="0091276A">
        <w:rPr>
          <w:i w:val="0"/>
          <w:szCs w:val="16"/>
        </w:rPr>
        <w:t xml:space="preserve"> Luis Hernández</w:t>
      </w:r>
      <w:r w:rsidR="00190C87">
        <w:rPr>
          <w:i w:val="0"/>
          <w:szCs w:val="16"/>
        </w:rPr>
        <w:t xml:space="preserve"> y Hernández</w:t>
      </w:r>
      <w:r w:rsidR="0091276A" w:rsidRPr="0091276A">
        <w:rPr>
          <w:i w:val="0"/>
          <w:szCs w:val="16"/>
        </w:rPr>
        <w:t xml:space="preserve">, Alberto Quiché </w:t>
      </w:r>
      <w:proofErr w:type="spellStart"/>
      <w:r w:rsidR="0091276A" w:rsidRPr="0091276A">
        <w:rPr>
          <w:i w:val="0"/>
          <w:szCs w:val="16"/>
        </w:rPr>
        <w:t>Cuxeva</w:t>
      </w:r>
      <w:proofErr w:type="spellEnd"/>
      <w:r w:rsidR="0091276A" w:rsidRPr="0091276A">
        <w:rPr>
          <w:i w:val="0"/>
          <w:szCs w:val="16"/>
        </w:rPr>
        <w:t>, Teresa Magdalena Ramírez Castro, Rita Dubón Orozco y Dora Marina Martínez</w:t>
      </w:r>
      <w:r w:rsidR="00190C87">
        <w:rPr>
          <w:i w:val="0"/>
          <w:szCs w:val="16"/>
        </w:rPr>
        <w:t xml:space="preserve"> </w:t>
      </w:r>
      <w:proofErr w:type="spellStart"/>
      <w:r w:rsidR="00190C87">
        <w:rPr>
          <w:i w:val="0"/>
          <w:szCs w:val="16"/>
        </w:rPr>
        <w:t>Sofoifa</w:t>
      </w:r>
      <w:proofErr w:type="spellEnd"/>
      <w:r w:rsidRPr="0091276A">
        <w:rPr>
          <w:rFonts w:cs="Verdana"/>
          <w:bCs/>
          <w:i w:val="0"/>
          <w:iCs/>
        </w:rPr>
        <w:t>.</w:t>
      </w:r>
    </w:p>
    <w:p w14:paraId="0FA8579A" w14:textId="77777777" w:rsidR="008E387F" w:rsidRPr="0091276A" w:rsidRDefault="008E387F" w:rsidP="008E387F">
      <w:pPr>
        <w:pStyle w:val="Estilo1"/>
        <w:tabs>
          <w:tab w:val="left" w:pos="709"/>
          <w:tab w:val="left" w:pos="1134"/>
        </w:tabs>
        <w:spacing w:after="0"/>
        <w:ind w:left="0" w:right="-4" w:firstLine="0"/>
        <w:rPr>
          <w:rFonts w:eastAsia="Verdana" w:cs="Cambria"/>
          <w:bCs/>
          <w:i w:val="0"/>
          <w:color w:val="000000"/>
          <w:u w:color="000000"/>
          <w:lang w:eastAsia="x-none"/>
        </w:rPr>
      </w:pPr>
    </w:p>
    <w:p w14:paraId="182BDC36" w14:textId="20F3D3AB" w:rsidR="00C4358F" w:rsidRPr="00A2619E" w:rsidRDefault="00762208" w:rsidP="00E92CA8">
      <w:pPr>
        <w:pStyle w:val="Ttulo1"/>
        <w:spacing w:before="0" w:after="0"/>
      </w:pPr>
      <w:bookmarkStart w:id="89" w:name="_Toc527466497"/>
      <w:r w:rsidRPr="00A2619E">
        <w:t>VIIi-3</w:t>
      </w:r>
      <w:r w:rsidR="00C4358F" w:rsidRPr="00A2619E">
        <w:rPr>
          <w:lang w:val="x-none"/>
        </w:rPr>
        <w:br/>
      </w:r>
      <w:r w:rsidR="00C4358F" w:rsidRPr="00A2619E">
        <w:t>DERECHO A la integridad personal de los familiares de las víctimas (artículos 5 y 1.1 de la convención americana)</w:t>
      </w:r>
      <w:bookmarkEnd w:id="89"/>
    </w:p>
    <w:p w14:paraId="68AE9E5F" w14:textId="77777777" w:rsidR="008E387F" w:rsidRPr="00A2619E" w:rsidRDefault="008E387F" w:rsidP="008E387F">
      <w:pPr>
        <w:rPr>
          <w:lang w:val="es-CR" w:eastAsia="es-ES"/>
        </w:rPr>
      </w:pPr>
    </w:p>
    <w:p w14:paraId="0A64C552" w14:textId="77777777" w:rsidR="00C4358F" w:rsidRPr="00A2619E" w:rsidRDefault="00C4358F" w:rsidP="00E92CA8">
      <w:pPr>
        <w:pStyle w:val="Ttulo2"/>
        <w:numPr>
          <w:ilvl w:val="0"/>
          <w:numId w:val="34"/>
        </w:numPr>
        <w:spacing w:before="0" w:after="0"/>
        <w:rPr>
          <w:u w:color="000000"/>
        </w:rPr>
      </w:pPr>
      <w:bookmarkStart w:id="90" w:name="_Toc527466498"/>
      <w:r w:rsidRPr="00A2619E">
        <w:rPr>
          <w:u w:color="000000"/>
        </w:rPr>
        <w:t>Alegatos de las partes y de la Comisión</w:t>
      </w:r>
      <w:bookmarkEnd w:id="90"/>
    </w:p>
    <w:p w14:paraId="6D923AAD" w14:textId="77777777" w:rsidR="008E387F" w:rsidRPr="00A2619E" w:rsidRDefault="008E387F" w:rsidP="008E387F">
      <w:pPr>
        <w:rPr>
          <w:lang w:val="es-CR"/>
        </w:rPr>
      </w:pPr>
    </w:p>
    <w:p w14:paraId="3448415B" w14:textId="103C332C" w:rsidR="00C4358F"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 xml:space="preserve">La </w:t>
      </w:r>
      <w:r w:rsidRPr="00A2619E">
        <w:rPr>
          <w:rFonts w:cs="Times New Roman"/>
          <w:b/>
          <w:szCs w:val="20"/>
        </w:rPr>
        <w:t>Comisión</w:t>
      </w:r>
      <w:r w:rsidRPr="00A2619E">
        <w:rPr>
          <w:rFonts w:cs="Times New Roman"/>
          <w:i w:val="0"/>
          <w:szCs w:val="20"/>
        </w:rPr>
        <w:t xml:space="preserve"> señaló que el Estado violó el derecho a la integridad psíquica y moral contenido en el artículo 5.1 de la Convención en perjuicio de los familiares y/o círculo más cercano de las víctimas del presente caso, debido a</w:t>
      </w:r>
      <w:r w:rsidR="003D032F">
        <w:rPr>
          <w:rFonts w:cs="Times New Roman"/>
          <w:i w:val="0"/>
          <w:szCs w:val="20"/>
        </w:rPr>
        <w:t>l sufrimiento adicional que han padecido como producto de las circunstancias particulares de las violaciones perpetradas contra sus seres queridos, y a causa de las actuaciones y omisiones de las autoridades estatales frente a estos hechos</w:t>
      </w:r>
      <w:r w:rsidRPr="00A2619E">
        <w:rPr>
          <w:rFonts w:cs="Times New Roman"/>
          <w:i w:val="0"/>
          <w:szCs w:val="20"/>
        </w:rPr>
        <w:t>.</w:t>
      </w:r>
    </w:p>
    <w:p w14:paraId="79C09183"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452AE705" w14:textId="5560E504" w:rsidR="00C4358F"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 xml:space="preserve">Los </w:t>
      </w:r>
      <w:r w:rsidRPr="00A2619E">
        <w:rPr>
          <w:rFonts w:cs="Times New Roman"/>
          <w:b/>
          <w:szCs w:val="20"/>
        </w:rPr>
        <w:t>representantes</w:t>
      </w:r>
      <w:r w:rsidRPr="00A2619E">
        <w:rPr>
          <w:rFonts w:cs="Times New Roman"/>
          <w:i w:val="0"/>
          <w:szCs w:val="20"/>
        </w:rPr>
        <w:t xml:space="preserve"> agregaron que los familiares</w:t>
      </w:r>
      <w:r w:rsidR="004A5103">
        <w:rPr>
          <w:rFonts w:cs="Times New Roman"/>
          <w:i w:val="0"/>
          <w:szCs w:val="20"/>
        </w:rPr>
        <w:t xml:space="preserve"> y personas cercanas</w:t>
      </w:r>
      <w:r w:rsidRPr="00A2619E">
        <w:rPr>
          <w:rFonts w:cs="Times New Roman"/>
          <w:i w:val="0"/>
          <w:szCs w:val="20"/>
        </w:rPr>
        <w:t xml:space="preserve"> de las víctimas experimentaron profundos sufrimientos al observar que, en virtud de una falta de atención integral de</w:t>
      </w:r>
      <w:r w:rsidR="004A5103">
        <w:rPr>
          <w:rFonts w:cs="Times New Roman"/>
          <w:i w:val="0"/>
          <w:szCs w:val="20"/>
        </w:rPr>
        <w:t xml:space="preserve"> los pacientes que viven con</w:t>
      </w:r>
      <w:r w:rsidR="00D92087">
        <w:rPr>
          <w:rFonts w:cs="Times New Roman"/>
          <w:i w:val="0"/>
          <w:szCs w:val="20"/>
        </w:rPr>
        <w:t xml:space="preserve"> el</w:t>
      </w:r>
      <w:r w:rsidRPr="00A2619E">
        <w:rPr>
          <w:rFonts w:cs="Times New Roman"/>
          <w:i w:val="0"/>
          <w:szCs w:val="20"/>
        </w:rPr>
        <w:t xml:space="preserve"> VIH por parte del Estado, éstos veían deteriorado su estado de salud, algunos de ellos llegando incluso a perder la vida. También sostuvieron que</w:t>
      </w:r>
      <w:r w:rsidR="004A5103">
        <w:rPr>
          <w:rFonts w:cs="Times New Roman"/>
          <w:i w:val="0"/>
          <w:szCs w:val="20"/>
        </w:rPr>
        <w:t xml:space="preserve"> tanto</w:t>
      </w:r>
      <w:r w:rsidRPr="00A2619E">
        <w:rPr>
          <w:rFonts w:cs="Times New Roman"/>
          <w:i w:val="0"/>
          <w:szCs w:val="20"/>
        </w:rPr>
        <w:t xml:space="preserve"> los familiares</w:t>
      </w:r>
      <w:r w:rsidR="004A5103">
        <w:rPr>
          <w:rFonts w:cs="Times New Roman"/>
          <w:i w:val="0"/>
          <w:szCs w:val="20"/>
        </w:rPr>
        <w:t xml:space="preserve"> como las personas cercanas</w:t>
      </w:r>
      <w:r w:rsidRPr="00A2619E">
        <w:rPr>
          <w:rFonts w:cs="Times New Roman"/>
          <w:i w:val="0"/>
          <w:szCs w:val="20"/>
        </w:rPr>
        <w:t xml:space="preserve"> han experimentado diversas formas de </w:t>
      </w:r>
      <w:r w:rsidRPr="00A2619E">
        <w:rPr>
          <w:rFonts w:cs="Times New Roman"/>
          <w:i w:val="0"/>
          <w:szCs w:val="20"/>
        </w:rPr>
        <w:lastRenderedPageBreak/>
        <w:t>discriminación, alteraciones en su proyecto de vida, en sus lazos familiares y en su situación económica, entre otras afectaciones. Asimismo, enfatizaron que, dado el estigma que tradicion</w:t>
      </w:r>
      <w:r w:rsidR="004A5103">
        <w:rPr>
          <w:rFonts w:cs="Times New Roman"/>
          <w:i w:val="0"/>
          <w:szCs w:val="20"/>
        </w:rPr>
        <w:t>almente ha acompañado a las personas que viven con el</w:t>
      </w:r>
      <w:r w:rsidRPr="00A2619E">
        <w:rPr>
          <w:rFonts w:cs="Times New Roman"/>
          <w:i w:val="0"/>
          <w:szCs w:val="20"/>
        </w:rPr>
        <w:t xml:space="preserve"> VIH, el círculo más cercano de apoyo a las personas que padecen esta enfermedad va más allá de los miembros de la familia biológica de las víctimas</w:t>
      </w:r>
      <w:r w:rsidRPr="004A5103">
        <w:rPr>
          <w:rFonts w:cs="Times New Roman"/>
          <w:i w:val="0"/>
          <w:szCs w:val="20"/>
        </w:rPr>
        <w:t>.</w:t>
      </w:r>
      <w:r w:rsidRPr="00A2619E">
        <w:rPr>
          <w:rFonts w:cs="Times New Roman"/>
          <w:i w:val="0"/>
          <w:szCs w:val="20"/>
        </w:rPr>
        <w:t xml:space="preserve"> Por lo tanto, concluyeron que el Estado de Guatemala es responsable por la violación del derecho a la integridad personal, contenido en el artículo 5 de la Convención, en relación con el artículo 1.1 del mismo instrumento, en perjuicio de los familiares y/o círculo más cercano de las víctimas del presente caso.</w:t>
      </w:r>
    </w:p>
    <w:p w14:paraId="6DFAADB0"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45FD9B71" w14:textId="6B23C012" w:rsidR="00F63F5C"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 xml:space="preserve">El </w:t>
      </w:r>
      <w:r w:rsidRPr="00A2619E">
        <w:rPr>
          <w:rFonts w:cs="Times New Roman"/>
          <w:b/>
          <w:szCs w:val="20"/>
        </w:rPr>
        <w:t>Estado</w:t>
      </w:r>
      <w:r w:rsidRPr="00A2619E">
        <w:rPr>
          <w:rFonts w:cs="Times New Roman"/>
          <w:i w:val="0"/>
          <w:szCs w:val="20"/>
        </w:rPr>
        <w:t xml:space="preserve"> no controvirtió los alegatos de la Comisión y de los representantes, toda vez que se refirió a las alegadas violaciones al artículo 5 de la Convención en relación con la afectación a las víctimas del caso, no así de los familiares.</w:t>
      </w:r>
    </w:p>
    <w:p w14:paraId="1F8564DE"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0CA3114D" w14:textId="34B98966" w:rsidR="00C4358F" w:rsidRPr="00A2619E" w:rsidRDefault="00C4358F" w:rsidP="00E92CA8">
      <w:pPr>
        <w:pStyle w:val="Ttulo2"/>
        <w:spacing w:before="0" w:after="0"/>
      </w:pPr>
      <w:bookmarkStart w:id="91" w:name="_Toc527466499"/>
      <w:r w:rsidRPr="00A2619E">
        <w:t>Consideraciones de la Corte</w:t>
      </w:r>
      <w:bookmarkEnd w:id="91"/>
    </w:p>
    <w:p w14:paraId="4D9B1D4D" w14:textId="77777777" w:rsidR="008E387F" w:rsidRPr="00A2619E" w:rsidRDefault="008E387F" w:rsidP="008E387F">
      <w:pPr>
        <w:rPr>
          <w:lang w:val="es-CR"/>
        </w:rPr>
      </w:pPr>
    </w:p>
    <w:p w14:paraId="09CC183F" w14:textId="77777777" w:rsidR="00C4358F"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La Corte ha considerado que los familiares de las víctimas de violaciones de derechos humanos pueden ser, a su vez, víctimas</w:t>
      </w:r>
      <w:r w:rsidRPr="00A2619E">
        <w:rPr>
          <w:rStyle w:val="Refdenotaalpie"/>
          <w:i w:val="0"/>
        </w:rPr>
        <w:footnoteReference w:id="222"/>
      </w:r>
      <w:r w:rsidRPr="00A2619E">
        <w:rPr>
          <w:rFonts w:cs="Times New Roman"/>
          <w:i w:val="0"/>
          <w:szCs w:val="20"/>
        </w:rPr>
        <w:t>. En ese sentido, el Tribunal ha considerado violado el derecho a la integridad psíquica y moral de familiares de víctimas con motivo del sufrimiento adicional que éstos han padecido como producto de las circunstancias particulares de las violaciones perpetradas contra sus seres queridos, y a causa de las posteriores actuaciones u omisiones de las autoridades estatales frente a los hechos</w:t>
      </w:r>
      <w:r w:rsidRPr="00A2619E">
        <w:rPr>
          <w:rStyle w:val="Refdenotaalpie"/>
          <w:i w:val="0"/>
        </w:rPr>
        <w:footnoteReference w:id="223"/>
      </w:r>
      <w:r w:rsidRPr="00A2619E">
        <w:rPr>
          <w:rFonts w:cs="Times New Roman"/>
          <w:i w:val="0"/>
          <w:szCs w:val="20"/>
        </w:rPr>
        <w:t>, tomando en cuenta, entre otros, las gestiones realizadas para obtener justicia y la existencia de un estrecho vínculo familiar</w:t>
      </w:r>
      <w:r w:rsidRPr="00A2619E">
        <w:rPr>
          <w:rStyle w:val="Refdenotaalpie"/>
          <w:i w:val="0"/>
        </w:rPr>
        <w:footnoteReference w:id="224"/>
      </w:r>
      <w:r w:rsidRPr="00A2619E">
        <w:rPr>
          <w:rFonts w:cs="Times New Roman"/>
          <w:i w:val="0"/>
          <w:szCs w:val="20"/>
        </w:rPr>
        <w:t>. También se ha declarado la violación de este derecho por el sufrimiento generado a partir de los hechos perpetrados en contra de sus seres queridos</w:t>
      </w:r>
      <w:r w:rsidRPr="00A2619E">
        <w:rPr>
          <w:rStyle w:val="Refdenotaalpie"/>
          <w:i w:val="0"/>
        </w:rPr>
        <w:footnoteReference w:id="225"/>
      </w:r>
      <w:r w:rsidRPr="00A2619E">
        <w:rPr>
          <w:rFonts w:cs="Times New Roman"/>
          <w:i w:val="0"/>
          <w:szCs w:val="20"/>
        </w:rPr>
        <w:t xml:space="preserve">. </w:t>
      </w:r>
      <w:r w:rsidRPr="00A2619E">
        <w:rPr>
          <w:i w:val="0"/>
          <w:szCs w:val="20"/>
        </w:rPr>
        <w:t>Adicionalmente, este Tribunal ha señalado que la contribución por parte del Estado al crear o agravar la situación de vulnerabilidad de una persona tiene un impacto significativo en la integridad de las personas que le rodean, en especial de familiares cercanos que se ven enfrentados a la incertidumbre e inseguridad generada por la vulneración de su familia nuclear o cercana</w:t>
      </w:r>
      <w:r w:rsidRPr="00A2619E">
        <w:rPr>
          <w:rStyle w:val="Refdenotaalpie"/>
          <w:i w:val="0"/>
        </w:rPr>
        <w:footnoteReference w:id="226"/>
      </w:r>
      <w:r w:rsidRPr="00A2619E">
        <w:rPr>
          <w:i w:val="0"/>
          <w:szCs w:val="20"/>
        </w:rPr>
        <w:t>.</w:t>
      </w:r>
    </w:p>
    <w:p w14:paraId="4B5A7C40"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0AAA2FD6" w14:textId="03592207" w:rsidR="00C4358F"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 xml:space="preserve">Al respecto, la Corte advierte que, del acervo probatorio, se desprende que los padecimientos físicos y psicológicos que sufrieron las presuntas víctimas del caso a raíz de su falta de tratamiento médico también impactaron a algunos de los familiares de las víctimas, lo cual se vio agravado por la estigmatización que los familiares de personas </w:t>
      </w:r>
      <w:r w:rsidR="004A5103">
        <w:rPr>
          <w:rFonts w:cs="Times New Roman"/>
          <w:i w:val="0"/>
          <w:szCs w:val="20"/>
        </w:rPr>
        <w:t xml:space="preserve">que viven </w:t>
      </w:r>
      <w:r w:rsidRPr="00A2619E">
        <w:rPr>
          <w:rFonts w:cs="Times New Roman"/>
          <w:i w:val="0"/>
          <w:szCs w:val="20"/>
        </w:rPr>
        <w:t>con</w:t>
      </w:r>
      <w:r w:rsidR="004A5103">
        <w:rPr>
          <w:rFonts w:cs="Times New Roman"/>
          <w:i w:val="0"/>
          <w:szCs w:val="20"/>
        </w:rPr>
        <w:t xml:space="preserve"> el</w:t>
      </w:r>
      <w:r w:rsidRPr="00A2619E">
        <w:rPr>
          <w:rFonts w:cs="Times New Roman"/>
          <w:i w:val="0"/>
          <w:szCs w:val="20"/>
        </w:rPr>
        <w:t xml:space="preserve"> VIH sufren. En concreto, la Corte constata que los familiares han experimentado sentimientos de dolor, angustia e incertidumbre por la falta de atención médica oportuna, especialmente la falta de acceso a medicamentos, así como sentimientos de frustración e impotencia por no </w:t>
      </w:r>
      <w:r w:rsidRPr="00A2619E">
        <w:rPr>
          <w:rFonts w:cs="Times New Roman"/>
          <w:i w:val="0"/>
          <w:szCs w:val="20"/>
        </w:rPr>
        <w:lastRenderedPageBreak/>
        <w:t>tener los recursos económicos para proveerle del tratamiento necesario a sus familiares</w:t>
      </w:r>
      <w:r w:rsidRPr="00A2619E">
        <w:rPr>
          <w:rStyle w:val="Refdenotaalpie"/>
          <w:i w:val="0"/>
        </w:rPr>
        <w:footnoteReference w:id="227"/>
      </w:r>
      <w:r w:rsidRPr="00A2619E">
        <w:rPr>
          <w:rFonts w:cs="Times New Roman"/>
          <w:i w:val="0"/>
          <w:szCs w:val="20"/>
        </w:rPr>
        <w:t>. De igual forma, algunos de ellos han sido testigos del deterioro de la salud de sus seres queridos, teniendo algunos incluso que afrontar la muerte de algunos de éstos</w:t>
      </w:r>
      <w:r w:rsidRPr="00A2619E">
        <w:rPr>
          <w:rStyle w:val="Refdenotaalpie"/>
          <w:i w:val="0"/>
        </w:rPr>
        <w:footnoteReference w:id="228"/>
      </w:r>
      <w:r w:rsidRPr="00A2619E">
        <w:rPr>
          <w:rFonts w:cs="Times New Roman"/>
          <w:i w:val="0"/>
          <w:szCs w:val="20"/>
        </w:rPr>
        <w:t>.</w:t>
      </w:r>
    </w:p>
    <w:p w14:paraId="3B86B8FB"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342536D0" w14:textId="0BC24379" w:rsidR="00C4358F" w:rsidRPr="00E3701B" w:rsidRDefault="00747D88" w:rsidP="00E3701B">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El Tribunal también observa</w:t>
      </w:r>
      <w:r w:rsidR="00C4358F" w:rsidRPr="00A2619E">
        <w:rPr>
          <w:rFonts w:cs="Times New Roman"/>
          <w:i w:val="0"/>
          <w:szCs w:val="20"/>
        </w:rPr>
        <w:t xml:space="preserve"> que la falta de atención médica afectó la dinámica familiar de las víctimas, pues algunos familiares de éstas se vieron obligados a modificar sus horarios laborales</w:t>
      </w:r>
      <w:r w:rsidR="00C4358F" w:rsidRPr="00A2619E">
        <w:rPr>
          <w:rStyle w:val="Refdenotaalpie"/>
          <w:i w:val="0"/>
        </w:rPr>
        <w:footnoteReference w:id="229"/>
      </w:r>
      <w:r w:rsidR="00C4358F" w:rsidRPr="00A2619E">
        <w:rPr>
          <w:rFonts w:cs="Times New Roman"/>
          <w:i w:val="0"/>
          <w:szCs w:val="20"/>
        </w:rPr>
        <w:t xml:space="preserve">, abandonar o suspender sus estudios y/o migrar a Estados Unidos para hacerse cargo del </w:t>
      </w:r>
      <w:r w:rsidR="00DF3D37">
        <w:rPr>
          <w:rFonts w:cs="Times New Roman"/>
          <w:i w:val="0"/>
          <w:szCs w:val="20"/>
        </w:rPr>
        <w:t>apoyo económico</w:t>
      </w:r>
      <w:r w:rsidR="00DF3D37" w:rsidRPr="00A2619E">
        <w:rPr>
          <w:rStyle w:val="Refdenotaalpie"/>
          <w:i w:val="0"/>
        </w:rPr>
        <w:footnoteReference w:id="230"/>
      </w:r>
      <w:r w:rsidR="00C4358F" w:rsidRPr="00A2619E">
        <w:rPr>
          <w:rFonts w:cs="Times New Roman"/>
          <w:i w:val="0"/>
          <w:szCs w:val="20"/>
        </w:rPr>
        <w:t xml:space="preserve"> y manutención</w:t>
      </w:r>
      <w:r w:rsidR="00C4358F" w:rsidRPr="00A2619E">
        <w:rPr>
          <w:rStyle w:val="Refdenotaalpie"/>
          <w:i w:val="0"/>
        </w:rPr>
        <w:footnoteReference w:id="231"/>
      </w:r>
      <w:r w:rsidR="00C4358F" w:rsidRPr="00A2619E">
        <w:rPr>
          <w:rFonts w:cs="Times New Roman"/>
          <w:i w:val="0"/>
          <w:szCs w:val="20"/>
        </w:rPr>
        <w:t xml:space="preserve"> de su familiar </w:t>
      </w:r>
      <w:r w:rsidR="007C1286">
        <w:rPr>
          <w:rFonts w:cs="Times New Roman"/>
          <w:i w:val="0"/>
          <w:szCs w:val="20"/>
        </w:rPr>
        <w:t xml:space="preserve">que vive </w:t>
      </w:r>
      <w:r w:rsidR="00C4358F" w:rsidRPr="00A2619E">
        <w:rPr>
          <w:rFonts w:cs="Times New Roman"/>
          <w:i w:val="0"/>
          <w:szCs w:val="20"/>
        </w:rPr>
        <w:t>con</w:t>
      </w:r>
      <w:r w:rsidR="007C1286">
        <w:rPr>
          <w:rFonts w:cs="Times New Roman"/>
          <w:i w:val="0"/>
          <w:szCs w:val="20"/>
        </w:rPr>
        <w:t xml:space="preserve"> el</w:t>
      </w:r>
      <w:r w:rsidR="00C4358F" w:rsidRPr="00A2619E">
        <w:rPr>
          <w:rFonts w:cs="Times New Roman"/>
          <w:i w:val="0"/>
          <w:szCs w:val="20"/>
        </w:rPr>
        <w:t xml:space="preserve"> VIH</w:t>
      </w:r>
      <w:r w:rsidR="007C1286">
        <w:rPr>
          <w:rFonts w:cs="Times New Roman"/>
          <w:i w:val="0"/>
          <w:szCs w:val="20"/>
        </w:rPr>
        <w:t>,</w:t>
      </w:r>
      <w:r w:rsidR="00C4358F" w:rsidRPr="00A2619E">
        <w:rPr>
          <w:rFonts w:cs="Times New Roman"/>
          <w:i w:val="0"/>
          <w:szCs w:val="20"/>
        </w:rPr>
        <w:t xml:space="preserve"> ocasionando con ello rupturas familiares</w:t>
      </w:r>
      <w:r w:rsidR="00C4358F" w:rsidRPr="00A2619E">
        <w:rPr>
          <w:rStyle w:val="Refdenotaalpie"/>
          <w:i w:val="0"/>
        </w:rPr>
        <w:footnoteReference w:id="232"/>
      </w:r>
      <w:r w:rsidR="00C4358F" w:rsidRPr="00A2619E">
        <w:rPr>
          <w:rFonts w:cs="Times New Roman"/>
          <w:i w:val="0"/>
          <w:szCs w:val="20"/>
        </w:rPr>
        <w:t>, detrimento a su economía y afectaci</w:t>
      </w:r>
      <w:r w:rsidR="00462F6A">
        <w:rPr>
          <w:rFonts w:cs="Times New Roman"/>
          <w:i w:val="0"/>
          <w:szCs w:val="20"/>
        </w:rPr>
        <w:t>ones a su proyecto de vida. Asimismo, la C</w:t>
      </w:r>
      <w:r w:rsidR="00C4358F" w:rsidRPr="00A2619E">
        <w:rPr>
          <w:rFonts w:cs="Times New Roman"/>
          <w:i w:val="0"/>
          <w:szCs w:val="20"/>
        </w:rPr>
        <w:t>orte destaca la transmisión del VIH a L.A.L, la cual pudo prevenirse de haberse proveído del tratamien</w:t>
      </w:r>
      <w:r w:rsidR="0033428E" w:rsidRPr="00A2619E">
        <w:rPr>
          <w:rFonts w:cs="Times New Roman"/>
          <w:i w:val="0"/>
          <w:szCs w:val="20"/>
        </w:rPr>
        <w:t>to médico adecuado a su madre</w:t>
      </w:r>
      <w:r w:rsidRPr="00E3701B">
        <w:rPr>
          <w:rFonts w:cs="Times New Roman"/>
          <w:i w:val="0"/>
          <w:szCs w:val="20"/>
        </w:rPr>
        <w:t>. En el mismo sentido, la</w:t>
      </w:r>
      <w:r w:rsidR="00C4358F" w:rsidRPr="00E3701B">
        <w:rPr>
          <w:rFonts w:cs="Times New Roman"/>
          <w:i w:val="0"/>
          <w:szCs w:val="20"/>
        </w:rPr>
        <w:t xml:space="preserve"> Corte constata el sufrimiento padecido por los familiares de las víctimas derivados de la estigmatización que gira en torno a las personas</w:t>
      </w:r>
      <w:r w:rsidR="007C1286" w:rsidRPr="00E3701B">
        <w:rPr>
          <w:rFonts w:cs="Times New Roman"/>
          <w:i w:val="0"/>
          <w:szCs w:val="20"/>
        </w:rPr>
        <w:t xml:space="preserve"> que viven</w:t>
      </w:r>
      <w:r w:rsidR="00C4358F" w:rsidRPr="00E3701B">
        <w:rPr>
          <w:rFonts w:cs="Times New Roman"/>
          <w:i w:val="0"/>
          <w:szCs w:val="20"/>
        </w:rPr>
        <w:t xml:space="preserve"> con</w:t>
      </w:r>
      <w:r w:rsidR="007C1286" w:rsidRPr="00E3701B">
        <w:rPr>
          <w:rFonts w:cs="Times New Roman"/>
          <w:i w:val="0"/>
          <w:szCs w:val="20"/>
        </w:rPr>
        <w:t xml:space="preserve"> el</w:t>
      </w:r>
      <w:r w:rsidR="00C4358F" w:rsidRPr="00E3701B">
        <w:rPr>
          <w:rFonts w:cs="Times New Roman"/>
          <w:i w:val="0"/>
          <w:szCs w:val="20"/>
        </w:rPr>
        <w:t xml:space="preserve"> VIH, lo que les generó sentimientos de vergüenza y miedo</w:t>
      </w:r>
      <w:r w:rsidR="00C4358F" w:rsidRPr="00A2619E">
        <w:rPr>
          <w:rStyle w:val="Refdenotaalpie"/>
          <w:i w:val="0"/>
        </w:rPr>
        <w:footnoteReference w:id="233"/>
      </w:r>
      <w:r w:rsidR="00C4358F" w:rsidRPr="00E3701B">
        <w:rPr>
          <w:rFonts w:cs="Times New Roman"/>
          <w:i w:val="0"/>
          <w:szCs w:val="20"/>
        </w:rPr>
        <w:t>, así como la exclusión de sus núcleos familiares y la pérdida de sus trabajos</w:t>
      </w:r>
      <w:r w:rsidR="005C5949" w:rsidRPr="00A2619E">
        <w:rPr>
          <w:rStyle w:val="Refdenotaalpie"/>
          <w:i w:val="0"/>
        </w:rPr>
        <w:footnoteReference w:id="234"/>
      </w:r>
      <w:r w:rsidR="00C4358F" w:rsidRPr="00E3701B">
        <w:rPr>
          <w:rFonts w:cs="Times New Roman"/>
          <w:i w:val="0"/>
          <w:szCs w:val="20"/>
        </w:rPr>
        <w:t xml:space="preserve">. En ese sentido, la Corte reitera que el derecho a la salud de las personas </w:t>
      </w:r>
      <w:r w:rsidR="005C5949" w:rsidRPr="00E3701B">
        <w:rPr>
          <w:rFonts w:cs="Times New Roman"/>
          <w:i w:val="0"/>
          <w:szCs w:val="20"/>
        </w:rPr>
        <w:t xml:space="preserve">que viven </w:t>
      </w:r>
      <w:r w:rsidR="00C4358F" w:rsidRPr="00E3701B">
        <w:rPr>
          <w:rFonts w:cs="Times New Roman"/>
          <w:i w:val="0"/>
          <w:szCs w:val="20"/>
        </w:rPr>
        <w:t>con</w:t>
      </w:r>
      <w:r w:rsidR="005C5949" w:rsidRPr="00E3701B">
        <w:rPr>
          <w:rFonts w:cs="Times New Roman"/>
          <w:i w:val="0"/>
          <w:szCs w:val="20"/>
        </w:rPr>
        <w:t xml:space="preserve"> el</w:t>
      </w:r>
      <w:r w:rsidR="00C4358F" w:rsidRPr="00E3701B">
        <w:rPr>
          <w:rFonts w:cs="Times New Roman"/>
          <w:i w:val="0"/>
          <w:szCs w:val="20"/>
        </w:rPr>
        <w:t xml:space="preserve"> VIH incluye la atenc</w:t>
      </w:r>
      <w:r w:rsidR="00E96541" w:rsidRPr="00E3701B">
        <w:rPr>
          <w:rFonts w:cs="Times New Roman"/>
          <w:i w:val="0"/>
          <w:szCs w:val="20"/>
        </w:rPr>
        <w:t>ión médica interdisciplinaria</w:t>
      </w:r>
      <w:r w:rsidR="00C4358F" w:rsidRPr="00E3701B">
        <w:rPr>
          <w:rFonts w:cs="Times New Roman"/>
          <w:i w:val="0"/>
          <w:szCs w:val="20"/>
        </w:rPr>
        <w:t>, a la cual deben tener acceso también los familiares para abordar esos sentimientos, lo que en</w:t>
      </w:r>
      <w:r w:rsidR="00E96541" w:rsidRPr="00E3701B">
        <w:rPr>
          <w:rFonts w:cs="Times New Roman"/>
          <w:i w:val="0"/>
          <w:szCs w:val="20"/>
        </w:rPr>
        <w:t xml:space="preserve"> el presente caso no sucedió.</w:t>
      </w:r>
    </w:p>
    <w:p w14:paraId="742BDDD4" w14:textId="77777777" w:rsidR="00DF3D37" w:rsidRDefault="00DF3D37" w:rsidP="00DF3D37">
      <w:pPr>
        <w:pStyle w:val="Estilo1"/>
        <w:tabs>
          <w:tab w:val="left" w:pos="709"/>
          <w:tab w:val="left" w:pos="1134"/>
        </w:tabs>
        <w:spacing w:after="0"/>
        <w:ind w:left="0" w:right="-4" w:firstLine="0"/>
        <w:rPr>
          <w:rFonts w:cs="Times New Roman"/>
          <w:i w:val="0"/>
          <w:szCs w:val="20"/>
        </w:rPr>
      </w:pPr>
    </w:p>
    <w:p w14:paraId="4CD8234B" w14:textId="56D50AE3" w:rsidR="00F6076B" w:rsidRPr="00A2619E" w:rsidRDefault="00C4358F" w:rsidP="005C5949">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En relación con los sufrimientos que padecen los familiares de personas</w:t>
      </w:r>
      <w:r w:rsidR="005C5949">
        <w:rPr>
          <w:rFonts w:cs="Times New Roman"/>
          <w:i w:val="0"/>
          <w:szCs w:val="20"/>
        </w:rPr>
        <w:t xml:space="preserve"> que viven</w:t>
      </w:r>
      <w:r w:rsidRPr="00A2619E">
        <w:rPr>
          <w:rFonts w:cs="Times New Roman"/>
          <w:i w:val="0"/>
          <w:szCs w:val="20"/>
        </w:rPr>
        <w:t xml:space="preserve"> con</w:t>
      </w:r>
      <w:r w:rsidR="005C5949">
        <w:rPr>
          <w:rFonts w:cs="Times New Roman"/>
          <w:i w:val="0"/>
          <w:szCs w:val="20"/>
        </w:rPr>
        <w:t xml:space="preserve"> el</w:t>
      </w:r>
      <w:r w:rsidRPr="00A2619E">
        <w:rPr>
          <w:rFonts w:cs="Times New Roman"/>
          <w:i w:val="0"/>
          <w:szCs w:val="20"/>
        </w:rPr>
        <w:t xml:space="preserve"> VIH, del peritaje de Olga Alicia Paz</w:t>
      </w:r>
      <w:r w:rsidR="00BA7D89">
        <w:rPr>
          <w:rFonts w:cs="Times New Roman"/>
          <w:i w:val="0"/>
          <w:szCs w:val="20"/>
        </w:rPr>
        <w:t xml:space="preserve"> Bailey</w:t>
      </w:r>
      <w:r w:rsidRPr="00A2619E">
        <w:rPr>
          <w:rFonts w:cs="Times New Roman"/>
          <w:i w:val="0"/>
          <w:szCs w:val="20"/>
        </w:rPr>
        <w:t xml:space="preserve"> es posible desprender que las afectaciones que sufren las personas </w:t>
      </w:r>
      <w:r w:rsidR="005C5949">
        <w:rPr>
          <w:rFonts w:cs="Times New Roman"/>
          <w:i w:val="0"/>
          <w:szCs w:val="20"/>
        </w:rPr>
        <w:t xml:space="preserve">que viven </w:t>
      </w:r>
      <w:r w:rsidRPr="00A2619E">
        <w:rPr>
          <w:rFonts w:cs="Times New Roman"/>
          <w:i w:val="0"/>
          <w:szCs w:val="20"/>
        </w:rPr>
        <w:t xml:space="preserve">con </w:t>
      </w:r>
      <w:r w:rsidR="005C5949">
        <w:rPr>
          <w:rFonts w:cs="Times New Roman"/>
          <w:i w:val="0"/>
          <w:szCs w:val="20"/>
        </w:rPr>
        <w:t xml:space="preserve">el </w:t>
      </w:r>
      <w:r w:rsidRPr="00A2619E">
        <w:rPr>
          <w:rFonts w:cs="Times New Roman"/>
          <w:i w:val="0"/>
          <w:szCs w:val="20"/>
        </w:rPr>
        <w:t xml:space="preserve">VIH trascienden la esfera individual. De esta forma, los miembros de una familia pueden también sufrir afectaciones que se concretan en situaciones en que hijos tengan que asumir el rol de cuidadores o proveedores de los padres, que las abuelas asuman roles de madres o padres, y que se alteren los proyectos personales de vida de los miembros de una familia. En efecto, estas consecuencias son atribuibles al Estado en la medida en que, por sus omisiones en el cumplimiento del deber de garantía del derecho a la salud, las personas </w:t>
      </w:r>
      <w:r w:rsidR="005C5949">
        <w:rPr>
          <w:rFonts w:cs="Times New Roman"/>
          <w:i w:val="0"/>
          <w:szCs w:val="20"/>
        </w:rPr>
        <w:t xml:space="preserve">que viven </w:t>
      </w:r>
      <w:r w:rsidRPr="00A2619E">
        <w:rPr>
          <w:rFonts w:cs="Times New Roman"/>
          <w:i w:val="0"/>
          <w:szCs w:val="20"/>
        </w:rPr>
        <w:t>con</w:t>
      </w:r>
      <w:r w:rsidR="005C5949">
        <w:rPr>
          <w:rFonts w:cs="Times New Roman"/>
          <w:i w:val="0"/>
          <w:szCs w:val="20"/>
        </w:rPr>
        <w:t xml:space="preserve"> el</w:t>
      </w:r>
      <w:r w:rsidRPr="00A2619E">
        <w:rPr>
          <w:rFonts w:cs="Times New Roman"/>
          <w:i w:val="0"/>
          <w:szCs w:val="20"/>
        </w:rPr>
        <w:t xml:space="preserve"> VIH ven afectadas sus capacidades impactando así la vida de sus familiares.</w:t>
      </w:r>
    </w:p>
    <w:p w14:paraId="042DF5F0"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58CB85CB" w14:textId="6F0F3FD4" w:rsidR="00F6076B" w:rsidRPr="00A2619E" w:rsidRDefault="00F6076B" w:rsidP="005C5949">
      <w:pPr>
        <w:pStyle w:val="Estilo1"/>
        <w:numPr>
          <w:ilvl w:val="0"/>
          <w:numId w:val="3"/>
        </w:numPr>
        <w:tabs>
          <w:tab w:val="left" w:pos="709"/>
          <w:tab w:val="left" w:pos="1134"/>
        </w:tabs>
        <w:spacing w:after="0"/>
        <w:ind w:left="0" w:right="-4" w:firstLine="0"/>
        <w:rPr>
          <w:rFonts w:cs="Times New Roman"/>
          <w:i w:val="0"/>
          <w:szCs w:val="20"/>
        </w:rPr>
      </w:pPr>
      <w:r w:rsidRPr="00A2619E">
        <w:rPr>
          <w:i w:val="0"/>
          <w:lang w:val="es-CR"/>
        </w:rPr>
        <w:t>Tanto la Comisión como los representantes alegaron que el estigma que tradicionalmente acompaña al VIH/SIDA afectó no sólo a los familiares sino también al círculo más cercano, por lo cual también debían ser considerados com</w:t>
      </w:r>
      <w:r w:rsidR="005C5949">
        <w:rPr>
          <w:i w:val="0"/>
          <w:lang w:val="es-CR"/>
        </w:rPr>
        <w:t>o víctimas. El Estado no formuló</w:t>
      </w:r>
      <w:r w:rsidRPr="00A2619E">
        <w:rPr>
          <w:i w:val="0"/>
          <w:lang w:val="es-CR"/>
        </w:rPr>
        <w:t xml:space="preserve"> alegatos al respecto. </w:t>
      </w:r>
      <w:r w:rsidR="00D1228D" w:rsidRPr="00A2619E">
        <w:rPr>
          <w:i w:val="0"/>
          <w:lang w:val="es-CR"/>
        </w:rPr>
        <w:t>L</w:t>
      </w:r>
      <w:r w:rsidRPr="00A2619E">
        <w:rPr>
          <w:i w:val="0"/>
          <w:lang w:val="es-CR"/>
        </w:rPr>
        <w:t>a Corte ha reconocido que una persona que no es familiar directo, o que no tenga un parentesco legal, puede ser considerada como víctima de violaciones a su integridad personal por el sufrimiento y dolor que han causado las violaciones a los derechos humanos de sus seres queridos</w:t>
      </w:r>
      <w:r w:rsidRPr="00A2619E">
        <w:rPr>
          <w:rStyle w:val="Refdenotaalpie"/>
          <w:i w:val="0"/>
          <w:lang w:val="es-CR"/>
        </w:rPr>
        <w:footnoteReference w:id="235"/>
      </w:r>
      <w:r w:rsidRPr="00A2619E">
        <w:rPr>
          <w:i w:val="0"/>
          <w:lang w:val="es-CR"/>
        </w:rPr>
        <w:t>. Asimismo, la Corte advierte que los padres y amigos cercanos suelen ser las personas que más apoyo tienen en el cuidado de personas</w:t>
      </w:r>
      <w:r w:rsidR="00D1228D" w:rsidRPr="00A2619E">
        <w:rPr>
          <w:i w:val="0"/>
          <w:lang w:val="es-CR"/>
        </w:rPr>
        <w:t xml:space="preserve"> que viven</w:t>
      </w:r>
      <w:r w:rsidRPr="00A2619E">
        <w:rPr>
          <w:i w:val="0"/>
          <w:lang w:val="es-CR"/>
        </w:rPr>
        <w:t xml:space="preserve"> con</w:t>
      </w:r>
      <w:r w:rsidR="00597B09">
        <w:rPr>
          <w:i w:val="0"/>
          <w:lang w:val="es-CR"/>
        </w:rPr>
        <w:t xml:space="preserve"> el</w:t>
      </w:r>
      <w:r w:rsidRPr="00A2619E">
        <w:rPr>
          <w:i w:val="0"/>
          <w:lang w:val="es-CR"/>
        </w:rPr>
        <w:t xml:space="preserve"> VIH, lo cual es además fundamental para su bienestar psicológico y físico</w:t>
      </w:r>
      <w:r w:rsidRPr="00A2619E">
        <w:rPr>
          <w:rStyle w:val="Refdenotaalpie"/>
          <w:i w:val="0"/>
        </w:rPr>
        <w:footnoteReference w:id="236"/>
      </w:r>
      <w:r w:rsidRPr="00A2619E">
        <w:rPr>
          <w:i w:val="0"/>
          <w:lang w:val="es-CR"/>
        </w:rPr>
        <w:t>. En ese sentido, la Corte considera que</w:t>
      </w:r>
      <w:r w:rsidR="00EE1B7D" w:rsidRPr="00A2619E">
        <w:rPr>
          <w:i w:val="0"/>
          <w:lang w:val="es-CR"/>
        </w:rPr>
        <w:t>,</w:t>
      </w:r>
      <w:r w:rsidRPr="00A2619E">
        <w:rPr>
          <w:i w:val="0"/>
          <w:lang w:val="es-CR"/>
        </w:rPr>
        <w:t xml:space="preserve"> </w:t>
      </w:r>
      <w:r w:rsidR="00EE1B7D" w:rsidRPr="00A2619E">
        <w:rPr>
          <w:i w:val="0"/>
          <w:lang w:val="es-CR"/>
        </w:rPr>
        <w:t xml:space="preserve">en el presente caso, </w:t>
      </w:r>
      <w:r w:rsidRPr="00A2619E">
        <w:rPr>
          <w:i w:val="0"/>
          <w:lang w:val="es-CR"/>
        </w:rPr>
        <w:t>aquellos amigos cercanos que hayan acompañado a las presuntas víctimas</w:t>
      </w:r>
      <w:r w:rsidR="00EE1B7D" w:rsidRPr="00A2619E">
        <w:rPr>
          <w:i w:val="0"/>
          <w:lang w:val="es-CR"/>
        </w:rPr>
        <w:t>,</w:t>
      </w:r>
      <w:r w:rsidRPr="00A2619E">
        <w:rPr>
          <w:i w:val="0"/>
          <w:lang w:val="es-CR"/>
        </w:rPr>
        <w:t xml:space="preserve"> y donde se</w:t>
      </w:r>
      <w:r w:rsidR="00462F6A">
        <w:rPr>
          <w:i w:val="0"/>
          <w:lang w:val="es-CR"/>
        </w:rPr>
        <w:t xml:space="preserve"> h</w:t>
      </w:r>
      <w:r w:rsidRPr="00A2619E">
        <w:rPr>
          <w:i w:val="0"/>
          <w:lang w:val="es-CR"/>
        </w:rPr>
        <w:t>a acreditado un sufrimiento a causa de las violaciones en contra de sus seres queridos, pu</w:t>
      </w:r>
      <w:r w:rsidR="008E387F" w:rsidRPr="00A2619E">
        <w:rPr>
          <w:i w:val="0"/>
          <w:lang w:val="es-CR"/>
        </w:rPr>
        <w:t>eden ser considerados víctimas.</w:t>
      </w:r>
    </w:p>
    <w:p w14:paraId="730CDA65"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32DCE6E8" w14:textId="606C52A8" w:rsidR="00C4358F" w:rsidRPr="00597B09" w:rsidRDefault="00F6076B" w:rsidP="00597B09">
      <w:pPr>
        <w:pStyle w:val="Estilo1"/>
        <w:numPr>
          <w:ilvl w:val="0"/>
          <w:numId w:val="3"/>
        </w:numPr>
        <w:tabs>
          <w:tab w:val="left" w:pos="709"/>
          <w:tab w:val="left" w:pos="1134"/>
        </w:tabs>
        <w:spacing w:after="0"/>
        <w:ind w:left="0" w:right="-4" w:firstLine="0"/>
        <w:rPr>
          <w:rFonts w:cs="Times New Roman"/>
          <w:i w:val="0"/>
          <w:szCs w:val="20"/>
        </w:rPr>
      </w:pPr>
      <w:r w:rsidRPr="00A2619E">
        <w:rPr>
          <w:i w:val="0"/>
          <w:lang w:val="es-CR"/>
        </w:rPr>
        <w:t xml:space="preserve">En lo que respecta al presente caso, la Corte advierte que la señora Luz Imelda Lucas de León, quien fue señalada por la Comisión como amiga de la señora Rita Dubón Orozco, acompañó a la señora Dubón en diversos momentos durante su enfermedad hasta su fallecimiento. En particular, la Corte advierte el sufrimiento que experimentó la señora Lucas de León por el estigma y la discriminación que habría sufrido la señora Dubón, y por los efectos en su salud </w:t>
      </w:r>
      <w:r w:rsidR="001F2C79" w:rsidRPr="00A2619E">
        <w:rPr>
          <w:i w:val="0"/>
          <w:lang w:val="es-CR"/>
        </w:rPr>
        <w:t xml:space="preserve">por </w:t>
      </w:r>
      <w:r w:rsidRPr="00A2619E">
        <w:rPr>
          <w:i w:val="0"/>
          <w:lang w:val="es-CR"/>
        </w:rPr>
        <w:t>la falta de medicamentos y de una atención médica integral. Las omisiones del Estado constituyeron la causa de las afecta</w:t>
      </w:r>
      <w:r w:rsidR="00462F6A">
        <w:rPr>
          <w:i w:val="0"/>
          <w:lang w:val="es-CR"/>
        </w:rPr>
        <w:t>ciones que sufrió la señora Dubó</w:t>
      </w:r>
      <w:r w:rsidRPr="00A2619E">
        <w:rPr>
          <w:i w:val="0"/>
          <w:lang w:val="es-CR"/>
        </w:rPr>
        <w:t>n</w:t>
      </w:r>
      <w:r w:rsidR="001F2C79" w:rsidRPr="00A2619E">
        <w:rPr>
          <w:i w:val="0"/>
          <w:lang w:val="es-CR"/>
        </w:rPr>
        <w:t>,</w:t>
      </w:r>
      <w:r w:rsidRPr="00A2619E">
        <w:rPr>
          <w:i w:val="0"/>
          <w:lang w:val="es-CR"/>
        </w:rPr>
        <w:t xml:space="preserve"> por lo que el Tribunal concluye que el Estado es responsable por la violación a la integridad perso</w:t>
      </w:r>
      <w:r w:rsidR="008E387F" w:rsidRPr="00A2619E">
        <w:rPr>
          <w:i w:val="0"/>
          <w:lang w:val="es-CR"/>
        </w:rPr>
        <w:t>nal de la señora Lucas de León.</w:t>
      </w:r>
      <w:r w:rsidR="00597B09">
        <w:rPr>
          <w:rFonts w:cs="Times New Roman"/>
          <w:i w:val="0"/>
          <w:szCs w:val="20"/>
        </w:rPr>
        <w:t xml:space="preserve"> </w:t>
      </w:r>
      <w:r w:rsidRPr="00597B09">
        <w:rPr>
          <w:i w:val="0"/>
          <w:lang w:val="es-CR"/>
        </w:rPr>
        <w:t>Por otro lado, en lo que respecta a los familiares que ya han sido declarados como víctimas en el caso, la Corte advierte que las afectaciones que pudieron sufrir han quedado subsumidas en el análisis sobre integridad personal por lo que no considera pertinente pronunciarse</w:t>
      </w:r>
      <w:r w:rsidR="00597B09" w:rsidRPr="00597B09">
        <w:rPr>
          <w:i w:val="0"/>
          <w:lang w:val="es-CR"/>
        </w:rPr>
        <w:t xml:space="preserve"> sobre ellas</w:t>
      </w:r>
      <w:r w:rsidR="008E387F" w:rsidRPr="00597B09">
        <w:rPr>
          <w:i w:val="0"/>
          <w:lang w:val="es-CR"/>
        </w:rPr>
        <w:t>.</w:t>
      </w:r>
    </w:p>
    <w:p w14:paraId="723CF807" w14:textId="77777777" w:rsidR="008E387F" w:rsidRPr="00A2619E" w:rsidRDefault="008E387F" w:rsidP="008E387F">
      <w:pPr>
        <w:pStyle w:val="Estilo1"/>
        <w:tabs>
          <w:tab w:val="left" w:pos="709"/>
          <w:tab w:val="left" w:pos="1134"/>
        </w:tabs>
        <w:spacing w:after="0"/>
        <w:ind w:left="0" w:right="-4" w:firstLine="0"/>
        <w:rPr>
          <w:rFonts w:cs="Times New Roman"/>
          <w:i w:val="0"/>
          <w:szCs w:val="20"/>
        </w:rPr>
      </w:pPr>
    </w:p>
    <w:p w14:paraId="2B587B36" w14:textId="28ED5066" w:rsidR="00C4358F" w:rsidRPr="00A2619E" w:rsidRDefault="00C4358F" w:rsidP="00E92CA8">
      <w:pPr>
        <w:pStyle w:val="Estilo1"/>
        <w:numPr>
          <w:ilvl w:val="0"/>
          <w:numId w:val="3"/>
        </w:numPr>
        <w:tabs>
          <w:tab w:val="left" w:pos="709"/>
          <w:tab w:val="left" w:pos="1134"/>
        </w:tabs>
        <w:spacing w:after="0"/>
        <w:ind w:left="0" w:right="-4" w:firstLine="0"/>
        <w:rPr>
          <w:rFonts w:cs="Times New Roman"/>
          <w:i w:val="0"/>
          <w:szCs w:val="20"/>
        </w:rPr>
      </w:pPr>
      <w:r w:rsidRPr="00A2619E">
        <w:rPr>
          <w:rFonts w:cs="Times New Roman"/>
          <w:i w:val="0"/>
          <w:szCs w:val="20"/>
        </w:rPr>
        <w:t xml:space="preserve">En consecuencia, tomando en consideración las circunstancias del presente caso, y que el Estado no controvirtió los alegatos ni las pruebas presentadas por la Comisión y los representantes respecto a las afectaciones que sufrieron los familiares de las víctimas, la Corte concluye que el Estado es responsable por la violación al artículo 5.1 de la Convención Americana en relación al artículo 1.1 en perjuicio de los familiares de las víctimas mencionadas en </w:t>
      </w:r>
      <w:r w:rsidR="00597B09">
        <w:rPr>
          <w:rFonts w:cs="Times New Roman"/>
          <w:i w:val="0"/>
          <w:szCs w:val="20"/>
        </w:rPr>
        <w:t>el Anexo 2 de la presente S</w:t>
      </w:r>
      <w:r w:rsidRPr="00A2619E">
        <w:rPr>
          <w:rFonts w:cs="Times New Roman"/>
          <w:i w:val="0"/>
          <w:szCs w:val="20"/>
        </w:rPr>
        <w:t>entencia.</w:t>
      </w:r>
    </w:p>
    <w:p w14:paraId="7F71EF4C" w14:textId="77777777" w:rsidR="0061727E" w:rsidRPr="005A7378" w:rsidRDefault="0061727E" w:rsidP="0061727E">
      <w:pPr>
        <w:pStyle w:val="Estilo1"/>
        <w:tabs>
          <w:tab w:val="left" w:pos="709"/>
          <w:tab w:val="left" w:pos="1134"/>
        </w:tabs>
        <w:spacing w:after="0"/>
        <w:ind w:left="0" w:right="-4" w:firstLine="0"/>
        <w:rPr>
          <w:rFonts w:cs="Times New Roman"/>
          <w:i w:val="0"/>
          <w:szCs w:val="20"/>
          <w:highlight w:val="yellow"/>
        </w:rPr>
      </w:pPr>
    </w:p>
    <w:p w14:paraId="2CFE433B" w14:textId="19B5EDBE" w:rsidR="006F704E" w:rsidRDefault="00A2328E" w:rsidP="0061727E">
      <w:pPr>
        <w:pStyle w:val="Ttulo1"/>
        <w:spacing w:before="0" w:after="0"/>
      </w:pPr>
      <w:bookmarkStart w:id="92" w:name="_Toc442082558"/>
      <w:bookmarkStart w:id="93" w:name="_Toc486693409"/>
      <w:bookmarkStart w:id="94" w:name="_Toc486842829"/>
      <w:bookmarkStart w:id="95" w:name="_Toc486842963"/>
      <w:bookmarkStart w:id="96" w:name="_Toc508792671"/>
      <w:bookmarkStart w:id="97" w:name="_Toc510690638"/>
      <w:bookmarkStart w:id="98" w:name="_Toc527466500"/>
      <w:r>
        <w:rPr>
          <w:lang w:val="es-ES"/>
        </w:rPr>
        <w:lastRenderedPageBreak/>
        <w:t>IX</w:t>
      </w:r>
      <w:r w:rsidR="00F12B1C">
        <w:rPr>
          <w:lang w:val="es-ES"/>
        </w:rPr>
        <w:t>.</w:t>
      </w:r>
      <w:r w:rsidR="006F704E" w:rsidRPr="0060216C">
        <w:rPr>
          <w:lang w:val="es-ES"/>
        </w:rPr>
        <w:br/>
        <w:t>REPARACIONES</w:t>
      </w:r>
      <w:bookmarkStart w:id="99" w:name="_Toc442082559"/>
      <w:bookmarkEnd w:id="92"/>
      <w:r w:rsidR="006F704E" w:rsidRPr="0060216C">
        <w:rPr>
          <w:lang w:val="es-ES"/>
        </w:rPr>
        <w:br/>
      </w:r>
      <w:r w:rsidR="006F704E" w:rsidRPr="0060216C">
        <w:t>(</w:t>
      </w:r>
      <w:r w:rsidR="00F63F5C">
        <w:t>APLICACIÓN DEL ARTÍCULO 63.1 DE LA CONVENCIÓN AMERICANA</w:t>
      </w:r>
      <w:r w:rsidR="006F704E" w:rsidRPr="0060216C">
        <w:t>)</w:t>
      </w:r>
      <w:bookmarkEnd w:id="93"/>
      <w:bookmarkEnd w:id="94"/>
      <w:bookmarkEnd w:id="95"/>
      <w:bookmarkEnd w:id="96"/>
      <w:bookmarkEnd w:id="97"/>
      <w:bookmarkEnd w:id="98"/>
      <w:bookmarkEnd w:id="99"/>
    </w:p>
    <w:p w14:paraId="5E1CDD6C" w14:textId="77777777" w:rsidR="0061727E" w:rsidRPr="0061727E" w:rsidRDefault="0061727E" w:rsidP="0061727E">
      <w:pPr>
        <w:rPr>
          <w:lang w:val="es-CR" w:eastAsia="es-ES"/>
        </w:rPr>
      </w:pPr>
    </w:p>
    <w:p w14:paraId="3165F564" w14:textId="4ACCB61F" w:rsidR="006F704E" w:rsidRDefault="006F704E" w:rsidP="0061727E">
      <w:pPr>
        <w:numPr>
          <w:ilvl w:val="0"/>
          <w:numId w:val="3"/>
        </w:numPr>
        <w:tabs>
          <w:tab w:val="left" w:pos="709"/>
        </w:tabs>
        <w:ind w:left="0" w:firstLine="0"/>
        <w:rPr>
          <w:rFonts w:cs="Vrinda"/>
          <w:lang w:bidi="en-US"/>
        </w:rPr>
      </w:pPr>
      <w:bookmarkStart w:id="100" w:name="_Toc434937759"/>
      <w:bookmarkStart w:id="101" w:name="_Toc464482622"/>
      <w:bookmarkStart w:id="102" w:name="_Toc486693410"/>
      <w:bookmarkStart w:id="103" w:name="_Toc486842830"/>
      <w:bookmarkStart w:id="104" w:name="_Toc486842964"/>
      <w:bookmarkStart w:id="105" w:name="_Toc508792672"/>
      <w:bookmarkStart w:id="106" w:name="_Toc510690639"/>
      <w:r w:rsidRPr="0060216C">
        <w:rPr>
          <w:rFonts w:cs="Vrinda"/>
          <w:lang w:bidi="en-US"/>
        </w:rPr>
        <w:t>Con base en lo dispuesto en el artículo 63.1 de la Convención Americana</w:t>
      </w:r>
      <w:r w:rsidRPr="0060216C">
        <w:rPr>
          <w:rFonts w:cs="Vrinda"/>
          <w:caps/>
          <w:vertAlign w:val="superscript"/>
        </w:rPr>
        <w:footnoteReference w:id="237"/>
      </w:r>
      <w:r w:rsidRPr="0060216C">
        <w:rPr>
          <w:rFonts w:cs="Vrinda"/>
          <w:lang w:bidi="en-US"/>
        </w:rPr>
        <w:t xml:space="preserve">, la Corte ha indicado que toda </w:t>
      </w:r>
      <w:r w:rsidRPr="0060216C">
        <w:rPr>
          <w:rFonts w:cs="Vrinda"/>
        </w:rPr>
        <w:t>violación</w:t>
      </w:r>
      <w:r w:rsidRPr="0060216C">
        <w:rPr>
          <w:rFonts w:cs="Vrinda"/>
          <w:lang w:bidi="en-US"/>
        </w:rPr>
        <w:t xml:space="preserve"> de una obligación internacional que haya producido daño comporta el deber de repararlo adecuadamente</w:t>
      </w:r>
      <w:r w:rsidR="00BA707C" w:rsidRPr="0060216C">
        <w:rPr>
          <w:rFonts w:cs="Vrinda"/>
          <w:vertAlign w:val="superscript"/>
          <w:lang w:bidi="en-US"/>
        </w:rPr>
        <w:footnoteReference w:id="238"/>
      </w:r>
      <w:r w:rsidRPr="0060216C">
        <w:rPr>
          <w:rFonts w:cs="Vrinda"/>
          <w:lang w:bidi="en-US"/>
        </w:rPr>
        <w:t>, y que esa disposición recoge una norma consuetudinaria que constituye uno de los principios fundamentales del Derecho Internacional contemporáneo sobre responsabilidad de un Estado</w:t>
      </w:r>
      <w:r w:rsidRPr="0060216C">
        <w:rPr>
          <w:rFonts w:cs="Vrinda"/>
          <w:vertAlign w:val="superscript"/>
          <w:lang w:bidi="en-US"/>
        </w:rPr>
        <w:footnoteReference w:id="239"/>
      </w:r>
      <w:r w:rsidR="0061727E">
        <w:rPr>
          <w:rFonts w:cs="Vrinda"/>
          <w:lang w:bidi="en-US"/>
        </w:rPr>
        <w:t>.</w:t>
      </w:r>
    </w:p>
    <w:p w14:paraId="2A73A4AC" w14:textId="77777777" w:rsidR="0061727E" w:rsidRPr="0060216C" w:rsidRDefault="0061727E" w:rsidP="0061727E">
      <w:pPr>
        <w:tabs>
          <w:tab w:val="left" w:pos="709"/>
        </w:tabs>
        <w:rPr>
          <w:rFonts w:cs="Vrinda"/>
          <w:lang w:bidi="en-US"/>
        </w:rPr>
      </w:pPr>
    </w:p>
    <w:p w14:paraId="2F83D7B1" w14:textId="77777777" w:rsidR="006F704E" w:rsidRPr="0061727E" w:rsidRDefault="006F704E" w:rsidP="0061727E">
      <w:pPr>
        <w:numPr>
          <w:ilvl w:val="0"/>
          <w:numId w:val="3"/>
        </w:numPr>
        <w:tabs>
          <w:tab w:val="left" w:pos="709"/>
        </w:tabs>
        <w:ind w:left="0" w:firstLine="0"/>
        <w:rPr>
          <w:rFonts w:cs="Vrinda"/>
          <w:lang w:bidi="en-US"/>
        </w:rPr>
      </w:pPr>
      <w:r w:rsidRPr="0060216C">
        <w:rPr>
          <w:rFonts w:cs="Vrinda"/>
          <w:lang w:bidi="en-US"/>
        </w:rPr>
        <w:t xml:space="preserve">La </w:t>
      </w:r>
      <w:r w:rsidRPr="0060216C">
        <w:rPr>
          <w:rFonts w:cs="Vrinda"/>
        </w:rPr>
        <w:t>reparación del daño ocasionado por la infracción de una obligación internacional requiere, siempre que sea posible, la plena restitución (</w:t>
      </w:r>
      <w:r w:rsidRPr="0060216C">
        <w:rPr>
          <w:rFonts w:cs="Vrinda"/>
          <w:i/>
        </w:rPr>
        <w:t>restitutio in integrum</w:t>
      </w:r>
      <w:r w:rsidRPr="0060216C">
        <w:rPr>
          <w:rFonts w:cs="Vrinda"/>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w:t>
      </w:r>
      <w:r w:rsidRPr="0060216C">
        <w:rPr>
          <w:rStyle w:val="Refdenotaalpie"/>
          <w:rFonts w:cs="Vrinda"/>
        </w:rPr>
        <w:footnoteReference w:id="240"/>
      </w:r>
      <w:r w:rsidRPr="0060216C">
        <w:rPr>
          <w:rFonts w:cs="Vrinda"/>
        </w:rPr>
        <w:t xml:space="preserve">. </w:t>
      </w:r>
      <w:r w:rsidRPr="0060216C">
        <w:t>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60216C">
        <w:rPr>
          <w:rStyle w:val="Refdenotaalpie"/>
        </w:rPr>
        <w:footnoteReference w:id="241"/>
      </w:r>
      <w:r w:rsidRPr="0060216C">
        <w:t>.</w:t>
      </w:r>
    </w:p>
    <w:p w14:paraId="3EF39A50" w14:textId="77777777" w:rsidR="0061727E" w:rsidRPr="0060216C" w:rsidRDefault="0061727E" w:rsidP="0061727E">
      <w:pPr>
        <w:tabs>
          <w:tab w:val="left" w:pos="709"/>
        </w:tabs>
        <w:rPr>
          <w:rFonts w:cs="Vrinda"/>
          <w:lang w:bidi="en-US"/>
        </w:rPr>
      </w:pPr>
    </w:p>
    <w:p w14:paraId="6FF67D63" w14:textId="5C25130B" w:rsidR="006F704E" w:rsidRDefault="006F704E" w:rsidP="0061727E">
      <w:pPr>
        <w:numPr>
          <w:ilvl w:val="0"/>
          <w:numId w:val="3"/>
        </w:numPr>
        <w:tabs>
          <w:tab w:val="left" w:pos="709"/>
        </w:tabs>
        <w:ind w:left="0" w:firstLine="0"/>
        <w:rPr>
          <w:rFonts w:cs="Vrinda"/>
          <w:lang w:bidi="en-US"/>
        </w:rPr>
      </w:pPr>
      <w:r w:rsidRPr="0060216C">
        <w:rPr>
          <w:rFonts w:cs="Vrinda"/>
          <w:lang w:bidi="en-US"/>
        </w:rPr>
        <w:t>Este Tribunal ha establecido que las reparaciones deben tener</w:t>
      </w:r>
      <w:r w:rsidRPr="0060216C">
        <w:rPr>
          <w:rFonts w:cs="Vrinda"/>
        </w:rPr>
        <w:t xml:space="preserve"> </w:t>
      </w:r>
      <w:r w:rsidRPr="0060216C">
        <w:rPr>
          <w:rFonts w:cs="Vrinda"/>
          <w:lang w:bidi="en-US"/>
        </w:rPr>
        <w:t>un nexo causal con los hechos del caso, las violaciones declaradas, los daños acreditados, así como con las medidas solicitadas para reparar l</w:t>
      </w:r>
      <w:r w:rsidRPr="0060216C">
        <w:rPr>
          <w:rFonts w:cs="Vrinda"/>
        </w:rPr>
        <w:t>o</w:t>
      </w:r>
      <w:r w:rsidRPr="0060216C">
        <w:rPr>
          <w:rFonts w:cs="Vrinda"/>
          <w:lang w:bidi="en-US"/>
        </w:rPr>
        <w:t>s daños respectivos. Por lo tanto, la Corte deberá analizar dicha concurrencia para pronunciarse debidamente y conforme a derecho</w:t>
      </w:r>
      <w:r w:rsidRPr="0060216C">
        <w:rPr>
          <w:rFonts w:cs="Vrinda"/>
          <w:vertAlign w:val="superscript"/>
          <w:lang w:bidi="en-US"/>
        </w:rPr>
        <w:footnoteReference w:id="242"/>
      </w:r>
      <w:r w:rsidRPr="0060216C">
        <w:rPr>
          <w:rFonts w:cs="Vrinda"/>
          <w:lang w:bidi="en-US"/>
        </w:rPr>
        <w:t>.</w:t>
      </w:r>
    </w:p>
    <w:p w14:paraId="71C19987" w14:textId="77777777" w:rsidR="0061727E" w:rsidRPr="0060216C" w:rsidRDefault="0061727E" w:rsidP="0061727E">
      <w:pPr>
        <w:tabs>
          <w:tab w:val="left" w:pos="709"/>
        </w:tabs>
        <w:rPr>
          <w:rFonts w:cs="Vrinda"/>
          <w:lang w:bidi="en-US"/>
        </w:rPr>
      </w:pPr>
    </w:p>
    <w:p w14:paraId="5E3521DE" w14:textId="09C6CB80" w:rsidR="006F704E" w:rsidRPr="0061727E" w:rsidRDefault="006F704E" w:rsidP="0061727E">
      <w:pPr>
        <w:numPr>
          <w:ilvl w:val="0"/>
          <w:numId w:val="3"/>
        </w:numPr>
        <w:tabs>
          <w:tab w:val="left" w:pos="709"/>
        </w:tabs>
        <w:ind w:left="0" w:firstLine="0"/>
        <w:rPr>
          <w:rFonts w:cs="Vrinda"/>
          <w:lang w:bidi="en-US"/>
        </w:rPr>
      </w:pPr>
      <w:r w:rsidRPr="0060216C">
        <w:rPr>
          <w:rFonts w:cs="Vrinda"/>
        </w:rPr>
        <w:t xml:space="preserve">En </w:t>
      </w:r>
      <w:r w:rsidRPr="0060216C">
        <w:t>consideración de las violaciones declaradas en los capítulo</w:t>
      </w:r>
      <w:r w:rsidR="00462F6A">
        <w:t>s</w:t>
      </w:r>
      <w:r w:rsidRPr="0060216C">
        <w:t xml:space="preserve"> anteriores, este Tribunal procederá a analizar las pretensiones presentadas por la Comisión y los representantes,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60216C">
        <w:rPr>
          <w:rStyle w:val="Refdenotaalpie"/>
        </w:rPr>
        <w:footnoteReference w:id="243"/>
      </w:r>
      <w:r w:rsidRPr="0060216C">
        <w:t>.</w:t>
      </w:r>
    </w:p>
    <w:p w14:paraId="4CD175FF" w14:textId="77777777" w:rsidR="0061727E" w:rsidRPr="0060216C" w:rsidRDefault="0061727E" w:rsidP="0061727E">
      <w:pPr>
        <w:tabs>
          <w:tab w:val="left" w:pos="709"/>
        </w:tabs>
        <w:rPr>
          <w:rFonts w:cs="Vrinda"/>
          <w:lang w:bidi="en-US"/>
        </w:rPr>
      </w:pPr>
    </w:p>
    <w:p w14:paraId="376138DC" w14:textId="77777777" w:rsidR="006F704E" w:rsidRPr="0061727E" w:rsidRDefault="006F704E" w:rsidP="0061727E">
      <w:pPr>
        <w:numPr>
          <w:ilvl w:val="0"/>
          <w:numId w:val="3"/>
        </w:numPr>
        <w:tabs>
          <w:tab w:val="left" w:pos="709"/>
        </w:tabs>
        <w:ind w:left="0" w:firstLine="0"/>
        <w:rPr>
          <w:rFonts w:cs="Vrinda"/>
          <w:lang w:bidi="en-US"/>
        </w:rPr>
      </w:pPr>
      <w:r w:rsidRPr="0060216C">
        <w:lastRenderedPageBreak/>
        <w:t>La jurisprudencia internacional y en particular de la Corte, ha establecido reiteradamente que la sentencia constituye por sí misma una forma de reparación</w:t>
      </w:r>
      <w:r w:rsidRPr="0060216C">
        <w:rPr>
          <w:rStyle w:val="Refdenotaalpie"/>
          <w:lang w:val="es-ES"/>
        </w:rPr>
        <w:footnoteReference w:id="244"/>
      </w:r>
      <w:r w:rsidRPr="0060216C">
        <w:t>. No obstante, considerando las circunstancias del presente caso y los sufrimientos que las violaciones cometidas causaron a las víctimas, la Corte estima pertinente fijar otras medidas.</w:t>
      </w:r>
    </w:p>
    <w:p w14:paraId="509A1390" w14:textId="77777777" w:rsidR="0061727E" w:rsidRPr="0060216C" w:rsidRDefault="0061727E" w:rsidP="0061727E">
      <w:pPr>
        <w:tabs>
          <w:tab w:val="left" w:pos="709"/>
        </w:tabs>
        <w:rPr>
          <w:rFonts w:cs="Vrinda"/>
          <w:lang w:bidi="en-US"/>
        </w:rPr>
      </w:pPr>
    </w:p>
    <w:p w14:paraId="1229EEBA" w14:textId="1AD6D297" w:rsidR="0061727E" w:rsidRDefault="006F704E" w:rsidP="0061727E">
      <w:pPr>
        <w:pStyle w:val="Ttulo2"/>
        <w:numPr>
          <w:ilvl w:val="0"/>
          <w:numId w:val="35"/>
        </w:numPr>
        <w:spacing w:before="0" w:after="0"/>
      </w:pPr>
      <w:bookmarkStart w:id="107" w:name="_Toc527466501"/>
      <w:r w:rsidRPr="00F63F5C">
        <w:t>Parte Lesionada</w:t>
      </w:r>
      <w:bookmarkEnd w:id="100"/>
      <w:bookmarkEnd w:id="101"/>
      <w:bookmarkEnd w:id="102"/>
      <w:bookmarkEnd w:id="103"/>
      <w:bookmarkEnd w:id="104"/>
      <w:bookmarkEnd w:id="105"/>
      <w:bookmarkEnd w:id="106"/>
      <w:bookmarkEnd w:id="107"/>
    </w:p>
    <w:p w14:paraId="3B187031" w14:textId="77777777" w:rsidR="0061727E" w:rsidRPr="0061727E" w:rsidRDefault="0061727E" w:rsidP="0061727E">
      <w:pPr>
        <w:rPr>
          <w:lang w:val="es-CR"/>
        </w:rPr>
      </w:pPr>
    </w:p>
    <w:p w14:paraId="51739028" w14:textId="74A89A6B" w:rsidR="006F704E" w:rsidRDefault="006F704E" w:rsidP="0061727E">
      <w:pPr>
        <w:numPr>
          <w:ilvl w:val="0"/>
          <w:numId w:val="3"/>
        </w:numPr>
        <w:tabs>
          <w:tab w:val="left" w:pos="709"/>
        </w:tabs>
        <w:ind w:left="0" w:firstLine="0"/>
      </w:pPr>
      <w:bookmarkStart w:id="108" w:name="_Toc520238581"/>
      <w:r w:rsidRPr="00325AD4">
        <w:t>El Tribunal considera parte lesionada, en los términos del artículo 63.1 de la Convención Americana, a quienes han sido declaradas víctima</w:t>
      </w:r>
      <w:r w:rsidR="00802B3D">
        <w:t>s</w:t>
      </w:r>
      <w:r w:rsidRPr="00325AD4">
        <w:t xml:space="preserve"> de la violación de algún derecho reconocido en la misma</w:t>
      </w:r>
      <w:r w:rsidRPr="009E3FC0">
        <w:rPr>
          <w:szCs w:val="20"/>
          <w:vertAlign w:val="superscript"/>
        </w:rPr>
        <w:footnoteReference w:id="245"/>
      </w:r>
      <w:r w:rsidR="00802B3D">
        <w:t>.</w:t>
      </w:r>
      <w:r w:rsidRPr="00325AD4">
        <w:t xml:space="preserve"> Por tanto, esta Corte considera como “parte lesionada” a las víctimas y a sus familiares</w:t>
      </w:r>
      <w:r w:rsidRPr="009E3FC0">
        <w:rPr>
          <w:vertAlign w:val="superscript"/>
        </w:rPr>
        <w:footnoteReference w:id="246"/>
      </w:r>
      <w:r w:rsidRPr="00325AD4">
        <w:t>, quienes en su carácter de víctimas de las violaciones declaradas en esta Sentencia, serán consideradas beneficiarias de las reparaciones que la Corte ordene.</w:t>
      </w:r>
      <w:bookmarkEnd w:id="108"/>
    </w:p>
    <w:p w14:paraId="740A9462" w14:textId="77777777" w:rsidR="0061727E" w:rsidRPr="00325AD4" w:rsidRDefault="0061727E" w:rsidP="0061727E">
      <w:pPr>
        <w:tabs>
          <w:tab w:val="left" w:pos="709"/>
        </w:tabs>
      </w:pPr>
    </w:p>
    <w:p w14:paraId="0E98192B" w14:textId="2FACDC0E" w:rsidR="0061727E" w:rsidRDefault="00E96541" w:rsidP="0061727E">
      <w:pPr>
        <w:pStyle w:val="Ttulo2"/>
        <w:spacing w:before="0" w:after="0"/>
      </w:pPr>
      <w:bookmarkStart w:id="109" w:name="_Toc527466502"/>
      <w:bookmarkStart w:id="110" w:name="_Toc486693413"/>
      <w:bookmarkStart w:id="111" w:name="_Toc486842833"/>
      <w:bookmarkStart w:id="112" w:name="_Toc486842967"/>
      <w:bookmarkStart w:id="113" w:name="_Toc508792674"/>
      <w:bookmarkStart w:id="114" w:name="_Toc510690640"/>
      <w:r>
        <w:t>Medidas de</w:t>
      </w:r>
      <w:r w:rsidR="006F704E" w:rsidRPr="00F63F5C">
        <w:t xml:space="preserve"> rehabilitación, satisfacción y garantías de no repetición</w:t>
      </w:r>
      <w:bookmarkEnd w:id="109"/>
    </w:p>
    <w:p w14:paraId="31474154" w14:textId="77777777" w:rsidR="0061727E" w:rsidRPr="0061727E" w:rsidRDefault="0061727E" w:rsidP="0061727E">
      <w:pPr>
        <w:rPr>
          <w:lang w:val="es-CR"/>
        </w:rPr>
      </w:pPr>
    </w:p>
    <w:bookmarkEnd w:id="110"/>
    <w:bookmarkEnd w:id="111"/>
    <w:bookmarkEnd w:id="112"/>
    <w:bookmarkEnd w:id="113"/>
    <w:bookmarkEnd w:id="114"/>
    <w:p w14:paraId="7514D364" w14:textId="741A5176" w:rsidR="006F704E"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6F704E" w:rsidRPr="00E841F7">
        <w:rPr>
          <w:rFonts w:eastAsia="Times" w:cs="Arial"/>
          <w:b/>
          <w:szCs w:val="20"/>
          <w:lang w:val="es-MX"/>
        </w:rPr>
        <w:t>B.1</w:t>
      </w:r>
      <w:r w:rsidR="00F63F5C" w:rsidRPr="00E841F7">
        <w:rPr>
          <w:rFonts w:eastAsia="Times" w:cs="Arial"/>
          <w:b/>
          <w:szCs w:val="20"/>
          <w:lang w:val="es-MX"/>
        </w:rPr>
        <w:t>.</w:t>
      </w:r>
      <w:r w:rsidR="006F704E" w:rsidRPr="00E841F7">
        <w:rPr>
          <w:rFonts w:eastAsia="Times" w:cs="Arial"/>
          <w:b/>
          <w:szCs w:val="20"/>
          <w:lang w:val="es-MX"/>
        </w:rPr>
        <w:t xml:space="preserve"> Medidas de rehabilitación</w:t>
      </w:r>
    </w:p>
    <w:p w14:paraId="26DC0863" w14:textId="77777777" w:rsidR="0088325B" w:rsidRPr="0061727E" w:rsidRDefault="0088325B" w:rsidP="0061727E"/>
    <w:p w14:paraId="565B8426" w14:textId="66354B56" w:rsidR="006F704E" w:rsidRDefault="00E841F7" w:rsidP="0061727E">
      <w:pPr>
        <w:rPr>
          <w:rFonts w:cs="Vrinda"/>
          <w:b/>
          <w:i/>
          <w:lang w:val="es-ES"/>
        </w:rPr>
      </w:pPr>
      <w:r>
        <w:rPr>
          <w:rFonts w:cs="Vrinda"/>
          <w:i/>
          <w:lang w:val="es-ES"/>
        </w:rPr>
        <w:tab/>
      </w:r>
      <w:r>
        <w:rPr>
          <w:rFonts w:cs="Vrinda"/>
          <w:i/>
          <w:lang w:val="es-ES"/>
        </w:rPr>
        <w:tab/>
      </w:r>
      <w:r>
        <w:rPr>
          <w:rFonts w:cs="Vrinda"/>
          <w:i/>
          <w:lang w:val="es-ES"/>
        </w:rPr>
        <w:tab/>
      </w:r>
      <w:r w:rsidR="006F704E" w:rsidRPr="00F63F5C">
        <w:rPr>
          <w:rFonts w:cs="Vrinda"/>
          <w:b/>
          <w:i/>
          <w:lang w:val="es-ES"/>
        </w:rPr>
        <w:t xml:space="preserve">B.1.1. </w:t>
      </w:r>
      <w:r w:rsidR="00A970D5">
        <w:rPr>
          <w:rFonts w:cs="Vrinda"/>
          <w:b/>
          <w:i/>
          <w:lang w:val="es-ES"/>
        </w:rPr>
        <w:t>Alegatos</w:t>
      </w:r>
      <w:r w:rsidR="006F704E" w:rsidRPr="00F63F5C">
        <w:rPr>
          <w:rFonts w:cs="Vrinda"/>
          <w:b/>
          <w:i/>
          <w:lang w:val="es-ES"/>
        </w:rPr>
        <w:t xml:space="preserve"> de la Comisión y de las partes</w:t>
      </w:r>
    </w:p>
    <w:p w14:paraId="49DE7D99" w14:textId="77777777" w:rsidR="0061727E" w:rsidRPr="0061727E" w:rsidRDefault="0061727E" w:rsidP="0061727E">
      <w:pPr>
        <w:rPr>
          <w:rFonts w:cs="Vrinda"/>
          <w:lang w:val="es-ES"/>
        </w:rPr>
      </w:pPr>
    </w:p>
    <w:p w14:paraId="0D903A92" w14:textId="4BFC5C46" w:rsidR="006F704E" w:rsidRPr="0061727E"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La </w:t>
      </w:r>
      <w:r w:rsidRPr="0060216C">
        <w:rPr>
          <w:rFonts w:cs="Vrinda"/>
          <w:b/>
          <w:i/>
          <w:lang w:val="es-ES"/>
        </w:rPr>
        <w:t>Comisión</w:t>
      </w:r>
      <w:r w:rsidRPr="0060216C">
        <w:rPr>
          <w:rFonts w:eastAsia="Arial" w:cs="Vrinda"/>
          <w:lang w:val="es-ES"/>
        </w:rPr>
        <w:t xml:space="preserve"> </w:t>
      </w:r>
      <w:r w:rsidRPr="0060216C">
        <w:rPr>
          <w:rFonts w:cs="Vrinda"/>
          <w:lang w:val="es-ES"/>
        </w:rPr>
        <w:t xml:space="preserve">solicitó que el Estado repare </w:t>
      </w:r>
      <w:r w:rsidRPr="0060216C">
        <w:rPr>
          <w:rFonts w:eastAsia="Arial" w:cs="Vrinda"/>
          <w:w w:val="105"/>
          <w:lang w:val="es-ES"/>
        </w:rPr>
        <w:t>integral</w:t>
      </w:r>
      <w:r w:rsidRPr="0060216C">
        <w:rPr>
          <w:rFonts w:eastAsia="Arial" w:cs="Vrinda"/>
          <w:spacing w:val="-8"/>
          <w:w w:val="105"/>
          <w:lang w:val="es-ES"/>
        </w:rPr>
        <w:t>m</w:t>
      </w:r>
      <w:r w:rsidRPr="0060216C">
        <w:rPr>
          <w:rFonts w:eastAsia="Arial" w:cs="Vrinda"/>
          <w:w w:val="105"/>
          <w:lang w:val="es-ES"/>
        </w:rPr>
        <w:t xml:space="preserve">ente </w:t>
      </w:r>
      <w:r w:rsidRPr="0060216C">
        <w:rPr>
          <w:rFonts w:eastAsia="Arial" w:cs="Vrinda"/>
          <w:w w:val="83"/>
          <w:lang w:val="es-ES"/>
        </w:rPr>
        <w:t xml:space="preserve">a </w:t>
      </w:r>
      <w:r w:rsidRPr="0060216C">
        <w:rPr>
          <w:rFonts w:eastAsia="Arial" w:cs="Vrinda"/>
          <w:lang w:val="es-ES"/>
        </w:rPr>
        <w:t>las</w:t>
      </w:r>
      <w:r w:rsidRPr="0060216C">
        <w:rPr>
          <w:rFonts w:eastAsia="Arial" w:cs="Vrinda"/>
          <w:spacing w:val="54"/>
          <w:lang w:val="es-ES"/>
        </w:rPr>
        <w:t xml:space="preserve"> </w:t>
      </w:r>
      <w:r w:rsidRPr="0060216C">
        <w:rPr>
          <w:rFonts w:eastAsia="Arial" w:cs="Vrinda"/>
          <w:lang w:val="es-ES"/>
        </w:rPr>
        <w:t>víctimas sobre</w:t>
      </w:r>
      <w:r w:rsidRPr="0060216C">
        <w:rPr>
          <w:rFonts w:eastAsia="Arial" w:cs="Vrinda"/>
          <w:spacing w:val="-2"/>
          <w:lang w:val="es-ES"/>
        </w:rPr>
        <w:t>v</w:t>
      </w:r>
      <w:r w:rsidRPr="0060216C">
        <w:rPr>
          <w:rFonts w:eastAsia="Arial" w:cs="Vrinda"/>
          <w:lang w:val="es-ES"/>
        </w:rPr>
        <w:t>ivi</w:t>
      </w:r>
      <w:r w:rsidRPr="0060216C">
        <w:rPr>
          <w:rFonts w:eastAsia="Arial" w:cs="Vrinda"/>
          <w:spacing w:val="8"/>
          <w:lang w:val="es-ES"/>
        </w:rPr>
        <w:t>e</w:t>
      </w:r>
      <w:r w:rsidRPr="0060216C">
        <w:rPr>
          <w:rFonts w:eastAsia="Arial" w:cs="Vrinda"/>
          <w:spacing w:val="3"/>
          <w:lang w:val="es-ES"/>
        </w:rPr>
        <w:t>n</w:t>
      </w:r>
      <w:r w:rsidRPr="0060216C">
        <w:rPr>
          <w:rFonts w:eastAsia="Arial" w:cs="Vrinda"/>
          <w:lang w:val="es-ES"/>
        </w:rPr>
        <w:t>tes y a</w:t>
      </w:r>
      <w:r w:rsidRPr="0060216C">
        <w:rPr>
          <w:rFonts w:eastAsia="Arial" w:cs="Vrinda"/>
          <w:spacing w:val="50"/>
          <w:lang w:val="es-ES"/>
        </w:rPr>
        <w:t xml:space="preserve"> </w:t>
      </w:r>
      <w:r w:rsidRPr="0060216C">
        <w:rPr>
          <w:rFonts w:eastAsia="Arial" w:cs="Vrinda"/>
          <w:lang w:val="es-ES"/>
        </w:rPr>
        <w:t xml:space="preserve">los </w:t>
      </w:r>
      <w:r w:rsidRPr="0060216C">
        <w:rPr>
          <w:rFonts w:eastAsia="Arial" w:cs="Vrinda"/>
          <w:w w:val="103"/>
          <w:lang w:val="es-ES"/>
        </w:rPr>
        <w:t>fa</w:t>
      </w:r>
      <w:r w:rsidRPr="0060216C">
        <w:rPr>
          <w:rFonts w:eastAsia="Arial" w:cs="Vrinda"/>
          <w:spacing w:val="-7"/>
          <w:w w:val="104"/>
          <w:lang w:val="es-ES"/>
        </w:rPr>
        <w:t>miliar</w:t>
      </w:r>
      <w:r w:rsidRPr="0060216C">
        <w:rPr>
          <w:rFonts w:eastAsia="Arial" w:cs="Vrinda"/>
          <w:w w:val="98"/>
          <w:lang w:val="es-ES"/>
        </w:rPr>
        <w:t>es</w:t>
      </w:r>
      <w:r w:rsidRPr="0060216C">
        <w:rPr>
          <w:rFonts w:eastAsia="Arial" w:cs="Vrinda"/>
          <w:spacing w:val="1"/>
          <w:lang w:val="es-ES"/>
        </w:rPr>
        <w:t xml:space="preserve"> </w:t>
      </w:r>
      <w:r w:rsidRPr="0060216C">
        <w:rPr>
          <w:rFonts w:eastAsia="Arial" w:cs="Vrinda"/>
          <w:lang w:val="es-ES"/>
        </w:rPr>
        <w:t>y s</w:t>
      </w:r>
      <w:r w:rsidRPr="0060216C">
        <w:rPr>
          <w:rFonts w:eastAsia="Arial" w:cs="Vrinda"/>
          <w:spacing w:val="8"/>
          <w:lang w:val="es-ES"/>
        </w:rPr>
        <w:t>e</w:t>
      </w:r>
      <w:r w:rsidRPr="0060216C">
        <w:rPr>
          <w:rFonts w:eastAsia="Arial" w:cs="Vrinda"/>
          <w:lang w:val="es-ES"/>
        </w:rPr>
        <w:t>res queridos</w:t>
      </w:r>
      <w:r w:rsidRPr="0060216C">
        <w:rPr>
          <w:rFonts w:eastAsia="Arial" w:cs="Vrinda"/>
          <w:spacing w:val="11"/>
          <w:lang w:val="es-ES"/>
        </w:rPr>
        <w:t xml:space="preserve"> de </w:t>
      </w:r>
      <w:r w:rsidRPr="0060216C">
        <w:rPr>
          <w:rFonts w:eastAsia="Arial" w:cs="Vrinda"/>
          <w:lang w:val="es-ES"/>
        </w:rPr>
        <w:t>todas las víctimas</w:t>
      </w:r>
      <w:r w:rsidRPr="0060216C">
        <w:rPr>
          <w:rFonts w:eastAsia="Arial" w:cs="Vrinda"/>
          <w:w w:val="106"/>
          <w:lang w:val="es-ES"/>
        </w:rPr>
        <w:t>, adoptando</w:t>
      </w:r>
      <w:r w:rsidRPr="0060216C">
        <w:rPr>
          <w:rFonts w:eastAsia="Arial" w:cs="Vrinda"/>
          <w:spacing w:val="34"/>
          <w:lang w:val="es-ES"/>
        </w:rPr>
        <w:t xml:space="preserve"> </w:t>
      </w:r>
      <w:r w:rsidRPr="0060216C">
        <w:rPr>
          <w:rFonts w:eastAsia="Arial" w:cs="Vrinda"/>
          <w:lang w:val="es-ES"/>
        </w:rPr>
        <w:t>l</w:t>
      </w:r>
      <w:r w:rsidRPr="0060216C">
        <w:rPr>
          <w:rFonts w:eastAsia="Arial" w:cs="Vrinda"/>
          <w:spacing w:val="2"/>
          <w:lang w:val="es-ES"/>
        </w:rPr>
        <w:t>a</w:t>
      </w:r>
      <w:r w:rsidRPr="0060216C">
        <w:rPr>
          <w:rFonts w:eastAsia="Arial" w:cs="Vrinda"/>
          <w:lang w:val="es-ES"/>
        </w:rPr>
        <w:t xml:space="preserve">s medidas </w:t>
      </w:r>
      <w:r w:rsidRPr="0060216C">
        <w:rPr>
          <w:rFonts w:eastAsia="Arial" w:cs="Vrinda"/>
          <w:spacing w:val="-2"/>
          <w:lang w:val="es-ES"/>
        </w:rPr>
        <w:t>n</w:t>
      </w:r>
      <w:r w:rsidRPr="0060216C">
        <w:rPr>
          <w:rFonts w:eastAsia="Arial" w:cs="Vrinda"/>
          <w:lang w:val="es-ES"/>
        </w:rPr>
        <w:t>eces</w:t>
      </w:r>
      <w:r w:rsidRPr="0060216C">
        <w:rPr>
          <w:rFonts w:eastAsia="Arial" w:cs="Vrinda"/>
          <w:spacing w:val="9"/>
          <w:lang w:val="es-ES"/>
        </w:rPr>
        <w:t>a</w:t>
      </w:r>
      <w:r w:rsidRPr="0060216C">
        <w:rPr>
          <w:rFonts w:eastAsia="Arial" w:cs="Vrinda"/>
          <w:lang w:val="es-ES"/>
        </w:rPr>
        <w:t>ri</w:t>
      </w:r>
      <w:r w:rsidRPr="0060216C">
        <w:rPr>
          <w:rFonts w:eastAsia="Arial" w:cs="Vrinda"/>
          <w:spacing w:val="9"/>
          <w:lang w:val="es-ES"/>
        </w:rPr>
        <w:t>a</w:t>
      </w:r>
      <w:r w:rsidRPr="0060216C">
        <w:rPr>
          <w:rFonts w:eastAsia="Arial" w:cs="Vrinda"/>
          <w:lang w:val="es-ES"/>
        </w:rPr>
        <w:t>s</w:t>
      </w:r>
      <w:r w:rsidRPr="0060216C">
        <w:rPr>
          <w:rFonts w:eastAsia="Arial" w:cs="Vrinda"/>
          <w:spacing w:val="46"/>
          <w:lang w:val="es-ES"/>
        </w:rPr>
        <w:t xml:space="preserve"> </w:t>
      </w:r>
      <w:r w:rsidRPr="0060216C">
        <w:rPr>
          <w:rFonts w:eastAsia="Arial" w:cs="Vrinda"/>
          <w:lang w:val="es-ES"/>
        </w:rPr>
        <w:t>para asegurar</w:t>
      </w:r>
      <w:r w:rsidRPr="0060216C">
        <w:rPr>
          <w:rFonts w:eastAsia="Arial" w:cs="Vrinda"/>
          <w:spacing w:val="54"/>
          <w:lang w:val="es-ES"/>
        </w:rPr>
        <w:t xml:space="preserve"> </w:t>
      </w:r>
      <w:r w:rsidRPr="0060216C">
        <w:rPr>
          <w:rFonts w:eastAsia="Arial" w:cs="Vrinda"/>
          <w:lang w:val="es-ES"/>
        </w:rPr>
        <w:t xml:space="preserve">que </w:t>
      </w:r>
      <w:r w:rsidRPr="0060216C">
        <w:rPr>
          <w:rFonts w:eastAsia="Arial" w:cs="Vrinda"/>
          <w:spacing w:val="1"/>
          <w:lang w:val="es-ES"/>
        </w:rPr>
        <w:t>c</w:t>
      </w:r>
      <w:r w:rsidRPr="0060216C">
        <w:rPr>
          <w:rFonts w:eastAsia="Arial" w:cs="Vrinda"/>
          <w:lang w:val="es-ES"/>
        </w:rPr>
        <w:t>uenten</w:t>
      </w:r>
      <w:r w:rsidRPr="0060216C">
        <w:rPr>
          <w:rFonts w:eastAsia="Arial" w:cs="Vrinda"/>
          <w:spacing w:val="22"/>
          <w:lang w:val="es-ES"/>
        </w:rPr>
        <w:t xml:space="preserve"> </w:t>
      </w:r>
      <w:r w:rsidRPr="0060216C">
        <w:rPr>
          <w:rFonts w:eastAsia="Arial" w:cs="Vrinda"/>
          <w:lang w:val="es-ES"/>
        </w:rPr>
        <w:t>con</w:t>
      </w:r>
      <w:r w:rsidRPr="0060216C">
        <w:rPr>
          <w:rFonts w:eastAsia="Arial" w:cs="Vrinda"/>
          <w:spacing w:val="19"/>
          <w:lang w:val="es-ES"/>
        </w:rPr>
        <w:t xml:space="preserve"> </w:t>
      </w:r>
      <w:r w:rsidRPr="0060216C">
        <w:rPr>
          <w:rFonts w:eastAsia="Arial" w:cs="Vrinda"/>
          <w:lang w:val="es-ES"/>
        </w:rPr>
        <w:t>atención</w:t>
      </w:r>
      <w:r w:rsidRPr="0060216C">
        <w:rPr>
          <w:rFonts w:eastAsia="Arial" w:cs="Vrinda"/>
          <w:spacing w:val="34"/>
          <w:lang w:val="es-ES"/>
        </w:rPr>
        <w:t xml:space="preserve"> </w:t>
      </w:r>
      <w:r w:rsidRPr="0060216C">
        <w:rPr>
          <w:rFonts w:eastAsia="Arial" w:cs="Vrinda"/>
          <w:lang w:val="es-ES"/>
        </w:rPr>
        <w:t>medica</w:t>
      </w:r>
      <w:r w:rsidRPr="0060216C">
        <w:rPr>
          <w:rFonts w:eastAsia="Arial" w:cs="Vrinda"/>
          <w:spacing w:val="18"/>
          <w:lang w:val="es-ES"/>
        </w:rPr>
        <w:t xml:space="preserve"> </w:t>
      </w:r>
      <w:r w:rsidRPr="0060216C">
        <w:rPr>
          <w:rFonts w:eastAsia="Arial" w:cs="Vrinda"/>
          <w:lang w:val="es-ES"/>
        </w:rPr>
        <w:t>int</w:t>
      </w:r>
      <w:r w:rsidRPr="0060216C">
        <w:rPr>
          <w:rFonts w:eastAsia="Arial" w:cs="Vrinda"/>
          <w:spacing w:val="-9"/>
          <w:lang w:val="es-ES"/>
        </w:rPr>
        <w:t>e</w:t>
      </w:r>
      <w:r w:rsidRPr="0060216C">
        <w:rPr>
          <w:rFonts w:eastAsia="Arial" w:cs="Vrinda"/>
          <w:spacing w:val="-7"/>
          <w:lang w:val="es-ES"/>
        </w:rPr>
        <w:t>g</w:t>
      </w:r>
      <w:r w:rsidRPr="0060216C">
        <w:rPr>
          <w:rFonts w:eastAsia="Arial" w:cs="Vrinda"/>
          <w:lang w:val="es-ES"/>
        </w:rPr>
        <w:t>ral,</w:t>
      </w:r>
      <w:r w:rsidRPr="0060216C">
        <w:rPr>
          <w:rFonts w:eastAsia="Arial" w:cs="Vrinda"/>
          <w:spacing w:val="26"/>
          <w:lang w:val="es-ES"/>
        </w:rPr>
        <w:t xml:space="preserve"> </w:t>
      </w:r>
      <w:r w:rsidRPr="0060216C">
        <w:rPr>
          <w:rFonts w:eastAsia="Arial" w:cs="Vrinda"/>
          <w:lang w:val="es-ES"/>
        </w:rPr>
        <w:t>seg</w:t>
      </w:r>
      <w:r w:rsidRPr="0060216C">
        <w:rPr>
          <w:rFonts w:eastAsia="Arial" w:cs="Vrinda"/>
          <w:spacing w:val="-9"/>
          <w:lang w:val="es-ES"/>
        </w:rPr>
        <w:t>ú</w:t>
      </w:r>
      <w:r w:rsidRPr="0060216C">
        <w:rPr>
          <w:rFonts w:eastAsia="Arial" w:cs="Vrinda"/>
          <w:lang w:val="es-ES"/>
        </w:rPr>
        <w:t>n los</w:t>
      </w:r>
      <w:r w:rsidRPr="0060216C">
        <w:rPr>
          <w:rFonts w:eastAsia="Arial" w:cs="Vrinda"/>
          <w:spacing w:val="7"/>
          <w:lang w:val="es-ES"/>
        </w:rPr>
        <w:t xml:space="preserve"> </w:t>
      </w:r>
      <w:r w:rsidRPr="0060216C">
        <w:rPr>
          <w:rFonts w:eastAsia="Arial" w:cs="Vrinda"/>
          <w:lang w:val="es-ES"/>
        </w:rPr>
        <w:t>estándares</w:t>
      </w:r>
      <w:r w:rsidRPr="0060216C">
        <w:rPr>
          <w:rFonts w:eastAsia="Arial" w:cs="Vrinda"/>
          <w:spacing w:val="5"/>
          <w:lang w:val="es-ES"/>
        </w:rPr>
        <w:t xml:space="preserve"> </w:t>
      </w:r>
      <w:r w:rsidRPr="0060216C">
        <w:rPr>
          <w:rFonts w:eastAsia="Arial" w:cs="Vrinda"/>
          <w:lang w:val="es-ES"/>
        </w:rPr>
        <w:t>intern</w:t>
      </w:r>
      <w:r w:rsidRPr="0060216C">
        <w:rPr>
          <w:rFonts w:eastAsia="Arial" w:cs="Vrinda"/>
          <w:spacing w:val="7"/>
          <w:lang w:val="es-ES"/>
        </w:rPr>
        <w:t>a</w:t>
      </w:r>
      <w:r w:rsidRPr="0060216C">
        <w:rPr>
          <w:rFonts w:eastAsia="Arial" w:cs="Vrinda"/>
          <w:lang w:val="es-ES"/>
        </w:rPr>
        <w:t>c</w:t>
      </w:r>
      <w:r w:rsidRPr="0060216C">
        <w:rPr>
          <w:rFonts w:eastAsia="Arial" w:cs="Vrinda"/>
          <w:spacing w:val="-6"/>
          <w:lang w:val="es-ES"/>
        </w:rPr>
        <w:t>i</w:t>
      </w:r>
      <w:r w:rsidRPr="0060216C">
        <w:rPr>
          <w:rFonts w:eastAsia="Arial" w:cs="Vrinda"/>
          <w:lang w:val="es-ES"/>
        </w:rPr>
        <w:t>onales,</w:t>
      </w:r>
      <w:r w:rsidRPr="0060216C">
        <w:rPr>
          <w:rFonts w:eastAsia="Arial" w:cs="Vrinda"/>
          <w:spacing w:val="8"/>
          <w:lang w:val="es-ES"/>
        </w:rPr>
        <w:t xml:space="preserve"> </w:t>
      </w:r>
      <w:r w:rsidRPr="0060216C">
        <w:rPr>
          <w:rFonts w:eastAsia="Arial" w:cs="Vrinda"/>
          <w:lang w:val="es-ES"/>
        </w:rPr>
        <w:t>que</w:t>
      </w:r>
      <w:r w:rsidRPr="0060216C">
        <w:rPr>
          <w:rFonts w:eastAsia="Arial" w:cs="Vrinda"/>
          <w:spacing w:val="24"/>
          <w:lang w:val="es-ES"/>
        </w:rPr>
        <w:t xml:space="preserve"> </w:t>
      </w:r>
      <w:r w:rsidRPr="0060216C">
        <w:rPr>
          <w:rFonts w:eastAsia="Arial" w:cs="Vrinda"/>
          <w:lang w:val="es-ES"/>
        </w:rPr>
        <w:t>inc</w:t>
      </w:r>
      <w:r w:rsidRPr="0060216C">
        <w:rPr>
          <w:rFonts w:eastAsia="Arial" w:cs="Vrinda"/>
          <w:spacing w:val="-7"/>
          <w:lang w:val="es-ES"/>
        </w:rPr>
        <w:t>l</w:t>
      </w:r>
      <w:r w:rsidRPr="0060216C">
        <w:rPr>
          <w:rFonts w:eastAsia="Arial" w:cs="Vrinda"/>
          <w:spacing w:val="-6"/>
          <w:lang w:val="es-ES"/>
        </w:rPr>
        <w:t>u</w:t>
      </w:r>
      <w:r w:rsidRPr="0060216C">
        <w:rPr>
          <w:rFonts w:eastAsia="Arial" w:cs="Vrinda"/>
          <w:lang w:val="es-ES"/>
        </w:rPr>
        <w:t>yen,</w:t>
      </w:r>
      <w:r w:rsidRPr="0060216C">
        <w:rPr>
          <w:rFonts w:eastAsia="Arial" w:cs="Vrinda"/>
          <w:spacing w:val="35"/>
          <w:lang w:val="es-ES"/>
        </w:rPr>
        <w:t xml:space="preserve"> </w:t>
      </w:r>
      <w:r w:rsidRPr="0060216C">
        <w:rPr>
          <w:rFonts w:eastAsia="Arial" w:cs="Vrinda"/>
          <w:lang w:val="es-ES"/>
        </w:rPr>
        <w:t>entre</w:t>
      </w:r>
      <w:r w:rsidRPr="0060216C">
        <w:rPr>
          <w:rFonts w:eastAsia="Arial" w:cs="Vrinda"/>
          <w:spacing w:val="33"/>
          <w:lang w:val="es-ES"/>
        </w:rPr>
        <w:t xml:space="preserve"> </w:t>
      </w:r>
      <w:r w:rsidRPr="0060216C">
        <w:rPr>
          <w:rFonts w:eastAsia="Arial" w:cs="Vrinda"/>
          <w:lang w:val="es-ES"/>
        </w:rPr>
        <w:t>otras necesidades:</w:t>
      </w:r>
      <w:r w:rsidRPr="0060216C">
        <w:rPr>
          <w:rFonts w:eastAsia="Arial" w:cs="Vrinda"/>
          <w:spacing w:val="-15"/>
          <w:lang w:val="es-ES"/>
        </w:rPr>
        <w:t xml:space="preserve"> </w:t>
      </w:r>
      <w:r w:rsidRPr="0060216C">
        <w:rPr>
          <w:rFonts w:eastAsia="Arial" w:cs="Vrinda"/>
          <w:lang w:val="es-ES"/>
        </w:rPr>
        <w:t>i)</w:t>
      </w:r>
      <w:r w:rsidRPr="0060216C">
        <w:rPr>
          <w:rFonts w:eastAsia="Arial" w:cs="Vrinda"/>
          <w:spacing w:val="19"/>
          <w:lang w:val="es-ES"/>
        </w:rPr>
        <w:t xml:space="preserve"> </w:t>
      </w:r>
      <w:r w:rsidRPr="0060216C">
        <w:rPr>
          <w:rFonts w:eastAsia="Arial" w:cs="Vrinda"/>
          <w:lang w:val="es-ES"/>
        </w:rPr>
        <w:t>la</w:t>
      </w:r>
      <w:r w:rsidRPr="0060216C">
        <w:rPr>
          <w:rFonts w:eastAsia="Arial" w:cs="Vrinda"/>
          <w:spacing w:val="14"/>
          <w:lang w:val="es-ES"/>
        </w:rPr>
        <w:t xml:space="preserve"> </w:t>
      </w:r>
      <w:r w:rsidRPr="0060216C">
        <w:rPr>
          <w:rFonts w:eastAsia="Arial" w:cs="Vrinda"/>
          <w:lang w:val="es-ES"/>
        </w:rPr>
        <w:t>real</w:t>
      </w:r>
      <w:r w:rsidRPr="0060216C">
        <w:rPr>
          <w:rFonts w:eastAsia="Arial" w:cs="Vrinda"/>
          <w:spacing w:val="-13"/>
          <w:lang w:val="es-ES"/>
        </w:rPr>
        <w:t>i</w:t>
      </w:r>
      <w:r w:rsidRPr="0060216C">
        <w:rPr>
          <w:rFonts w:eastAsia="Arial" w:cs="Vrinda"/>
          <w:lang w:val="es-ES"/>
        </w:rPr>
        <w:t>zaci</w:t>
      </w:r>
      <w:r w:rsidRPr="0060216C">
        <w:rPr>
          <w:rFonts w:eastAsia="Arial" w:cs="Vrinda"/>
          <w:spacing w:val="7"/>
          <w:lang w:val="es-ES"/>
        </w:rPr>
        <w:t>ó</w:t>
      </w:r>
      <w:r w:rsidRPr="0060216C">
        <w:rPr>
          <w:rFonts w:eastAsia="Arial" w:cs="Vrinda"/>
          <w:lang w:val="es-ES"/>
        </w:rPr>
        <w:t>n</w:t>
      </w:r>
      <w:r w:rsidRPr="0060216C">
        <w:rPr>
          <w:rFonts w:eastAsia="Arial" w:cs="Vrinda"/>
          <w:spacing w:val="8"/>
          <w:lang w:val="es-ES"/>
        </w:rPr>
        <w:t xml:space="preserve"> </w:t>
      </w:r>
      <w:r w:rsidRPr="0060216C">
        <w:rPr>
          <w:rFonts w:eastAsia="Arial" w:cs="Vrinda"/>
          <w:w w:val="101"/>
          <w:lang w:val="es-ES"/>
        </w:rPr>
        <w:t xml:space="preserve">de </w:t>
      </w:r>
      <w:r w:rsidRPr="0060216C">
        <w:rPr>
          <w:rFonts w:eastAsia="Arial" w:cs="Vrinda"/>
          <w:lang w:val="es-ES"/>
        </w:rPr>
        <w:t>diagnósticos completos y de ex</w:t>
      </w:r>
      <w:r w:rsidRPr="0060216C">
        <w:rPr>
          <w:rFonts w:eastAsia="Arial" w:cs="Vrinda"/>
          <w:spacing w:val="9"/>
          <w:lang w:val="es-ES"/>
        </w:rPr>
        <w:t>á</w:t>
      </w:r>
      <w:r w:rsidRPr="0060216C">
        <w:rPr>
          <w:rFonts w:eastAsia="Arial" w:cs="Vrinda"/>
          <w:lang w:val="es-ES"/>
        </w:rPr>
        <w:t>me</w:t>
      </w:r>
      <w:r w:rsidRPr="0060216C">
        <w:rPr>
          <w:rFonts w:eastAsia="Arial" w:cs="Vrinda"/>
          <w:spacing w:val="-10"/>
          <w:lang w:val="es-ES"/>
        </w:rPr>
        <w:t>n</w:t>
      </w:r>
      <w:r w:rsidRPr="0060216C">
        <w:rPr>
          <w:rFonts w:eastAsia="Arial" w:cs="Vrinda"/>
          <w:lang w:val="es-ES"/>
        </w:rPr>
        <w:t>es</w:t>
      </w:r>
      <w:r w:rsidRPr="0060216C">
        <w:rPr>
          <w:rFonts w:eastAsia="Arial" w:cs="Vrinda"/>
          <w:spacing w:val="44"/>
          <w:lang w:val="es-ES"/>
        </w:rPr>
        <w:t xml:space="preserve"> </w:t>
      </w:r>
      <w:r w:rsidRPr="0060216C">
        <w:rPr>
          <w:rFonts w:eastAsia="Arial" w:cs="Vrinda"/>
          <w:lang w:val="es-ES"/>
        </w:rPr>
        <w:t>de</w:t>
      </w:r>
      <w:r w:rsidRPr="0060216C">
        <w:rPr>
          <w:rFonts w:eastAsia="Arial" w:cs="Vrinda"/>
          <w:spacing w:val="6"/>
          <w:lang w:val="es-ES"/>
        </w:rPr>
        <w:t xml:space="preserve"> </w:t>
      </w:r>
      <w:r w:rsidRPr="0060216C">
        <w:rPr>
          <w:rFonts w:eastAsia="Arial" w:cs="Vrinda"/>
          <w:lang w:val="es-ES"/>
        </w:rPr>
        <w:t>se</w:t>
      </w:r>
      <w:r w:rsidRPr="0060216C">
        <w:rPr>
          <w:rFonts w:eastAsia="Arial" w:cs="Vrinda"/>
          <w:spacing w:val="-14"/>
          <w:lang w:val="es-ES"/>
        </w:rPr>
        <w:t>g</w:t>
      </w:r>
      <w:r w:rsidRPr="0060216C">
        <w:rPr>
          <w:rFonts w:eastAsia="Arial" w:cs="Vrinda"/>
          <w:lang w:val="es-ES"/>
        </w:rPr>
        <w:t>uimiento periód</w:t>
      </w:r>
      <w:r w:rsidRPr="0060216C">
        <w:rPr>
          <w:rFonts w:eastAsia="Arial" w:cs="Vrinda"/>
          <w:spacing w:val="-23"/>
          <w:lang w:val="es-ES"/>
        </w:rPr>
        <w:t>i</w:t>
      </w:r>
      <w:r w:rsidRPr="0060216C">
        <w:rPr>
          <w:rFonts w:eastAsia="Arial" w:cs="Vrinda"/>
          <w:lang w:val="es-ES"/>
        </w:rPr>
        <w:t>cos;</w:t>
      </w:r>
      <w:r w:rsidRPr="0060216C">
        <w:rPr>
          <w:rFonts w:eastAsia="Arial" w:cs="Vrinda"/>
          <w:spacing w:val="8"/>
          <w:lang w:val="es-ES"/>
        </w:rPr>
        <w:t xml:space="preserve"> </w:t>
      </w:r>
      <w:r w:rsidRPr="0060216C">
        <w:rPr>
          <w:rFonts w:eastAsia="Arial" w:cs="Vrinda"/>
          <w:lang w:val="es-ES"/>
        </w:rPr>
        <w:t>ii)</w:t>
      </w:r>
      <w:r w:rsidRPr="0060216C">
        <w:rPr>
          <w:rFonts w:eastAsia="Arial" w:cs="Vrinda"/>
          <w:spacing w:val="13"/>
          <w:lang w:val="es-ES"/>
        </w:rPr>
        <w:t xml:space="preserve"> </w:t>
      </w:r>
      <w:r w:rsidRPr="0060216C">
        <w:rPr>
          <w:rFonts w:eastAsia="Arial" w:cs="Vrinda"/>
          <w:lang w:val="es-ES"/>
        </w:rPr>
        <w:t xml:space="preserve">la </w:t>
      </w:r>
      <w:r w:rsidRPr="0060216C">
        <w:rPr>
          <w:rFonts w:eastAsia="Arial" w:cs="Vrinda"/>
          <w:w w:val="104"/>
          <w:lang w:val="es-ES"/>
        </w:rPr>
        <w:t xml:space="preserve">provisión </w:t>
      </w:r>
      <w:r w:rsidRPr="0060216C">
        <w:rPr>
          <w:rFonts w:eastAsia="Arial" w:cs="Vrinda"/>
          <w:lang w:val="es-ES"/>
        </w:rPr>
        <w:t>permanente e</w:t>
      </w:r>
      <w:r w:rsidRPr="0060216C">
        <w:rPr>
          <w:rFonts w:eastAsia="Arial" w:cs="Vrinda"/>
          <w:spacing w:val="36"/>
          <w:lang w:val="es-ES"/>
        </w:rPr>
        <w:t xml:space="preserve"> </w:t>
      </w:r>
      <w:r w:rsidRPr="0060216C">
        <w:rPr>
          <w:rFonts w:eastAsia="Arial" w:cs="Vrinda"/>
          <w:w w:val="105"/>
          <w:lang w:val="es-ES"/>
        </w:rPr>
        <w:t>ininterrumpi</w:t>
      </w:r>
      <w:r w:rsidRPr="0060216C">
        <w:rPr>
          <w:rFonts w:eastAsia="Arial" w:cs="Vrinda"/>
          <w:spacing w:val="-8"/>
          <w:w w:val="105"/>
          <w:lang w:val="es-ES"/>
        </w:rPr>
        <w:t>d</w:t>
      </w:r>
      <w:r w:rsidRPr="0060216C">
        <w:rPr>
          <w:rFonts w:eastAsia="Arial" w:cs="Vrinda"/>
          <w:w w:val="105"/>
          <w:lang w:val="es-ES"/>
        </w:rPr>
        <w:t xml:space="preserve">a </w:t>
      </w:r>
      <w:r w:rsidRPr="0060216C">
        <w:rPr>
          <w:rFonts w:eastAsia="Arial" w:cs="Vrinda"/>
          <w:spacing w:val="-1"/>
          <w:lang w:val="es-ES"/>
        </w:rPr>
        <w:t>d</w:t>
      </w:r>
      <w:r w:rsidRPr="0060216C">
        <w:rPr>
          <w:rFonts w:eastAsia="Arial" w:cs="Vrinda"/>
          <w:lang w:val="es-ES"/>
        </w:rPr>
        <w:t>e</w:t>
      </w:r>
      <w:r w:rsidRPr="0060216C">
        <w:rPr>
          <w:rFonts w:eastAsia="Arial" w:cs="Vrinda"/>
          <w:spacing w:val="48"/>
          <w:lang w:val="es-ES"/>
        </w:rPr>
        <w:t xml:space="preserve"> </w:t>
      </w:r>
      <w:r w:rsidRPr="0060216C">
        <w:rPr>
          <w:rFonts w:eastAsia="Arial" w:cs="Vrinda"/>
          <w:lang w:val="es-ES"/>
        </w:rPr>
        <w:t>los</w:t>
      </w:r>
      <w:r w:rsidRPr="0060216C">
        <w:rPr>
          <w:rFonts w:eastAsia="Arial" w:cs="Vrinda"/>
          <w:spacing w:val="44"/>
          <w:lang w:val="es-ES"/>
        </w:rPr>
        <w:t xml:space="preserve"> </w:t>
      </w:r>
      <w:r w:rsidRPr="0060216C">
        <w:rPr>
          <w:rFonts w:eastAsia="Arial" w:cs="Vrinda"/>
          <w:lang w:val="es-ES"/>
        </w:rPr>
        <w:t>medicamentos anti</w:t>
      </w:r>
      <w:r w:rsidR="00C87EE9">
        <w:rPr>
          <w:rFonts w:eastAsia="Arial" w:cs="Vrinda"/>
          <w:lang w:val="es-ES"/>
        </w:rPr>
        <w:t>r</w:t>
      </w:r>
      <w:r w:rsidRPr="0060216C">
        <w:rPr>
          <w:rFonts w:eastAsia="Arial" w:cs="Vrinda"/>
          <w:lang w:val="es-ES"/>
        </w:rPr>
        <w:t>retrovirales req</w:t>
      </w:r>
      <w:r w:rsidRPr="0060216C">
        <w:rPr>
          <w:rFonts w:eastAsia="Arial" w:cs="Vrinda"/>
          <w:spacing w:val="-1"/>
          <w:lang w:val="es-ES"/>
        </w:rPr>
        <w:t>u</w:t>
      </w:r>
      <w:r w:rsidRPr="0060216C">
        <w:rPr>
          <w:rFonts w:eastAsia="Arial" w:cs="Vrinda"/>
          <w:spacing w:val="1"/>
          <w:lang w:val="es-ES"/>
        </w:rPr>
        <w:t>e</w:t>
      </w:r>
      <w:r w:rsidRPr="0060216C">
        <w:rPr>
          <w:rFonts w:eastAsia="Arial" w:cs="Vrinda"/>
          <w:lang w:val="es-ES"/>
        </w:rPr>
        <w:t>ridos y</w:t>
      </w:r>
      <w:r w:rsidRPr="0060216C">
        <w:rPr>
          <w:rFonts w:eastAsia="Arial" w:cs="Vrinda"/>
          <w:spacing w:val="43"/>
          <w:lang w:val="es-ES"/>
        </w:rPr>
        <w:t xml:space="preserve"> </w:t>
      </w:r>
      <w:r w:rsidRPr="0060216C">
        <w:rPr>
          <w:rFonts w:eastAsia="Arial" w:cs="Vrinda"/>
          <w:w w:val="101"/>
          <w:lang w:val="es-ES"/>
        </w:rPr>
        <w:t xml:space="preserve">de </w:t>
      </w:r>
      <w:r w:rsidRPr="0060216C">
        <w:rPr>
          <w:rFonts w:eastAsia="Arial" w:cs="Vrinda"/>
          <w:lang w:val="es-ES"/>
        </w:rPr>
        <w:t>otros</w:t>
      </w:r>
      <w:r w:rsidRPr="0060216C">
        <w:rPr>
          <w:rFonts w:eastAsia="Arial" w:cs="Vrinda"/>
          <w:spacing w:val="32"/>
          <w:lang w:val="es-ES"/>
        </w:rPr>
        <w:t xml:space="preserve"> </w:t>
      </w:r>
      <w:r w:rsidRPr="0060216C">
        <w:rPr>
          <w:rFonts w:eastAsia="Arial" w:cs="Vrinda"/>
          <w:lang w:val="es-ES"/>
        </w:rPr>
        <w:t>que</w:t>
      </w:r>
      <w:r w:rsidRPr="0060216C">
        <w:rPr>
          <w:rFonts w:eastAsia="Arial" w:cs="Vrinda"/>
          <w:spacing w:val="21"/>
          <w:lang w:val="es-ES"/>
        </w:rPr>
        <w:t xml:space="preserve"> </w:t>
      </w:r>
      <w:r w:rsidRPr="0060216C">
        <w:rPr>
          <w:rFonts w:eastAsia="Arial" w:cs="Vrinda"/>
          <w:lang w:val="es-ES"/>
        </w:rPr>
        <w:t>puedan</w:t>
      </w:r>
      <w:r w:rsidRPr="0060216C">
        <w:rPr>
          <w:rFonts w:eastAsia="Arial" w:cs="Vrinda"/>
          <w:spacing w:val="18"/>
          <w:lang w:val="es-ES"/>
        </w:rPr>
        <w:t xml:space="preserve"> </w:t>
      </w:r>
      <w:r w:rsidRPr="0060216C">
        <w:rPr>
          <w:rFonts w:eastAsia="Arial" w:cs="Vrinda"/>
          <w:lang w:val="es-ES"/>
        </w:rPr>
        <w:t>n</w:t>
      </w:r>
      <w:r w:rsidRPr="0060216C">
        <w:rPr>
          <w:rFonts w:eastAsia="Arial" w:cs="Vrinda"/>
          <w:spacing w:val="6"/>
          <w:lang w:val="es-ES"/>
        </w:rPr>
        <w:t>e</w:t>
      </w:r>
      <w:r w:rsidRPr="0060216C">
        <w:rPr>
          <w:rFonts w:eastAsia="Arial" w:cs="Vrinda"/>
          <w:lang w:val="es-ES"/>
        </w:rPr>
        <w:t>ce</w:t>
      </w:r>
      <w:r w:rsidRPr="0060216C">
        <w:rPr>
          <w:rFonts w:eastAsia="Arial" w:cs="Vrinda"/>
          <w:spacing w:val="-4"/>
          <w:lang w:val="es-ES"/>
        </w:rPr>
        <w:t>s</w:t>
      </w:r>
      <w:r w:rsidRPr="0060216C">
        <w:rPr>
          <w:rFonts w:eastAsia="Arial" w:cs="Vrinda"/>
          <w:lang w:val="es-ES"/>
        </w:rPr>
        <w:t>itar</w:t>
      </w:r>
      <w:r w:rsidRPr="0060216C">
        <w:rPr>
          <w:rFonts w:eastAsia="Arial" w:cs="Vrinda"/>
          <w:spacing w:val="17"/>
          <w:lang w:val="es-ES"/>
        </w:rPr>
        <w:t xml:space="preserve"> </w:t>
      </w:r>
      <w:r w:rsidRPr="0060216C">
        <w:rPr>
          <w:rFonts w:eastAsia="Arial" w:cs="Vrinda"/>
          <w:w w:val="103"/>
          <w:lang w:val="es-ES"/>
        </w:rPr>
        <w:t>derivado</w:t>
      </w:r>
      <w:r w:rsidRPr="0060216C">
        <w:rPr>
          <w:rFonts w:eastAsia="Arial" w:cs="Vrinda"/>
          <w:w w:val="83"/>
          <w:lang w:val="es-ES"/>
        </w:rPr>
        <w:t>s</w:t>
      </w:r>
      <w:r w:rsidRPr="0060216C">
        <w:rPr>
          <w:rFonts w:eastAsia="Arial" w:cs="Vrinda"/>
          <w:spacing w:val="5"/>
          <w:lang w:val="es-ES"/>
        </w:rPr>
        <w:t xml:space="preserve"> </w:t>
      </w:r>
      <w:r w:rsidRPr="0060216C">
        <w:rPr>
          <w:rFonts w:eastAsia="Arial" w:cs="Vrinda"/>
          <w:lang w:val="es-ES"/>
        </w:rPr>
        <w:t>de</w:t>
      </w:r>
      <w:r w:rsidRPr="0060216C">
        <w:rPr>
          <w:rFonts w:eastAsia="Arial" w:cs="Vrinda"/>
          <w:spacing w:val="9"/>
          <w:lang w:val="es-ES"/>
        </w:rPr>
        <w:t xml:space="preserve"> </w:t>
      </w:r>
      <w:r w:rsidRPr="0060216C">
        <w:rPr>
          <w:rFonts w:eastAsia="Arial" w:cs="Vrinda"/>
          <w:lang w:val="es-ES"/>
        </w:rPr>
        <w:t>su</w:t>
      </w:r>
      <w:r w:rsidRPr="0060216C">
        <w:rPr>
          <w:rFonts w:eastAsia="Arial" w:cs="Vrinda"/>
          <w:spacing w:val="-11"/>
          <w:lang w:val="es-ES"/>
        </w:rPr>
        <w:t xml:space="preserve"> </w:t>
      </w:r>
      <w:r w:rsidRPr="0060216C">
        <w:rPr>
          <w:rFonts w:eastAsia="Arial" w:cs="Vrinda"/>
          <w:lang w:val="es-ES"/>
        </w:rPr>
        <w:t>situación</w:t>
      </w:r>
      <w:r w:rsidRPr="0060216C">
        <w:rPr>
          <w:rFonts w:eastAsia="Arial" w:cs="Vrinda"/>
          <w:spacing w:val="22"/>
          <w:lang w:val="es-ES"/>
        </w:rPr>
        <w:t xml:space="preserve"> </w:t>
      </w:r>
      <w:r w:rsidRPr="0060216C">
        <w:rPr>
          <w:rFonts w:eastAsia="Arial" w:cs="Vrinda"/>
          <w:lang w:val="es-ES"/>
        </w:rPr>
        <w:t>concreta</w:t>
      </w:r>
      <w:r w:rsidRPr="0060216C">
        <w:rPr>
          <w:rFonts w:eastAsia="Arial" w:cs="Vrinda"/>
          <w:spacing w:val="26"/>
          <w:lang w:val="es-ES"/>
        </w:rPr>
        <w:t xml:space="preserve"> </w:t>
      </w:r>
      <w:r w:rsidRPr="0060216C">
        <w:rPr>
          <w:rFonts w:eastAsia="Arial" w:cs="Vrinda"/>
          <w:lang w:val="es-ES"/>
        </w:rPr>
        <w:t>de</w:t>
      </w:r>
      <w:r w:rsidRPr="0060216C">
        <w:rPr>
          <w:rFonts w:eastAsia="Arial" w:cs="Vrinda"/>
          <w:spacing w:val="9"/>
          <w:lang w:val="es-ES"/>
        </w:rPr>
        <w:t xml:space="preserve"> </w:t>
      </w:r>
      <w:r w:rsidRPr="0060216C">
        <w:rPr>
          <w:rFonts w:eastAsia="Arial" w:cs="Vrinda"/>
          <w:lang w:val="es-ES"/>
        </w:rPr>
        <w:t>sal</w:t>
      </w:r>
      <w:r w:rsidRPr="0060216C">
        <w:rPr>
          <w:rFonts w:eastAsia="Arial" w:cs="Vrinda"/>
          <w:spacing w:val="-9"/>
          <w:lang w:val="es-ES"/>
        </w:rPr>
        <w:t>u</w:t>
      </w:r>
      <w:r w:rsidRPr="0060216C">
        <w:rPr>
          <w:rFonts w:eastAsia="Arial" w:cs="Vrinda"/>
          <w:lang w:val="es-ES"/>
        </w:rPr>
        <w:t>d;</w:t>
      </w:r>
      <w:r w:rsidRPr="0060216C">
        <w:rPr>
          <w:rFonts w:eastAsia="Arial" w:cs="Vrinda"/>
          <w:spacing w:val="-18"/>
          <w:lang w:val="es-ES"/>
        </w:rPr>
        <w:t xml:space="preserve"> </w:t>
      </w:r>
      <w:r w:rsidRPr="0060216C">
        <w:rPr>
          <w:rFonts w:eastAsia="Arial" w:cs="Vrinda"/>
          <w:lang w:val="es-ES"/>
        </w:rPr>
        <w:t>iii)</w:t>
      </w:r>
      <w:r w:rsidRPr="0060216C">
        <w:rPr>
          <w:rFonts w:eastAsia="Arial" w:cs="Vrinda"/>
          <w:spacing w:val="19"/>
          <w:lang w:val="es-ES"/>
        </w:rPr>
        <w:t xml:space="preserve"> </w:t>
      </w:r>
      <w:r w:rsidRPr="0060216C">
        <w:rPr>
          <w:rFonts w:eastAsia="Arial" w:cs="Vrinda"/>
          <w:lang w:val="es-ES"/>
        </w:rPr>
        <w:t>la</w:t>
      </w:r>
      <w:r w:rsidRPr="0060216C">
        <w:rPr>
          <w:rFonts w:eastAsia="Arial" w:cs="Vrinda"/>
          <w:spacing w:val="4"/>
          <w:lang w:val="es-ES"/>
        </w:rPr>
        <w:t xml:space="preserve"> </w:t>
      </w:r>
      <w:r w:rsidRPr="0060216C">
        <w:rPr>
          <w:rFonts w:eastAsia="Arial" w:cs="Vrinda"/>
          <w:spacing w:val="5"/>
          <w:w w:val="90"/>
          <w:lang w:val="es-ES"/>
        </w:rPr>
        <w:t>a</w:t>
      </w:r>
      <w:r w:rsidRPr="0060216C">
        <w:rPr>
          <w:rFonts w:eastAsia="Arial" w:cs="Vrinda"/>
          <w:w w:val="104"/>
          <w:lang w:val="es-ES"/>
        </w:rPr>
        <w:t xml:space="preserve">tención </w:t>
      </w:r>
      <w:r w:rsidRPr="0060216C">
        <w:rPr>
          <w:rFonts w:eastAsia="Arial" w:cs="Vrinda"/>
          <w:lang w:val="es-ES"/>
        </w:rPr>
        <w:t>en</w:t>
      </w:r>
      <w:r w:rsidRPr="0060216C">
        <w:rPr>
          <w:rFonts w:eastAsia="Arial" w:cs="Vrinda"/>
          <w:spacing w:val="46"/>
          <w:lang w:val="es-ES"/>
        </w:rPr>
        <w:t xml:space="preserve"> </w:t>
      </w:r>
      <w:r w:rsidRPr="0060216C">
        <w:rPr>
          <w:rFonts w:eastAsia="Arial" w:cs="Vrinda"/>
          <w:lang w:val="es-ES"/>
        </w:rPr>
        <w:t>salud</w:t>
      </w:r>
      <w:r w:rsidRPr="0060216C">
        <w:rPr>
          <w:rFonts w:eastAsia="Arial" w:cs="Vrinda"/>
          <w:spacing w:val="36"/>
          <w:lang w:val="es-ES"/>
        </w:rPr>
        <w:t xml:space="preserve"> </w:t>
      </w:r>
      <w:r w:rsidRPr="0060216C">
        <w:rPr>
          <w:rFonts w:eastAsia="Arial" w:cs="Vrinda"/>
          <w:lang w:val="es-ES"/>
        </w:rPr>
        <w:t xml:space="preserve">mental </w:t>
      </w:r>
      <w:r w:rsidRPr="0060216C">
        <w:rPr>
          <w:rFonts w:eastAsia="Arial" w:cs="Vrinda"/>
          <w:spacing w:val="-2"/>
          <w:w w:val="104"/>
          <w:lang w:val="es-ES"/>
        </w:rPr>
        <w:t>p</w:t>
      </w:r>
      <w:r w:rsidRPr="0060216C">
        <w:rPr>
          <w:rFonts w:eastAsia="Arial" w:cs="Vrinda"/>
          <w:spacing w:val="2"/>
          <w:w w:val="90"/>
          <w:lang w:val="es-ES"/>
        </w:rPr>
        <w:t>a</w:t>
      </w:r>
      <w:r w:rsidRPr="0060216C">
        <w:rPr>
          <w:rFonts w:eastAsia="Arial" w:cs="Vrinda"/>
          <w:spacing w:val="-7"/>
          <w:w w:val="128"/>
          <w:lang w:val="es-ES"/>
        </w:rPr>
        <w:t>r</w:t>
      </w:r>
      <w:r w:rsidRPr="0060216C">
        <w:rPr>
          <w:rFonts w:eastAsia="Arial" w:cs="Vrinda"/>
          <w:w w:val="90"/>
          <w:lang w:val="es-ES"/>
        </w:rPr>
        <w:t>a</w:t>
      </w:r>
      <w:r w:rsidRPr="0060216C">
        <w:rPr>
          <w:rFonts w:eastAsia="Arial" w:cs="Vrinda"/>
          <w:lang w:val="es-ES"/>
        </w:rPr>
        <w:t xml:space="preserve"> las</w:t>
      </w:r>
      <w:r w:rsidRPr="0060216C">
        <w:rPr>
          <w:rFonts w:eastAsia="Arial" w:cs="Vrinda"/>
          <w:spacing w:val="31"/>
          <w:lang w:val="es-ES"/>
        </w:rPr>
        <w:t xml:space="preserve"> </w:t>
      </w:r>
      <w:r w:rsidRPr="0060216C">
        <w:rPr>
          <w:rFonts w:eastAsia="Arial" w:cs="Vrinda"/>
          <w:lang w:val="es-ES"/>
        </w:rPr>
        <w:t>víctimas</w:t>
      </w:r>
      <w:r w:rsidRPr="0060216C">
        <w:rPr>
          <w:rFonts w:eastAsia="Arial" w:cs="Vrinda"/>
          <w:spacing w:val="41"/>
          <w:lang w:val="es-ES"/>
        </w:rPr>
        <w:t xml:space="preserve"> </w:t>
      </w:r>
      <w:r w:rsidRPr="0060216C">
        <w:rPr>
          <w:rFonts w:eastAsia="Arial" w:cs="Vrinda"/>
          <w:lang w:val="es-ES"/>
        </w:rPr>
        <w:t>que</w:t>
      </w:r>
      <w:r w:rsidRPr="0060216C">
        <w:rPr>
          <w:rFonts w:eastAsia="Arial" w:cs="Vrinda"/>
          <w:spacing w:val="51"/>
          <w:lang w:val="es-ES"/>
        </w:rPr>
        <w:t xml:space="preserve"> </w:t>
      </w:r>
      <w:r w:rsidRPr="0060216C">
        <w:rPr>
          <w:rFonts w:eastAsia="Arial" w:cs="Vrinda"/>
          <w:lang w:val="es-ES"/>
        </w:rPr>
        <w:t>así</w:t>
      </w:r>
      <w:r w:rsidRPr="0060216C">
        <w:rPr>
          <w:rFonts w:eastAsia="Arial" w:cs="Vrinda"/>
          <w:spacing w:val="-10"/>
          <w:lang w:val="es-ES"/>
        </w:rPr>
        <w:t xml:space="preserve"> </w:t>
      </w:r>
      <w:r w:rsidRPr="0060216C">
        <w:rPr>
          <w:rFonts w:eastAsia="Arial" w:cs="Vrinda"/>
          <w:lang w:val="es-ES"/>
        </w:rPr>
        <w:t>lo</w:t>
      </w:r>
      <w:r w:rsidRPr="0060216C">
        <w:rPr>
          <w:rFonts w:eastAsia="Arial" w:cs="Vrinda"/>
          <w:spacing w:val="54"/>
          <w:lang w:val="es-ES"/>
        </w:rPr>
        <w:t xml:space="preserve"> </w:t>
      </w:r>
      <w:r w:rsidRPr="0060216C">
        <w:rPr>
          <w:rFonts w:eastAsia="Arial" w:cs="Vrinda"/>
          <w:lang w:val="es-ES"/>
        </w:rPr>
        <w:t>deseen;</w:t>
      </w:r>
      <w:r w:rsidRPr="0060216C">
        <w:rPr>
          <w:rFonts w:eastAsia="Arial" w:cs="Vrinda"/>
          <w:spacing w:val="17"/>
          <w:lang w:val="es-ES"/>
        </w:rPr>
        <w:t xml:space="preserve"> </w:t>
      </w:r>
      <w:r w:rsidRPr="0060216C">
        <w:rPr>
          <w:rFonts w:eastAsia="Arial" w:cs="Vrinda"/>
          <w:lang w:val="es-ES"/>
        </w:rPr>
        <w:t>y</w:t>
      </w:r>
      <w:r w:rsidRPr="0060216C">
        <w:rPr>
          <w:rFonts w:eastAsia="Arial" w:cs="Vrinda"/>
          <w:spacing w:val="51"/>
          <w:lang w:val="es-ES"/>
        </w:rPr>
        <w:t xml:space="preserve"> </w:t>
      </w:r>
      <w:r w:rsidRPr="0060216C">
        <w:rPr>
          <w:rFonts w:eastAsia="Arial" w:cs="Vrinda"/>
          <w:lang w:val="es-ES"/>
        </w:rPr>
        <w:t>iv)</w:t>
      </w:r>
      <w:r w:rsidRPr="0060216C">
        <w:rPr>
          <w:rFonts w:eastAsia="Arial" w:cs="Vrinda"/>
          <w:spacing w:val="46"/>
          <w:lang w:val="es-ES"/>
        </w:rPr>
        <w:t xml:space="preserve"> </w:t>
      </w:r>
      <w:r w:rsidRPr="0060216C">
        <w:rPr>
          <w:rFonts w:eastAsia="Arial" w:cs="Vrinda"/>
          <w:lang w:val="es-ES"/>
        </w:rPr>
        <w:t>la</w:t>
      </w:r>
      <w:r w:rsidRPr="0060216C">
        <w:rPr>
          <w:rFonts w:eastAsia="Arial" w:cs="Vrinda"/>
          <w:spacing w:val="33"/>
          <w:lang w:val="es-ES"/>
        </w:rPr>
        <w:t xml:space="preserve"> </w:t>
      </w:r>
      <w:r w:rsidRPr="0060216C">
        <w:rPr>
          <w:rFonts w:eastAsia="Arial" w:cs="Vrinda"/>
          <w:lang w:val="es-ES"/>
        </w:rPr>
        <w:t>atención</w:t>
      </w:r>
      <w:r w:rsidRPr="0060216C">
        <w:rPr>
          <w:rFonts w:eastAsia="Arial" w:cs="Vrinda"/>
          <w:spacing w:val="5"/>
          <w:lang w:val="es-ES"/>
        </w:rPr>
        <w:t xml:space="preserve"> </w:t>
      </w:r>
      <w:r w:rsidRPr="0060216C">
        <w:rPr>
          <w:rFonts w:eastAsia="Arial" w:cs="Vrinda"/>
          <w:w w:val="102"/>
          <w:lang w:val="es-ES"/>
        </w:rPr>
        <w:t xml:space="preserve">diferenciada </w:t>
      </w:r>
      <w:r w:rsidRPr="0060216C">
        <w:rPr>
          <w:rFonts w:eastAsia="Arial" w:cs="Vrinda"/>
          <w:lang w:val="es-ES"/>
        </w:rPr>
        <w:t>requerida por las</w:t>
      </w:r>
      <w:r w:rsidRPr="0060216C">
        <w:rPr>
          <w:rFonts w:eastAsia="Arial" w:cs="Vrinda"/>
          <w:spacing w:val="53"/>
          <w:lang w:val="es-ES"/>
        </w:rPr>
        <w:t xml:space="preserve"> </w:t>
      </w:r>
      <w:r w:rsidRPr="0060216C">
        <w:rPr>
          <w:rFonts w:eastAsia="Arial" w:cs="Vrinda"/>
          <w:lang w:val="es-ES"/>
        </w:rPr>
        <w:t>víctimas</w:t>
      </w:r>
      <w:r w:rsidRPr="0060216C">
        <w:rPr>
          <w:rFonts w:eastAsia="Arial" w:cs="Vrinda"/>
          <w:spacing w:val="14"/>
          <w:lang w:val="es-ES"/>
        </w:rPr>
        <w:t xml:space="preserve"> </w:t>
      </w:r>
      <w:r w:rsidRPr="0060216C">
        <w:rPr>
          <w:rFonts w:eastAsia="Arial" w:cs="Vrinda"/>
          <w:lang w:val="es-ES"/>
        </w:rPr>
        <w:t>mujeres en</w:t>
      </w:r>
      <w:r w:rsidRPr="0060216C">
        <w:rPr>
          <w:rFonts w:eastAsia="Arial" w:cs="Vrinda"/>
          <w:spacing w:val="10"/>
          <w:lang w:val="es-ES"/>
        </w:rPr>
        <w:t xml:space="preserve"> </w:t>
      </w:r>
      <w:r w:rsidRPr="0060216C">
        <w:rPr>
          <w:rFonts w:eastAsia="Arial" w:cs="Vrinda"/>
          <w:lang w:val="es-ES"/>
        </w:rPr>
        <w:t>este</w:t>
      </w:r>
      <w:r w:rsidRPr="0060216C">
        <w:rPr>
          <w:rFonts w:eastAsia="Arial" w:cs="Vrinda"/>
          <w:spacing w:val="50"/>
          <w:lang w:val="es-ES"/>
        </w:rPr>
        <w:t xml:space="preserve"> </w:t>
      </w:r>
      <w:r w:rsidRPr="0060216C">
        <w:rPr>
          <w:rFonts w:eastAsia="Arial" w:cs="Vrinda"/>
          <w:lang w:val="es-ES"/>
        </w:rPr>
        <w:t>caso,</w:t>
      </w:r>
      <w:r w:rsidRPr="0060216C">
        <w:rPr>
          <w:rFonts w:eastAsia="Arial" w:cs="Vrinda"/>
          <w:spacing w:val="17"/>
          <w:lang w:val="es-ES"/>
        </w:rPr>
        <w:t xml:space="preserve"> </w:t>
      </w:r>
      <w:r w:rsidRPr="0060216C">
        <w:rPr>
          <w:rFonts w:eastAsia="Arial" w:cs="Vrinda"/>
          <w:spacing w:val="-8"/>
          <w:lang w:val="es-ES"/>
        </w:rPr>
        <w:t>c</w:t>
      </w:r>
      <w:r w:rsidRPr="0060216C">
        <w:rPr>
          <w:rFonts w:eastAsia="Arial" w:cs="Vrinda"/>
          <w:lang w:val="es-ES"/>
        </w:rPr>
        <w:t>on especial</w:t>
      </w:r>
      <w:r w:rsidRPr="0060216C">
        <w:rPr>
          <w:rFonts w:eastAsia="Arial" w:cs="Vrinda"/>
          <w:spacing w:val="27"/>
          <w:lang w:val="es-ES"/>
        </w:rPr>
        <w:t xml:space="preserve"> </w:t>
      </w:r>
      <w:r w:rsidRPr="0060216C">
        <w:rPr>
          <w:rFonts w:eastAsia="Arial" w:cs="Vrinda"/>
          <w:lang w:val="es-ES"/>
        </w:rPr>
        <w:t xml:space="preserve">consideración </w:t>
      </w:r>
      <w:r w:rsidRPr="0060216C">
        <w:rPr>
          <w:rFonts w:eastAsia="Arial" w:cs="Vrinda"/>
          <w:w w:val="83"/>
          <w:lang w:val="es-ES"/>
        </w:rPr>
        <w:t xml:space="preserve">a </w:t>
      </w:r>
      <w:r w:rsidRPr="0060216C">
        <w:rPr>
          <w:rFonts w:eastAsia="Arial" w:cs="Vrinda"/>
          <w:spacing w:val="-3"/>
          <w:w w:val="83"/>
          <w:lang w:val="es-ES"/>
        </w:rPr>
        <w:t>s</w:t>
      </w:r>
      <w:r w:rsidRPr="0060216C">
        <w:rPr>
          <w:rFonts w:eastAsia="Arial" w:cs="Vrinda"/>
          <w:w w:val="111"/>
          <w:lang w:val="es-ES"/>
        </w:rPr>
        <w:t xml:space="preserve">u </w:t>
      </w:r>
      <w:r w:rsidRPr="0060216C">
        <w:rPr>
          <w:rFonts w:eastAsia="Arial" w:cs="Vrinda"/>
          <w:lang w:val="es-ES"/>
        </w:rPr>
        <w:t>capac</w:t>
      </w:r>
      <w:r w:rsidRPr="0060216C">
        <w:rPr>
          <w:rFonts w:eastAsia="Arial" w:cs="Vrinda"/>
          <w:spacing w:val="-6"/>
          <w:lang w:val="es-ES"/>
        </w:rPr>
        <w:t>i</w:t>
      </w:r>
      <w:r w:rsidRPr="0060216C">
        <w:rPr>
          <w:rFonts w:eastAsia="Arial" w:cs="Vrinda"/>
          <w:lang w:val="es-ES"/>
        </w:rPr>
        <w:t>dad</w:t>
      </w:r>
      <w:r w:rsidRPr="0060216C">
        <w:rPr>
          <w:rFonts w:eastAsia="Arial" w:cs="Vrinda"/>
          <w:spacing w:val="-13"/>
          <w:lang w:val="es-ES"/>
        </w:rPr>
        <w:t xml:space="preserve"> </w:t>
      </w:r>
      <w:r w:rsidRPr="0060216C">
        <w:rPr>
          <w:rFonts w:eastAsia="Arial" w:cs="Vrinda"/>
          <w:lang w:val="es-ES"/>
        </w:rPr>
        <w:t>reproductiva. En tal sentido, la Comisión reiteró la importancia de que el Estado asegure que</w:t>
      </w:r>
      <w:r w:rsidRPr="0060216C">
        <w:rPr>
          <w:rFonts w:eastAsia="Arial" w:cs="Vrinda"/>
          <w:spacing w:val="9"/>
          <w:lang w:val="es-ES"/>
        </w:rPr>
        <w:t xml:space="preserve"> </w:t>
      </w:r>
      <w:r w:rsidRPr="0060216C">
        <w:rPr>
          <w:rFonts w:eastAsia="Arial" w:cs="Vrinda"/>
          <w:lang w:val="es-ES"/>
        </w:rPr>
        <w:t>las</w:t>
      </w:r>
      <w:r w:rsidRPr="0060216C">
        <w:rPr>
          <w:rFonts w:eastAsia="Arial" w:cs="Vrinda"/>
          <w:spacing w:val="-18"/>
          <w:lang w:val="es-ES"/>
        </w:rPr>
        <w:t xml:space="preserve"> </w:t>
      </w:r>
      <w:r w:rsidRPr="0060216C">
        <w:rPr>
          <w:rFonts w:eastAsia="Arial" w:cs="Vrinda"/>
          <w:spacing w:val="-1"/>
          <w:w w:val="106"/>
          <w:lang w:val="es-ES"/>
        </w:rPr>
        <w:t>v</w:t>
      </w:r>
      <w:r w:rsidRPr="0060216C">
        <w:rPr>
          <w:rFonts w:eastAsia="Arial" w:cs="Vrinda"/>
          <w:w w:val="109"/>
          <w:lang w:val="es-ES"/>
        </w:rPr>
        <w:t>íc</w:t>
      </w:r>
      <w:r w:rsidRPr="0060216C">
        <w:rPr>
          <w:rFonts w:eastAsia="Arial" w:cs="Vrinda"/>
          <w:spacing w:val="-2"/>
          <w:w w:val="108"/>
          <w:lang w:val="es-ES"/>
        </w:rPr>
        <w:t>t</w:t>
      </w:r>
      <w:r w:rsidRPr="0060216C">
        <w:rPr>
          <w:rFonts w:eastAsia="Arial" w:cs="Vrinda"/>
          <w:w w:val="103"/>
          <w:lang w:val="es-ES"/>
        </w:rPr>
        <w:t>im</w:t>
      </w:r>
      <w:r w:rsidRPr="0060216C">
        <w:rPr>
          <w:rFonts w:eastAsia="Arial" w:cs="Vrinda"/>
          <w:spacing w:val="7"/>
          <w:w w:val="103"/>
          <w:lang w:val="es-ES"/>
        </w:rPr>
        <w:t>a</w:t>
      </w:r>
      <w:r w:rsidRPr="0060216C">
        <w:rPr>
          <w:rFonts w:eastAsia="Arial" w:cs="Vrinda"/>
          <w:w w:val="83"/>
          <w:lang w:val="es-ES"/>
        </w:rPr>
        <w:t>s</w:t>
      </w:r>
      <w:r w:rsidRPr="0060216C">
        <w:rPr>
          <w:rFonts w:eastAsia="Arial" w:cs="Vrinda"/>
          <w:spacing w:val="-2"/>
          <w:lang w:val="es-ES"/>
        </w:rPr>
        <w:t xml:space="preserve"> </w:t>
      </w:r>
      <w:r w:rsidRPr="0060216C">
        <w:rPr>
          <w:rFonts w:eastAsia="Arial" w:cs="Vrinda"/>
          <w:lang w:val="es-ES"/>
        </w:rPr>
        <w:t>no</w:t>
      </w:r>
      <w:r w:rsidRPr="0060216C">
        <w:rPr>
          <w:rFonts w:eastAsia="Arial" w:cs="Vrinda"/>
          <w:spacing w:val="-2"/>
          <w:lang w:val="es-ES"/>
        </w:rPr>
        <w:t xml:space="preserve"> </w:t>
      </w:r>
      <w:r w:rsidRPr="0060216C">
        <w:rPr>
          <w:rFonts w:eastAsia="Arial" w:cs="Vrinda"/>
          <w:lang w:val="es-ES"/>
        </w:rPr>
        <w:t>tengan</w:t>
      </w:r>
      <w:r w:rsidRPr="0060216C">
        <w:rPr>
          <w:rFonts w:eastAsia="Arial" w:cs="Vrinda"/>
          <w:spacing w:val="6"/>
          <w:lang w:val="es-ES"/>
        </w:rPr>
        <w:t xml:space="preserve"> </w:t>
      </w:r>
      <w:r w:rsidRPr="0060216C">
        <w:rPr>
          <w:rFonts w:eastAsia="Arial" w:cs="Vrinda"/>
          <w:lang w:val="es-ES"/>
        </w:rPr>
        <w:t>que</w:t>
      </w:r>
      <w:r w:rsidRPr="0060216C">
        <w:rPr>
          <w:rFonts w:eastAsia="Arial" w:cs="Vrinda"/>
          <w:spacing w:val="2"/>
          <w:lang w:val="es-ES"/>
        </w:rPr>
        <w:t xml:space="preserve"> </w:t>
      </w:r>
      <w:r w:rsidRPr="0060216C">
        <w:rPr>
          <w:rFonts w:eastAsia="Arial" w:cs="Vrinda"/>
          <w:spacing w:val="-5"/>
          <w:w w:val="92"/>
          <w:lang w:val="es-ES"/>
        </w:rPr>
        <w:t>s</w:t>
      </w:r>
      <w:r w:rsidRPr="0060216C">
        <w:rPr>
          <w:rFonts w:eastAsia="Arial" w:cs="Vrinda"/>
          <w:w w:val="111"/>
          <w:lang w:val="es-ES"/>
        </w:rPr>
        <w:t xml:space="preserve">ufrir </w:t>
      </w:r>
      <w:r w:rsidRPr="0060216C">
        <w:rPr>
          <w:rFonts w:eastAsia="Arial" w:cs="Vrinda"/>
          <w:lang w:val="es-ES"/>
        </w:rPr>
        <w:t>obstáculos</w:t>
      </w:r>
      <w:r w:rsidRPr="0060216C">
        <w:rPr>
          <w:rFonts w:eastAsia="Arial" w:cs="Vrinda"/>
          <w:spacing w:val="6"/>
          <w:lang w:val="es-ES"/>
        </w:rPr>
        <w:t xml:space="preserve"> </w:t>
      </w:r>
      <w:r w:rsidRPr="0060216C">
        <w:rPr>
          <w:rFonts w:eastAsia="Arial" w:cs="Vrinda"/>
          <w:lang w:val="es-ES"/>
        </w:rPr>
        <w:t>de</w:t>
      </w:r>
      <w:r w:rsidRPr="0060216C">
        <w:rPr>
          <w:rFonts w:eastAsia="Arial" w:cs="Vrinda"/>
          <w:spacing w:val="3"/>
          <w:lang w:val="es-ES"/>
        </w:rPr>
        <w:t xml:space="preserve"> </w:t>
      </w:r>
      <w:r w:rsidRPr="0060216C">
        <w:rPr>
          <w:rFonts w:eastAsia="Arial" w:cs="Vrinda"/>
          <w:lang w:val="es-ES"/>
        </w:rPr>
        <w:t>accesibilidad</w:t>
      </w:r>
      <w:r w:rsidRPr="0060216C">
        <w:rPr>
          <w:rFonts w:eastAsia="Arial" w:cs="Vrinda"/>
          <w:spacing w:val="12"/>
          <w:lang w:val="es-ES"/>
        </w:rPr>
        <w:t xml:space="preserve"> </w:t>
      </w:r>
      <w:r w:rsidRPr="0060216C">
        <w:rPr>
          <w:rFonts w:eastAsia="Arial" w:cs="Vrinda"/>
          <w:lang w:val="es-ES"/>
        </w:rPr>
        <w:t>o</w:t>
      </w:r>
      <w:r w:rsidRPr="0060216C">
        <w:rPr>
          <w:rFonts w:eastAsia="Arial" w:cs="Vrinda"/>
          <w:spacing w:val="-2"/>
          <w:lang w:val="es-ES"/>
        </w:rPr>
        <w:t xml:space="preserve"> </w:t>
      </w:r>
      <w:r w:rsidRPr="0060216C">
        <w:rPr>
          <w:rFonts w:eastAsia="Arial" w:cs="Vrinda"/>
          <w:lang w:val="es-ES"/>
        </w:rPr>
        <w:t>de</w:t>
      </w:r>
      <w:r w:rsidRPr="0060216C">
        <w:rPr>
          <w:rFonts w:eastAsia="Arial" w:cs="Vrinda"/>
          <w:spacing w:val="4"/>
          <w:lang w:val="es-ES"/>
        </w:rPr>
        <w:t xml:space="preserve"> </w:t>
      </w:r>
      <w:r w:rsidRPr="0060216C">
        <w:rPr>
          <w:rFonts w:eastAsia="Arial" w:cs="Vrinda"/>
          <w:lang w:val="es-ES"/>
        </w:rPr>
        <w:t>otra</w:t>
      </w:r>
      <w:r w:rsidRPr="0060216C">
        <w:rPr>
          <w:rFonts w:eastAsia="Arial" w:cs="Vrinda"/>
          <w:spacing w:val="35"/>
          <w:lang w:val="es-ES"/>
        </w:rPr>
        <w:t xml:space="preserve"> </w:t>
      </w:r>
      <w:r w:rsidRPr="0060216C">
        <w:rPr>
          <w:rFonts w:eastAsia="Arial" w:cs="Vrinda"/>
          <w:lang w:val="es-ES"/>
        </w:rPr>
        <w:t>índole</w:t>
      </w:r>
      <w:r w:rsidRPr="0060216C">
        <w:rPr>
          <w:rFonts w:eastAsia="Arial" w:cs="Vrinda"/>
          <w:spacing w:val="7"/>
          <w:lang w:val="es-ES"/>
        </w:rPr>
        <w:t xml:space="preserve"> </w:t>
      </w:r>
      <w:r w:rsidRPr="0060216C">
        <w:rPr>
          <w:rFonts w:eastAsia="Arial" w:cs="Vrinda"/>
          <w:lang w:val="es-ES"/>
        </w:rPr>
        <w:t>para</w:t>
      </w:r>
      <w:r w:rsidRPr="0060216C">
        <w:rPr>
          <w:rFonts w:eastAsia="Arial" w:cs="Vrinda"/>
          <w:spacing w:val="2"/>
          <w:lang w:val="es-ES"/>
        </w:rPr>
        <w:t xml:space="preserve"> </w:t>
      </w:r>
      <w:r w:rsidRPr="0060216C">
        <w:rPr>
          <w:rFonts w:eastAsia="Arial" w:cs="Vrinda"/>
          <w:lang w:val="es-ES"/>
        </w:rPr>
        <w:t>la</w:t>
      </w:r>
      <w:r w:rsidRPr="0060216C">
        <w:rPr>
          <w:rFonts w:eastAsia="Arial" w:cs="Vrinda"/>
          <w:spacing w:val="5"/>
          <w:lang w:val="es-ES"/>
        </w:rPr>
        <w:t xml:space="preserve"> </w:t>
      </w:r>
      <w:r w:rsidRPr="0060216C">
        <w:rPr>
          <w:rFonts w:eastAsia="Arial" w:cs="Vrinda"/>
          <w:lang w:val="es-ES"/>
        </w:rPr>
        <w:t>obtención</w:t>
      </w:r>
      <w:r w:rsidRPr="0060216C">
        <w:rPr>
          <w:rFonts w:eastAsia="Arial" w:cs="Vrinda"/>
          <w:spacing w:val="29"/>
          <w:lang w:val="es-ES"/>
        </w:rPr>
        <w:t xml:space="preserve"> </w:t>
      </w:r>
      <w:r w:rsidRPr="0060216C">
        <w:rPr>
          <w:rFonts w:eastAsia="Arial" w:cs="Vrinda"/>
          <w:lang w:val="es-ES"/>
        </w:rPr>
        <w:t>de</w:t>
      </w:r>
      <w:r w:rsidRPr="0060216C">
        <w:rPr>
          <w:rFonts w:eastAsia="Arial" w:cs="Vrinda"/>
          <w:spacing w:val="-1"/>
          <w:lang w:val="es-ES"/>
        </w:rPr>
        <w:t xml:space="preserve"> </w:t>
      </w:r>
      <w:r w:rsidRPr="0060216C">
        <w:rPr>
          <w:rFonts w:eastAsia="Arial" w:cs="Vrinda"/>
          <w:lang w:val="es-ES"/>
        </w:rPr>
        <w:t>la</w:t>
      </w:r>
      <w:r w:rsidRPr="0060216C">
        <w:rPr>
          <w:rFonts w:eastAsia="Arial" w:cs="Vrinda"/>
          <w:spacing w:val="-9"/>
          <w:lang w:val="es-ES"/>
        </w:rPr>
        <w:t xml:space="preserve"> </w:t>
      </w:r>
      <w:r w:rsidRPr="0060216C">
        <w:rPr>
          <w:rFonts w:eastAsia="Arial" w:cs="Vrinda"/>
          <w:lang w:val="es-ES"/>
        </w:rPr>
        <w:t>atención</w:t>
      </w:r>
      <w:r w:rsidRPr="0060216C">
        <w:rPr>
          <w:rFonts w:eastAsia="Arial" w:cs="Vrinda"/>
          <w:spacing w:val="27"/>
          <w:lang w:val="es-ES"/>
        </w:rPr>
        <w:t xml:space="preserve"> </w:t>
      </w:r>
      <w:r w:rsidRPr="0060216C">
        <w:rPr>
          <w:rFonts w:eastAsia="Arial" w:cs="Vrinda"/>
          <w:lang w:val="es-ES"/>
        </w:rPr>
        <w:t>integral</w:t>
      </w:r>
      <w:r w:rsidRPr="0060216C">
        <w:rPr>
          <w:rFonts w:eastAsia="Arial" w:cs="Vrinda"/>
          <w:spacing w:val="5"/>
          <w:lang w:val="es-ES"/>
        </w:rPr>
        <w:t xml:space="preserve"> </w:t>
      </w:r>
      <w:r w:rsidRPr="0060216C">
        <w:rPr>
          <w:rFonts w:eastAsia="Arial" w:cs="Vrinda"/>
          <w:w w:val="104"/>
          <w:lang w:val="es-ES"/>
        </w:rPr>
        <w:t xml:space="preserve">en </w:t>
      </w:r>
      <w:r w:rsidRPr="0060216C">
        <w:rPr>
          <w:rFonts w:eastAsia="Arial" w:cs="Vrinda"/>
          <w:lang w:val="es-ES"/>
        </w:rPr>
        <w:t>l</w:t>
      </w:r>
      <w:r w:rsidRPr="0060216C">
        <w:rPr>
          <w:rFonts w:eastAsia="Arial" w:cs="Vrinda"/>
          <w:spacing w:val="-8"/>
          <w:lang w:val="es-ES"/>
        </w:rPr>
        <w:t>o</w:t>
      </w:r>
      <w:r w:rsidRPr="0060216C">
        <w:rPr>
          <w:rFonts w:eastAsia="Arial" w:cs="Vrinda"/>
          <w:lang w:val="es-ES"/>
        </w:rPr>
        <w:t>s</w:t>
      </w:r>
      <w:r w:rsidRPr="0060216C">
        <w:rPr>
          <w:rFonts w:eastAsia="Arial" w:cs="Vrinda"/>
          <w:spacing w:val="10"/>
          <w:lang w:val="es-ES"/>
        </w:rPr>
        <w:t xml:space="preserve"> </w:t>
      </w:r>
      <w:r w:rsidRPr="0060216C">
        <w:rPr>
          <w:rFonts w:eastAsia="Arial" w:cs="Vrinda"/>
          <w:spacing w:val="5"/>
          <w:w w:val="113"/>
          <w:lang w:val="es-ES"/>
        </w:rPr>
        <w:t>t</w:t>
      </w:r>
      <w:r w:rsidRPr="0060216C">
        <w:rPr>
          <w:rFonts w:eastAsia="Arial" w:cs="Vrinda"/>
          <w:spacing w:val="8"/>
          <w:w w:val="91"/>
          <w:lang w:val="es-ES"/>
        </w:rPr>
        <w:t>é</w:t>
      </w:r>
      <w:r w:rsidRPr="0060216C">
        <w:rPr>
          <w:rFonts w:eastAsia="Arial" w:cs="Vrinda"/>
          <w:w w:val="108"/>
          <w:lang w:val="es-ES"/>
        </w:rPr>
        <w:t>rmino</w:t>
      </w:r>
      <w:r w:rsidRPr="0060216C">
        <w:rPr>
          <w:rFonts w:eastAsia="Arial" w:cs="Vrinda"/>
          <w:w w:val="83"/>
          <w:lang w:val="es-ES"/>
        </w:rPr>
        <w:t>s</w:t>
      </w:r>
      <w:r w:rsidRPr="0060216C">
        <w:rPr>
          <w:rFonts w:eastAsia="Arial" w:cs="Vrinda"/>
          <w:spacing w:val="-2"/>
          <w:lang w:val="es-ES"/>
        </w:rPr>
        <w:t xml:space="preserve"> </w:t>
      </w:r>
      <w:r w:rsidRPr="0060216C">
        <w:rPr>
          <w:rFonts w:eastAsia="Arial" w:cs="Vrinda"/>
          <w:lang w:val="es-ES"/>
        </w:rPr>
        <w:t>de</w:t>
      </w:r>
      <w:r w:rsidRPr="0060216C">
        <w:rPr>
          <w:rFonts w:eastAsia="Arial" w:cs="Vrinda"/>
          <w:spacing w:val="-10"/>
          <w:lang w:val="es-ES"/>
        </w:rPr>
        <w:t xml:space="preserve"> </w:t>
      </w:r>
      <w:r w:rsidRPr="0060216C">
        <w:rPr>
          <w:rFonts w:eastAsia="Arial" w:cs="Vrinda"/>
          <w:lang w:val="es-ES"/>
        </w:rPr>
        <w:t>la</w:t>
      </w:r>
      <w:r w:rsidRPr="0060216C">
        <w:rPr>
          <w:rFonts w:eastAsia="Arial" w:cs="Vrinda"/>
          <w:spacing w:val="-2"/>
          <w:lang w:val="es-ES"/>
        </w:rPr>
        <w:t xml:space="preserve"> </w:t>
      </w:r>
      <w:r w:rsidRPr="0060216C">
        <w:rPr>
          <w:rFonts w:eastAsia="Arial" w:cs="Vrinda"/>
          <w:lang w:val="es-ES"/>
        </w:rPr>
        <w:t>pr</w:t>
      </w:r>
      <w:r w:rsidRPr="0060216C">
        <w:rPr>
          <w:rFonts w:eastAsia="Arial" w:cs="Vrinda"/>
          <w:spacing w:val="-9"/>
          <w:lang w:val="es-ES"/>
        </w:rPr>
        <w:t>e</w:t>
      </w:r>
      <w:r w:rsidRPr="0060216C">
        <w:rPr>
          <w:rFonts w:eastAsia="Arial" w:cs="Vrinda"/>
          <w:lang w:val="es-ES"/>
        </w:rPr>
        <w:t>s</w:t>
      </w:r>
      <w:r w:rsidRPr="0060216C">
        <w:rPr>
          <w:rFonts w:eastAsia="Arial" w:cs="Vrinda"/>
          <w:spacing w:val="8"/>
          <w:lang w:val="es-ES"/>
        </w:rPr>
        <w:t>e</w:t>
      </w:r>
      <w:r w:rsidRPr="0060216C">
        <w:rPr>
          <w:rFonts w:eastAsia="Arial" w:cs="Vrinda"/>
          <w:lang w:val="es-ES"/>
        </w:rPr>
        <w:t>n</w:t>
      </w:r>
      <w:r w:rsidRPr="0060216C">
        <w:rPr>
          <w:rFonts w:eastAsia="Arial" w:cs="Vrinda"/>
          <w:spacing w:val="-11"/>
          <w:lang w:val="es-ES"/>
        </w:rPr>
        <w:t>t</w:t>
      </w:r>
      <w:r w:rsidRPr="0060216C">
        <w:rPr>
          <w:rFonts w:eastAsia="Arial" w:cs="Vrinda"/>
          <w:lang w:val="es-ES"/>
        </w:rPr>
        <w:t>e</w:t>
      </w:r>
      <w:r w:rsidRPr="0060216C">
        <w:rPr>
          <w:rFonts w:eastAsia="Arial" w:cs="Vrinda"/>
          <w:spacing w:val="22"/>
          <w:lang w:val="es-ES"/>
        </w:rPr>
        <w:t xml:space="preserve"> </w:t>
      </w:r>
      <w:r w:rsidRPr="0060216C">
        <w:rPr>
          <w:rFonts w:eastAsia="Arial" w:cs="Vrinda"/>
          <w:w w:val="101"/>
          <w:lang w:val="es-ES"/>
        </w:rPr>
        <w:t>recomendación.</w:t>
      </w:r>
    </w:p>
    <w:p w14:paraId="4FC0DC39" w14:textId="77777777" w:rsidR="0061727E" w:rsidRPr="0060216C" w:rsidRDefault="0061727E" w:rsidP="0061727E">
      <w:pPr>
        <w:tabs>
          <w:tab w:val="left" w:pos="709"/>
          <w:tab w:val="left" w:pos="1134"/>
        </w:tabs>
        <w:ind w:right="-4"/>
        <w:rPr>
          <w:rFonts w:cs="Vrinda"/>
        </w:rPr>
      </w:pPr>
    </w:p>
    <w:p w14:paraId="01A93141" w14:textId="5BFABC6B" w:rsidR="006F704E"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Los </w:t>
      </w:r>
      <w:r w:rsidRPr="0060216C">
        <w:rPr>
          <w:rFonts w:cs="Vrinda"/>
          <w:b/>
          <w:i/>
          <w:lang w:val="es-ES"/>
        </w:rPr>
        <w:t>representantes</w:t>
      </w:r>
      <w:r w:rsidRPr="0060216C">
        <w:rPr>
          <w:rFonts w:eastAsia="Arial" w:cs="Vrinda"/>
          <w:color w:val="262626"/>
          <w:lang w:val="es-ES"/>
        </w:rPr>
        <w:t xml:space="preserve"> </w:t>
      </w:r>
      <w:r w:rsidRPr="0060216C">
        <w:rPr>
          <w:rFonts w:cs="Vrinda"/>
          <w:lang w:val="es-ES"/>
        </w:rPr>
        <w:t>solicitaron que se ordene al Estado</w:t>
      </w:r>
      <w:r w:rsidRPr="0060216C">
        <w:rPr>
          <w:rFonts w:eastAsia="Arial" w:cs="Vrinda"/>
          <w:lang w:val="es-ES"/>
        </w:rPr>
        <w:t xml:space="preserve"> garantizar</w:t>
      </w:r>
      <w:r w:rsidRPr="0060216C">
        <w:rPr>
          <w:rFonts w:eastAsia="Arial" w:cs="Vrinda"/>
          <w:spacing w:val="1"/>
          <w:lang w:val="es-ES"/>
        </w:rPr>
        <w:t xml:space="preserve"> una a</w:t>
      </w:r>
      <w:r w:rsidRPr="0060216C">
        <w:rPr>
          <w:rFonts w:eastAsia="Arial" w:cs="Vrinda"/>
          <w:lang w:val="es-ES"/>
        </w:rPr>
        <w:t>t</w:t>
      </w:r>
      <w:r w:rsidRPr="0060216C">
        <w:rPr>
          <w:rFonts w:eastAsia="Arial" w:cs="Vrinda"/>
          <w:spacing w:val="1"/>
          <w:lang w:val="es-ES"/>
        </w:rPr>
        <w:t>en</w:t>
      </w:r>
      <w:r w:rsidRPr="0060216C">
        <w:rPr>
          <w:rFonts w:eastAsia="Arial" w:cs="Vrinda"/>
          <w:lang w:val="es-ES"/>
        </w:rPr>
        <w:t>ci</w:t>
      </w:r>
      <w:r w:rsidRPr="0060216C">
        <w:rPr>
          <w:rFonts w:eastAsia="Arial" w:cs="Vrinda"/>
          <w:spacing w:val="-2"/>
          <w:lang w:val="es-ES"/>
        </w:rPr>
        <w:t>ó</w:t>
      </w:r>
      <w:r w:rsidRPr="0060216C">
        <w:rPr>
          <w:rFonts w:eastAsia="Arial" w:cs="Vrinda"/>
          <w:lang w:val="es-ES"/>
        </w:rPr>
        <w:t>n</w:t>
      </w:r>
      <w:r w:rsidRPr="0060216C">
        <w:rPr>
          <w:rFonts w:eastAsia="Arial" w:cs="Vrinda"/>
          <w:spacing w:val="4"/>
          <w:lang w:val="es-ES"/>
        </w:rPr>
        <w:t xml:space="preserve"> </w:t>
      </w:r>
      <w:r w:rsidRPr="0060216C">
        <w:rPr>
          <w:rFonts w:eastAsia="Arial" w:cs="Vrinda"/>
          <w:spacing w:val="-1"/>
          <w:lang w:val="es-ES"/>
        </w:rPr>
        <w:t>m</w:t>
      </w:r>
      <w:r w:rsidRPr="0060216C">
        <w:rPr>
          <w:rFonts w:eastAsia="Arial" w:cs="Vrinda"/>
          <w:spacing w:val="1"/>
          <w:lang w:val="es-ES"/>
        </w:rPr>
        <w:t>éd</w:t>
      </w:r>
      <w:r w:rsidRPr="0060216C">
        <w:rPr>
          <w:rFonts w:eastAsia="Arial" w:cs="Vrinda"/>
          <w:lang w:val="es-ES"/>
        </w:rPr>
        <w:t>ica</w:t>
      </w:r>
      <w:r w:rsidRPr="0060216C">
        <w:rPr>
          <w:rFonts w:eastAsia="Arial" w:cs="Vrinda"/>
          <w:spacing w:val="5"/>
          <w:lang w:val="es-ES"/>
        </w:rPr>
        <w:t xml:space="preserve"> </w:t>
      </w:r>
      <w:r w:rsidRPr="0060216C">
        <w:rPr>
          <w:rFonts w:eastAsia="Arial" w:cs="Vrinda"/>
          <w:lang w:val="es-ES"/>
        </w:rPr>
        <w:t>in</w:t>
      </w:r>
      <w:r w:rsidRPr="0060216C">
        <w:rPr>
          <w:rFonts w:eastAsia="Arial" w:cs="Vrinda"/>
          <w:spacing w:val="1"/>
          <w:lang w:val="es-ES"/>
        </w:rPr>
        <w:t>te</w:t>
      </w:r>
      <w:r w:rsidRPr="0060216C">
        <w:rPr>
          <w:rFonts w:eastAsia="Arial" w:cs="Vrinda"/>
          <w:spacing w:val="-1"/>
          <w:lang w:val="es-ES"/>
        </w:rPr>
        <w:t>g</w:t>
      </w:r>
      <w:r w:rsidRPr="0060216C">
        <w:rPr>
          <w:rFonts w:eastAsia="Arial" w:cs="Vrinda"/>
          <w:lang w:val="es-ES"/>
        </w:rPr>
        <w:t>ral</w:t>
      </w:r>
      <w:r w:rsidRPr="0060216C">
        <w:rPr>
          <w:rFonts w:eastAsia="Arial" w:cs="Vrinda"/>
          <w:spacing w:val="5"/>
          <w:lang w:val="es-ES"/>
        </w:rPr>
        <w:t xml:space="preserve"> </w:t>
      </w:r>
      <w:r w:rsidRPr="0060216C">
        <w:rPr>
          <w:rFonts w:eastAsia="Arial" w:cs="Vrinda"/>
          <w:lang w:val="es-ES"/>
        </w:rPr>
        <w:t>y</w:t>
      </w:r>
      <w:r w:rsidRPr="0060216C">
        <w:rPr>
          <w:rFonts w:eastAsia="Arial" w:cs="Vrinda"/>
          <w:spacing w:val="3"/>
          <w:lang w:val="es-ES"/>
        </w:rPr>
        <w:t xml:space="preserve"> </w:t>
      </w:r>
      <w:r w:rsidRPr="0060216C">
        <w:rPr>
          <w:rFonts w:eastAsia="Arial" w:cs="Vrinda"/>
          <w:spacing w:val="1"/>
          <w:lang w:val="es-ES"/>
        </w:rPr>
        <w:t>a</w:t>
      </w:r>
      <w:r w:rsidRPr="0060216C">
        <w:rPr>
          <w:rFonts w:eastAsia="Arial" w:cs="Vrinda"/>
          <w:lang w:val="es-ES"/>
        </w:rPr>
        <w:t>cc</w:t>
      </w:r>
      <w:r w:rsidRPr="0060216C">
        <w:rPr>
          <w:rFonts w:eastAsia="Arial" w:cs="Vrinda"/>
          <w:spacing w:val="1"/>
          <w:lang w:val="es-ES"/>
        </w:rPr>
        <w:t>e</w:t>
      </w:r>
      <w:r w:rsidRPr="0060216C">
        <w:rPr>
          <w:rFonts w:eastAsia="Arial" w:cs="Vrinda"/>
          <w:lang w:val="es-ES"/>
        </w:rPr>
        <w:t>s</w:t>
      </w:r>
      <w:r w:rsidRPr="0060216C">
        <w:rPr>
          <w:rFonts w:eastAsia="Arial" w:cs="Vrinda"/>
          <w:spacing w:val="2"/>
          <w:lang w:val="es-ES"/>
        </w:rPr>
        <w:t>i</w:t>
      </w:r>
      <w:r w:rsidRPr="0060216C">
        <w:rPr>
          <w:rFonts w:eastAsia="Arial" w:cs="Vrinda"/>
          <w:spacing w:val="1"/>
          <w:lang w:val="es-ES"/>
        </w:rPr>
        <w:t>b</w:t>
      </w:r>
      <w:r w:rsidRPr="0060216C">
        <w:rPr>
          <w:rFonts w:eastAsia="Arial" w:cs="Vrinda"/>
          <w:lang w:val="es-ES"/>
        </w:rPr>
        <w:t>le</w:t>
      </w:r>
      <w:r w:rsidRPr="0060216C">
        <w:rPr>
          <w:rFonts w:eastAsia="Arial" w:cs="Vrinda"/>
          <w:spacing w:val="5"/>
          <w:lang w:val="es-ES"/>
        </w:rPr>
        <w:t xml:space="preserve"> </w:t>
      </w:r>
      <w:r w:rsidRPr="0060216C">
        <w:rPr>
          <w:rFonts w:eastAsia="Arial" w:cs="Vrinda"/>
          <w:lang w:val="es-ES"/>
        </w:rPr>
        <w:t>a</w:t>
      </w:r>
      <w:r w:rsidRPr="0060216C">
        <w:rPr>
          <w:rFonts w:eastAsia="Arial" w:cs="Vrinda"/>
          <w:spacing w:val="6"/>
          <w:lang w:val="es-ES"/>
        </w:rPr>
        <w:t xml:space="preserve"> </w:t>
      </w:r>
      <w:r w:rsidRPr="0060216C">
        <w:rPr>
          <w:rFonts w:eastAsia="Arial" w:cs="Vrinda"/>
          <w:lang w:val="es-ES"/>
        </w:rPr>
        <w:t>las</w:t>
      </w:r>
      <w:r w:rsidRPr="0060216C">
        <w:rPr>
          <w:rFonts w:eastAsia="Arial" w:cs="Vrinda"/>
          <w:spacing w:val="5"/>
          <w:lang w:val="es-ES"/>
        </w:rPr>
        <w:t xml:space="preserve"> </w:t>
      </w:r>
      <w:r w:rsidRPr="0060216C">
        <w:rPr>
          <w:rFonts w:eastAsia="Arial" w:cs="Vrinda"/>
          <w:lang w:val="es-ES"/>
        </w:rPr>
        <w:t>v</w:t>
      </w:r>
      <w:r w:rsidRPr="0060216C">
        <w:rPr>
          <w:rFonts w:eastAsia="Arial" w:cs="Vrinda"/>
          <w:spacing w:val="-2"/>
          <w:lang w:val="es-ES"/>
        </w:rPr>
        <w:t>í</w:t>
      </w:r>
      <w:r w:rsidRPr="0060216C">
        <w:rPr>
          <w:rFonts w:eastAsia="Arial" w:cs="Vrinda"/>
          <w:spacing w:val="7"/>
          <w:lang w:val="es-ES"/>
        </w:rPr>
        <w:t>c</w:t>
      </w:r>
      <w:r w:rsidRPr="0060216C">
        <w:rPr>
          <w:rFonts w:eastAsia="Arial" w:cs="Vrinda"/>
          <w:lang w:val="es-ES"/>
        </w:rPr>
        <w:t>ti</w:t>
      </w:r>
      <w:r w:rsidRPr="0060216C">
        <w:rPr>
          <w:rFonts w:eastAsia="Arial" w:cs="Vrinda"/>
          <w:spacing w:val="1"/>
          <w:lang w:val="es-ES"/>
        </w:rPr>
        <w:t>ma</w:t>
      </w:r>
      <w:r w:rsidRPr="0060216C">
        <w:rPr>
          <w:rFonts w:eastAsia="Arial" w:cs="Vrinda"/>
          <w:lang w:val="es-ES"/>
        </w:rPr>
        <w:t>s</w:t>
      </w:r>
      <w:r w:rsidRPr="0060216C">
        <w:rPr>
          <w:rFonts w:eastAsia="Arial" w:cs="Vrinda"/>
          <w:spacing w:val="4"/>
          <w:lang w:val="es-ES"/>
        </w:rPr>
        <w:t xml:space="preserve"> </w:t>
      </w:r>
      <w:r w:rsidRPr="0060216C">
        <w:rPr>
          <w:rFonts w:eastAsia="Arial" w:cs="Vrinda"/>
          <w:spacing w:val="-1"/>
          <w:lang w:val="es-ES"/>
        </w:rPr>
        <w:t>q</w:t>
      </w:r>
      <w:r w:rsidRPr="0060216C">
        <w:rPr>
          <w:rFonts w:eastAsia="Arial" w:cs="Vrinda"/>
          <w:spacing w:val="1"/>
          <w:lang w:val="es-ES"/>
        </w:rPr>
        <w:t>u</w:t>
      </w:r>
      <w:r w:rsidRPr="0060216C">
        <w:rPr>
          <w:rFonts w:eastAsia="Arial" w:cs="Vrinda"/>
          <w:lang w:val="es-ES"/>
        </w:rPr>
        <w:t xml:space="preserve">e </w:t>
      </w:r>
      <w:r w:rsidRPr="0060216C">
        <w:rPr>
          <w:rFonts w:eastAsia="Arial" w:cs="Vrinda"/>
          <w:spacing w:val="1"/>
          <w:lang w:val="es-ES"/>
        </w:rPr>
        <w:t>pe</w:t>
      </w:r>
      <w:r w:rsidRPr="0060216C">
        <w:rPr>
          <w:rFonts w:eastAsia="Arial" w:cs="Vrinda"/>
          <w:lang w:val="es-ES"/>
        </w:rPr>
        <w:t>r</w:t>
      </w:r>
      <w:r w:rsidRPr="0060216C">
        <w:rPr>
          <w:rFonts w:eastAsia="Arial" w:cs="Vrinda"/>
          <w:spacing w:val="-1"/>
          <w:lang w:val="es-ES"/>
        </w:rPr>
        <w:t>m</w:t>
      </w:r>
      <w:r w:rsidRPr="0060216C">
        <w:rPr>
          <w:rFonts w:eastAsia="Arial" w:cs="Vrinda"/>
          <w:spacing w:val="1"/>
          <w:lang w:val="es-ES"/>
        </w:rPr>
        <w:t>ane</w:t>
      </w:r>
      <w:r w:rsidRPr="0060216C">
        <w:rPr>
          <w:rFonts w:eastAsia="Arial" w:cs="Vrinda"/>
          <w:spacing w:val="-2"/>
          <w:lang w:val="es-ES"/>
        </w:rPr>
        <w:t>c</w:t>
      </w:r>
      <w:r w:rsidRPr="0060216C">
        <w:rPr>
          <w:rFonts w:eastAsia="Arial" w:cs="Vrinda"/>
          <w:spacing w:val="1"/>
          <w:lang w:val="es-ES"/>
        </w:rPr>
        <w:t>e</w:t>
      </w:r>
      <w:r w:rsidRPr="0060216C">
        <w:rPr>
          <w:rFonts w:eastAsia="Arial" w:cs="Vrinda"/>
          <w:lang w:val="es-ES"/>
        </w:rPr>
        <w:t>n</w:t>
      </w:r>
      <w:r w:rsidRPr="0060216C">
        <w:rPr>
          <w:rFonts w:eastAsia="Arial" w:cs="Vrinda"/>
          <w:spacing w:val="1"/>
          <w:lang w:val="es-ES"/>
        </w:rPr>
        <w:t xml:space="preserve"> </w:t>
      </w:r>
      <w:r w:rsidRPr="0060216C">
        <w:rPr>
          <w:rFonts w:eastAsia="Arial" w:cs="Vrinda"/>
          <w:spacing w:val="-2"/>
          <w:lang w:val="es-ES"/>
        </w:rPr>
        <w:t>c</w:t>
      </w:r>
      <w:r w:rsidRPr="0060216C">
        <w:rPr>
          <w:rFonts w:eastAsia="Arial" w:cs="Vrinda"/>
          <w:spacing w:val="1"/>
          <w:lang w:val="es-ES"/>
        </w:rPr>
        <w:t>o</w:t>
      </w:r>
      <w:r w:rsidRPr="0060216C">
        <w:rPr>
          <w:rFonts w:eastAsia="Arial" w:cs="Vrinda"/>
          <w:lang w:val="es-ES"/>
        </w:rPr>
        <w:t>n</w:t>
      </w:r>
      <w:r w:rsidRPr="0060216C">
        <w:rPr>
          <w:rFonts w:eastAsia="Arial" w:cs="Vrinda"/>
          <w:spacing w:val="1"/>
          <w:lang w:val="es-ES"/>
        </w:rPr>
        <w:t xml:space="preserve"> </w:t>
      </w:r>
      <w:r w:rsidRPr="0060216C">
        <w:rPr>
          <w:rFonts w:eastAsia="Arial" w:cs="Vrinda"/>
          <w:spacing w:val="-2"/>
          <w:lang w:val="es-ES"/>
        </w:rPr>
        <w:t>v</w:t>
      </w:r>
      <w:r w:rsidRPr="0060216C">
        <w:rPr>
          <w:rFonts w:eastAsia="Arial" w:cs="Vrinda"/>
          <w:lang w:val="es-ES"/>
        </w:rPr>
        <w:t xml:space="preserve">ida. En tal sentido, requirieron que Guatemala adopte las medidas necesarias para brindar asistencia médica integral para cualquier padecimiento médico y cualquier otra acción que sea necesaria para restablecer el daño causado a las víctimas, el cual debe incluir el nivel de prevención, tratamiento, atención y apoyo que requieran. </w:t>
      </w:r>
      <w:r w:rsidR="00053047">
        <w:rPr>
          <w:rFonts w:eastAsia="Arial" w:cs="Vrinda"/>
          <w:lang w:val="es-ES"/>
        </w:rPr>
        <w:t>L</w:t>
      </w:r>
      <w:r w:rsidRPr="00053047">
        <w:rPr>
          <w:rFonts w:cs="Vrinda"/>
        </w:rPr>
        <w:t xml:space="preserve">os representantes requirieron que el Estado garantice, a través de sus instituciones públicas de salud y de forma inmediata, oportuna, adecuada, efectiva, gratuita y permanente, el tratamiento médico, psicológico o psiquiátrico que requieran las víctimas sobrevivientes de este caso, el cual debe incluir el suministro gratuito de medicamentos antirretrovirales y aquellos que sean necesarios para el tratamiento </w:t>
      </w:r>
      <w:r w:rsidRPr="00053047">
        <w:rPr>
          <w:rFonts w:cs="Vrinda"/>
        </w:rPr>
        <w:lastRenderedPageBreak/>
        <w:t>de enfermedades oportunistas y asociadas al VIH</w:t>
      </w:r>
      <w:r w:rsidRPr="0060216C">
        <w:rPr>
          <w:rStyle w:val="Refdenotaalpie"/>
          <w:rFonts w:cs="Vrinda"/>
        </w:rPr>
        <w:footnoteReference w:id="247"/>
      </w:r>
      <w:r w:rsidRPr="00053047">
        <w:rPr>
          <w:rFonts w:cs="Vrinda"/>
        </w:rPr>
        <w:t>. Asimismo, solicitaron que la atención médica se preste, en la medida de lo posible, en el centro más cercano a su lugar de residencia y que el Estado asuma los gastos de transporte y alimentación para que las víctimas puedan asistir a las Unidades de Atención Integral, sin que esto les genere gastos adicionales. En tal sentido, destacaron que, cuando sea necesario recurrir a la atención en clínicas privadas, el Estado deberá asumir los gastos necesarios. Además, solicitaron que el Estado garantice a todas las víctimas una buena alimentación y apoyo social, espiritual y psicológico, así como atención familiar, comunitaria y domicili</w:t>
      </w:r>
      <w:r w:rsidR="0021198A">
        <w:rPr>
          <w:rFonts w:cs="Vrinda"/>
        </w:rPr>
        <w:t>aria, con un enfoque de género.</w:t>
      </w:r>
    </w:p>
    <w:p w14:paraId="703CA388" w14:textId="77777777" w:rsidR="0061727E" w:rsidRPr="00053047" w:rsidRDefault="0061727E" w:rsidP="0061727E">
      <w:pPr>
        <w:tabs>
          <w:tab w:val="left" w:pos="709"/>
          <w:tab w:val="left" w:pos="1134"/>
        </w:tabs>
        <w:ind w:right="-4"/>
        <w:rPr>
          <w:rFonts w:cs="Vrinda"/>
        </w:rPr>
      </w:pPr>
    </w:p>
    <w:p w14:paraId="52D34DAC" w14:textId="144F22D5" w:rsidR="006F704E" w:rsidRPr="0061727E" w:rsidRDefault="006F704E" w:rsidP="0061727E">
      <w:pPr>
        <w:numPr>
          <w:ilvl w:val="0"/>
          <w:numId w:val="3"/>
        </w:numPr>
        <w:tabs>
          <w:tab w:val="left" w:pos="709"/>
          <w:tab w:val="left" w:pos="1134"/>
        </w:tabs>
        <w:ind w:left="0" w:right="-4" w:firstLine="0"/>
        <w:rPr>
          <w:rFonts w:cs="Vrinda"/>
        </w:rPr>
      </w:pPr>
      <w:r w:rsidRPr="0060216C">
        <w:rPr>
          <w:rFonts w:eastAsia="Arial" w:cs="Vrinda"/>
          <w:lang w:val="es-ES"/>
        </w:rPr>
        <w:t>Los representantes consideraron, además, que el Estado debe proveer de forma permanente y gratuita preservativos, lubricantes, material de inyección estéril, fármacos antirretrovirales y el tratamiento necesario para prevenir la transmisión vertical. Aunado a ello, solicitaron que la atención integral sea culturalmente apropiada para las víctimas del presente caso, en particular para aquellas que hablan alguna lengua indígena. Por último, en lo que respecta a este concepto, alegaron que, dadas las afectaciones que provoca la lipodistrofia en la integridad de las personas, el Estado debe proporcionar de inmediato la atención necesaria para tratar dicha enfermedad a todas las víctimas que la padecen, incluyendo la cirugía requerida en un plazo no menor a los seis meses d</w:t>
      </w:r>
      <w:r w:rsidR="0021198A">
        <w:rPr>
          <w:rFonts w:eastAsia="Arial" w:cs="Vrinda"/>
          <w:lang w:val="es-ES"/>
        </w:rPr>
        <w:t>espués de emitida la Sentencia.</w:t>
      </w:r>
    </w:p>
    <w:p w14:paraId="5BC8920B" w14:textId="77777777" w:rsidR="0061727E" w:rsidRPr="0060216C" w:rsidRDefault="0061727E" w:rsidP="0061727E">
      <w:pPr>
        <w:tabs>
          <w:tab w:val="left" w:pos="709"/>
          <w:tab w:val="left" w:pos="1134"/>
        </w:tabs>
        <w:ind w:right="-4"/>
        <w:rPr>
          <w:rFonts w:cs="Vrinda"/>
        </w:rPr>
      </w:pPr>
    </w:p>
    <w:p w14:paraId="0F57AF22" w14:textId="119F0C4E" w:rsidR="006F704E" w:rsidRPr="0061727E" w:rsidRDefault="006F704E" w:rsidP="0061727E">
      <w:pPr>
        <w:numPr>
          <w:ilvl w:val="0"/>
          <w:numId w:val="3"/>
        </w:numPr>
        <w:tabs>
          <w:tab w:val="left" w:pos="709"/>
          <w:tab w:val="left" w:pos="1134"/>
        </w:tabs>
        <w:ind w:left="0" w:right="-4" w:firstLine="0"/>
        <w:rPr>
          <w:rFonts w:cs="Vrinda"/>
        </w:rPr>
      </w:pPr>
      <w:r w:rsidRPr="0060216C">
        <w:rPr>
          <w:rFonts w:cs="Vrinda"/>
        </w:rPr>
        <w:t xml:space="preserve">En segundo lugar, los representantes solicitaron que se ordene al Estado garantizar atención médica y psicológica a los familiares de las víctimas fallecidas y que permanecen con vida. </w:t>
      </w:r>
      <w:r w:rsidRPr="0060216C">
        <w:rPr>
          <w:rFonts w:eastAsia="Arial" w:cs="Vrinda"/>
          <w:lang w:val="es-ES"/>
        </w:rPr>
        <w:t xml:space="preserve">En tal sentido, requirieron que el Estado brinde atención adecuada a los padecimientos físicos y psicológicos sufridos por los familiares de las víctimas, el cual debe ser proporcionado por personal competente y de confianza, y que cubra todos los gastos que genere el tratamiento, incluidos el transporte y otras necesidades que puedan presentarse. En particular, destacaron la importancia de que el Estado brinde, gratuitamente, de forma inmediata y a través de sus instituciones de salud especializadas, dicho tratamiento médico y psicológico requerido por los </w:t>
      </w:r>
      <w:r w:rsidR="0021198A">
        <w:rPr>
          <w:rFonts w:eastAsia="Arial" w:cs="Vrinda"/>
          <w:lang w:val="es-ES"/>
        </w:rPr>
        <w:t>familiares declarados víctimas.</w:t>
      </w:r>
    </w:p>
    <w:p w14:paraId="6AE901F6" w14:textId="77777777" w:rsidR="0061727E" w:rsidRPr="0060216C" w:rsidRDefault="0061727E" w:rsidP="0061727E">
      <w:pPr>
        <w:tabs>
          <w:tab w:val="left" w:pos="709"/>
          <w:tab w:val="left" w:pos="1134"/>
        </w:tabs>
        <w:ind w:right="-4"/>
        <w:rPr>
          <w:rFonts w:cs="Vrinda"/>
        </w:rPr>
      </w:pPr>
    </w:p>
    <w:p w14:paraId="67C1C569" w14:textId="68E5CF35" w:rsidR="00F63F5C" w:rsidRPr="0061727E"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Al respecto, el </w:t>
      </w:r>
      <w:r w:rsidRPr="0060216C">
        <w:rPr>
          <w:rFonts w:cs="Vrinda"/>
          <w:b/>
          <w:i/>
          <w:lang w:val="es-ES"/>
        </w:rPr>
        <w:t>Estado</w:t>
      </w:r>
      <w:r w:rsidRPr="0060216C">
        <w:rPr>
          <w:rFonts w:cs="Vrinda"/>
          <w:lang w:val="es-ES"/>
        </w:rPr>
        <w:t xml:space="preserve"> señaló que, </w:t>
      </w:r>
      <w:r w:rsidRPr="0060216C">
        <w:rPr>
          <w:rFonts w:eastAsia="Times New Roman" w:cs="Vrinda"/>
          <w:spacing w:val="2"/>
          <w:lang w:val="es-ES"/>
        </w:rPr>
        <w:t>e</w:t>
      </w:r>
      <w:r w:rsidRPr="0060216C">
        <w:rPr>
          <w:rFonts w:eastAsia="Times New Roman" w:cs="Vrinda"/>
          <w:lang w:val="es-ES"/>
        </w:rPr>
        <w:t xml:space="preserve">n </w:t>
      </w:r>
      <w:r w:rsidRPr="0060216C">
        <w:rPr>
          <w:rFonts w:eastAsia="Times New Roman" w:cs="Vrinda"/>
          <w:spacing w:val="-2"/>
          <w:lang w:val="es-ES"/>
        </w:rPr>
        <w:t>cas</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lang w:val="es-ES"/>
        </w:rPr>
        <w:t xml:space="preserve">a </w:t>
      </w:r>
      <w:r w:rsidRPr="0060216C">
        <w:rPr>
          <w:rFonts w:eastAsia="Times New Roman" w:cs="Vrinda"/>
          <w:spacing w:val="1"/>
          <w:lang w:val="es-ES"/>
        </w:rPr>
        <w:t>C</w:t>
      </w:r>
      <w:r w:rsidRPr="0060216C">
        <w:rPr>
          <w:rFonts w:eastAsia="Times New Roman" w:cs="Vrinda"/>
          <w:spacing w:val="2"/>
          <w:lang w:val="es-ES"/>
        </w:rPr>
        <w:t>o</w:t>
      </w:r>
      <w:r w:rsidRPr="0060216C">
        <w:rPr>
          <w:rFonts w:eastAsia="Times New Roman" w:cs="Vrinda"/>
          <w:spacing w:val="-1"/>
          <w:lang w:val="es-ES"/>
        </w:rPr>
        <w:t>rt</w:t>
      </w:r>
      <w:r w:rsidRPr="0060216C">
        <w:rPr>
          <w:rFonts w:eastAsia="Times New Roman" w:cs="Vrinda"/>
          <w:lang w:val="es-ES"/>
        </w:rPr>
        <w:t xml:space="preserve">e </w:t>
      </w:r>
      <w:r w:rsidRPr="0060216C">
        <w:rPr>
          <w:rFonts w:eastAsia="Times New Roman" w:cs="Vrinda"/>
          <w:spacing w:val="-1"/>
          <w:lang w:val="es-ES"/>
        </w:rPr>
        <w:t>r</w:t>
      </w:r>
      <w:r w:rsidRPr="0060216C">
        <w:rPr>
          <w:rFonts w:eastAsia="Times New Roman" w:cs="Vrinda"/>
          <w:spacing w:val="-2"/>
          <w:lang w:val="es-ES"/>
        </w:rPr>
        <w:t>esue</w:t>
      </w:r>
      <w:r w:rsidRPr="0060216C">
        <w:rPr>
          <w:rFonts w:eastAsia="Times New Roman" w:cs="Vrinda"/>
          <w:spacing w:val="3"/>
          <w:lang w:val="es-ES"/>
        </w:rPr>
        <w:t>l</w:t>
      </w:r>
      <w:r w:rsidRPr="0060216C">
        <w:rPr>
          <w:rFonts w:eastAsia="Times New Roman" w:cs="Vrinda"/>
          <w:spacing w:val="-2"/>
          <w:lang w:val="es-ES"/>
        </w:rPr>
        <w:t>v</w:t>
      </w:r>
      <w:r w:rsidRPr="0060216C">
        <w:rPr>
          <w:rFonts w:eastAsia="Times New Roman" w:cs="Vrinda"/>
          <w:lang w:val="es-ES"/>
        </w:rPr>
        <w:t xml:space="preserve">a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2"/>
          <w:lang w:val="es-ES"/>
        </w:rPr>
        <w:t>es</w:t>
      </w:r>
      <w:r w:rsidRPr="0060216C">
        <w:rPr>
          <w:rFonts w:eastAsia="Times New Roman" w:cs="Vrinda"/>
          <w:lang w:val="es-ES"/>
        </w:rPr>
        <w:t xml:space="preserve"> </w:t>
      </w:r>
      <w:r w:rsidRPr="0060216C">
        <w:rPr>
          <w:rFonts w:eastAsia="Times New Roman" w:cs="Vrinda"/>
          <w:spacing w:val="-1"/>
          <w:lang w:val="es-ES"/>
        </w:rPr>
        <w:t>r</w:t>
      </w:r>
      <w:r w:rsidRPr="0060216C">
        <w:rPr>
          <w:rFonts w:eastAsia="Times New Roman" w:cs="Vrinda"/>
          <w:spacing w:val="-2"/>
          <w:lang w:val="es-ES"/>
        </w:rPr>
        <w:t>es</w:t>
      </w:r>
      <w:r w:rsidRPr="0060216C">
        <w:rPr>
          <w:rFonts w:eastAsia="Times New Roman" w:cs="Vrinda"/>
          <w:spacing w:val="2"/>
          <w:lang w:val="es-ES"/>
        </w:rPr>
        <w:t>po</w:t>
      </w:r>
      <w:r w:rsidRPr="0060216C">
        <w:rPr>
          <w:rFonts w:eastAsia="Times New Roman" w:cs="Vrinda"/>
          <w:spacing w:val="-2"/>
          <w:lang w:val="es-ES"/>
        </w:rPr>
        <w:t>nsa</w:t>
      </w:r>
      <w:r w:rsidRPr="0060216C">
        <w:rPr>
          <w:rFonts w:eastAsia="Times New Roman" w:cs="Vrinda"/>
          <w:spacing w:val="2"/>
          <w:lang w:val="es-ES"/>
        </w:rPr>
        <w:t>b</w:t>
      </w:r>
      <w:r w:rsidRPr="0060216C">
        <w:rPr>
          <w:rFonts w:eastAsia="Times New Roman" w:cs="Vrinda"/>
          <w:spacing w:val="-1"/>
          <w:lang w:val="es-ES"/>
        </w:rPr>
        <w:t>l</w:t>
      </w:r>
      <w:r w:rsidRPr="0060216C">
        <w:rPr>
          <w:rFonts w:eastAsia="Times New Roman" w:cs="Vrinda"/>
          <w:lang w:val="es-ES"/>
        </w:rPr>
        <w:t xml:space="preserve">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3"/>
          <w:lang w:val="es-ES"/>
        </w:rPr>
        <w:t>t</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2"/>
          <w:lang w:val="es-ES"/>
        </w:rPr>
        <w:t>n</w:t>
      </w:r>
      <w:r w:rsidRPr="0060216C">
        <w:rPr>
          <w:rFonts w:eastAsia="Times New Roman" w:cs="Vrinda"/>
          <w:spacing w:val="-2"/>
          <w:lang w:val="es-ES"/>
        </w:rPr>
        <w:t>a</w:t>
      </w:r>
      <w:r w:rsidRPr="0060216C">
        <w:rPr>
          <w:rFonts w:eastAsia="Times New Roman" w:cs="Vrinda"/>
          <w:spacing w:val="2"/>
          <w:lang w:val="es-ES"/>
        </w:rPr>
        <w:t>c</w:t>
      </w:r>
      <w:r w:rsidRPr="0060216C">
        <w:rPr>
          <w:rFonts w:eastAsia="Times New Roman" w:cs="Vrinda"/>
          <w:spacing w:val="-1"/>
          <w:lang w:val="es-ES"/>
        </w:rPr>
        <w:t>i</w:t>
      </w:r>
      <w:r w:rsidRPr="0060216C">
        <w:rPr>
          <w:rFonts w:eastAsia="Times New Roman" w:cs="Vrinda"/>
          <w:spacing w:val="2"/>
          <w:lang w:val="es-ES"/>
        </w:rPr>
        <w:t>o</w:t>
      </w:r>
      <w:r w:rsidRPr="0060216C">
        <w:rPr>
          <w:rFonts w:eastAsia="Times New Roman" w:cs="Vrinda"/>
          <w:spacing w:val="-2"/>
          <w:lang w:val="es-ES"/>
        </w:rPr>
        <w:t>na</w:t>
      </w:r>
      <w:r w:rsidRPr="0060216C">
        <w:rPr>
          <w:rFonts w:eastAsia="Times New Roman" w:cs="Vrinda"/>
          <w:spacing w:val="-1"/>
          <w:lang w:val="es-ES"/>
        </w:rPr>
        <w:t>l</w:t>
      </w:r>
      <w:r w:rsidRPr="0060216C">
        <w:rPr>
          <w:rFonts w:eastAsia="Times New Roman" w:cs="Vrinda"/>
          <w:spacing w:val="1"/>
          <w:lang w:val="es-ES"/>
        </w:rPr>
        <w:t>m</w:t>
      </w:r>
      <w:r w:rsidRPr="0060216C">
        <w:rPr>
          <w:rFonts w:eastAsia="Times New Roman" w:cs="Vrinda"/>
          <w:spacing w:val="2"/>
          <w:lang w:val="es-ES"/>
        </w:rPr>
        <w:t>e</w:t>
      </w:r>
      <w:r w:rsidRPr="0060216C">
        <w:rPr>
          <w:rFonts w:eastAsia="Times New Roman" w:cs="Vrinda"/>
          <w:spacing w:val="-2"/>
          <w:lang w:val="es-ES"/>
        </w:rPr>
        <w:t>n</w:t>
      </w:r>
      <w:r w:rsidRPr="0060216C">
        <w:rPr>
          <w:rFonts w:eastAsia="Times New Roman" w:cs="Vrinda"/>
          <w:spacing w:val="3"/>
          <w:lang w:val="es-ES"/>
        </w:rPr>
        <w:t>t</w:t>
      </w:r>
      <w:r w:rsidRPr="0060216C">
        <w:rPr>
          <w:rFonts w:eastAsia="Times New Roman" w:cs="Vrinda"/>
          <w:lang w:val="es-ES"/>
        </w:rPr>
        <w:t xml:space="preserve">e </w:t>
      </w:r>
      <w:r w:rsidRPr="0060216C">
        <w:rPr>
          <w:rFonts w:eastAsia="Times New Roman" w:cs="Vrinda"/>
          <w:spacing w:val="2"/>
          <w:lang w:val="es-ES"/>
        </w:rPr>
        <w:t>p</w:t>
      </w:r>
      <w:r w:rsidRPr="0060216C">
        <w:rPr>
          <w:rFonts w:eastAsia="Times New Roman" w:cs="Vrinda"/>
          <w:spacing w:val="-2"/>
          <w:lang w:val="es-ES"/>
        </w:rPr>
        <w:t>o</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n</w:t>
      </w:r>
      <w:r w:rsidRPr="0060216C">
        <w:rPr>
          <w:rFonts w:eastAsia="Times New Roman" w:cs="Vrinda"/>
          <w:lang w:val="es-ES"/>
        </w:rPr>
        <w:t xml:space="preserve">o </w:t>
      </w:r>
      <w:r w:rsidRPr="0060216C">
        <w:rPr>
          <w:rFonts w:eastAsia="Times New Roman" w:cs="Vrinda"/>
          <w:spacing w:val="-2"/>
          <w:lang w:val="es-ES"/>
        </w:rPr>
        <w:t>ga</w:t>
      </w:r>
      <w:r w:rsidRPr="0060216C">
        <w:rPr>
          <w:rFonts w:eastAsia="Times New Roman" w:cs="Vrinda"/>
          <w:spacing w:val="3"/>
          <w:lang w:val="es-ES"/>
        </w:rPr>
        <w:t>r</w:t>
      </w:r>
      <w:r w:rsidRPr="0060216C">
        <w:rPr>
          <w:rFonts w:eastAsia="Times New Roman" w:cs="Vrinda"/>
          <w:spacing w:val="-2"/>
          <w:lang w:val="es-ES"/>
        </w:rPr>
        <w:t>an</w:t>
      </w:r>
      <w:r w:rsidRPr="0060216C">
        <w:rPr>
          <w:rFonts w:eastAsia="Times New Roman" w:cs="Vrinda"/>
          <w:spacing w:val="3"/>
          <w:lang w:val="es-ES"/>
        </w:rPr>
        <w:t>t</w:t>
      </w:r>
      <w:r w:rsidRPr="0060216C">
        <w:rPr>
          <w:rFonts w:eastAsia="Times New Roman" w:cs="Vrinda"/>
          <w:spacing w:val="-1"/>
          <w:lang w:val="es-ES"/>
        </w:rPr>
        <w:t>i</w:t>
      </w:r>
      <w:r w:rsidRPr="0060216C">
        <w:rPr>
          <w:rFonts w:eastAsia="Times New Roman" w:cs="Vrinda"/>
          <w:spacing w:val="2"/>
          <w:lang w:val="es-ES"/>
        </w:rPr>
        <w:t>z</w:t>
      </w:r>
      <w:r w:rsidRPr="0060216C">
        <w:rPr>
          <w:rFonts w:eastAsia="Times New Roman" w:cs="Vrinda"/>
          <w:spacing w:val="-2"/>
          <w:lang w:val="es-ES"/>
        </w:rPr>
        <w:t>a</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a</w:t>
      </w:r>
      <w:r w:rsidRPr="0060216C">
        <w:rPr>
          <w:rFonts w:eastAsia="Times New Roman" w:cs="Vrinda"/>
          <w:spacing w:val="-1"/>
          <w:lang w:val="es-ES"/>
        </w:rPr>
        <w:t>l</w:t>
      </w:r>
      <w:r w:rsidRPr="0060216C">
        <w:rPr>
          <w:rFonts w:eastAsia="Times New Roman" w:cs="Vrinda"/>
          <w:spacing w:val="2"/>
          <w:lang w:val="es-ES"/>
        </w:rPr>
        <w:t>g</w:t>
      </w:r>
      <w:r w:rsidRPr="0060216C">
        <w:rPr>
          <w:rFonts w:eastAsia="Times New Roman" w:cs="Vrinda"/>
          <w:spacing w:val="-2"/>
          <w:lang w:val="es-ES"/>
        </w:rPr>
        <w:t>un</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spacing w:val="2"/>
          <w:lang w:val="es-ES"/>
        </w:rPr>
        <w:t>o</w:t>
      </w:r>
      <w:r w:rsidRPr="0060216C">
        <w:rPr>
          <w:rFonts w:eastAsia="Times New Roman" w:cs="Vrinda"/>
          <w:lang w:val="es-ES"/>
        </w:rPr>
        <w:t xml:space="preserve">s </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ch</w:t>
      </w:r>
      <w:r w:rsidRPr="0060216C">
        <w:rPr>
          <w:rFonts w:eastAsia="Times New Roman" w:cs="Vrinda"/>
          <w:spacing w:val="2"/>
          <w:lang w:val="es-ES"/>
        </w:rPr>
        <w:t>o</w:t>
      </w:r>
      <w:r w:rsidRPr="0060216C">
        <w:rPr>
          <w:rFonts w:eastAsia="Times New Roman" w:cs="Vrinda"/>
          <w:lang w:val="es-ES"/>
        </w:rPr>
        <w:t>s</w:t>
      </w:r>
      <w:r w:rsidRPr="0060216C">
        <w:rPr>
          <w:rFonts w:eastAsia="Times New Roman" w:cs="Vrinda"/>
          <w:spacing w:val="4"/>
          <w:lang w:val="es-ES"/>
        </w:rPr>
        <w:t xml:space="preserve"> </w:t>
      </w:r>
      <w:r w:rsidRPr="0060216C">
        <w:rPr>
          <w:rFonts w:eastAsia="Times New Roman" w:cs="Vrinda"/>
          <w:spacing w:val="-2"/>
          <w:lang w:val="es-ES"/>
        </w:rPr>
        <w:t>reconocidos en la Convención</w:t>
      </w:r>
      <w:r w:rsidRPr="0060216C">
        <w:rPr>
          <w:rFonts w:eastAsia="Times New Roman" w:cs="Vrinda"/>
          <w:lang w:val="es-ES"/>
        </w:rPr>
        <w:t>,</w:t>
      </w:r>
      <w:r w:rsidRPr="0060216C">
        <w:rPr>
          <w:rFonts w:eastAsia="Times New Roman" w:cs="Vrinda"/>
          <w:spacing w:val="3"/>
          <w:lang w:val="es-ES"/>
        </w:rPr>
        <w:t xml:space="preserve"> se tenga en cuenta que, </w:t>
      </w:r>
      <w:r w:rsidRPr="0060216C">
        <w:rPr>
          <w:rFonts w:eastAsia="Times New Roman" w:cs="Vrinda"/>
          <w:lang w:val="es-ES"/>
        </w:rPr>
        <w:t xml:space="preserve">a </w:t>
      </w:r>
      <w:r w:rsidRPr="0060216C">
        <w:rPr>
          <w:rFonts w:eastAsia="Times New Roman" w:cs="Vrinda"/>
          <w:spacing w:val="-2"/>
          <w:lang w:val="es-ES"/>
        </w:rPr>
        <w:t>e</w:t>
      </w:r>
      <w:r w:rsidRPr="0060216C">
        <w:rPr>
          <w:rFonts w:eastAsia="Times New Roman" w:cs="Vrinda"/>
          <w:spacing w:val="2"/>
          <w:lang w:val="es-ES"/>
        </w:rPr>
        <w:t>x</w:t>
      </w:r>
      <w:r w:rsidRPr="0060216C">
        <w:rPr>
          <w:rFonts w:eastAsia="Times New Roman" w:cs="Vrinda"/>
          <w:spacing w:val="-2"/>
          <w:lang w:val="es-ES"/>
        </w:rPr>
        <w:t>ce</w:t>
      </w:r>
      <w:r w:rsidRPr="0060216C">
        <w:rPr>
          <w:rFonts w:eastAsia="Times New Roman" w:cs="Vrinda"/>
          <w:spacing w:val="2"/>
          <w:lang w:val="es-ES"/>
        </w:rPr>
        <w:t>pc</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lang w:val="es-ES"/>
        </w:rPr>
        <w:t xml:space="preserve">n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lang w:val="es-ES"/>
        </w:rPr>
        <w:t xml:space="preserve">a </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p</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spacing w:val="2"/>
          <w:lang w:val="es-ES"/>
        </w:rPr>
        <w:t>a</w:t>
      </w:r>
      <w:r w:rsidRPr="0060216C">
        <w:rPr>
          <w:rFonts w:eastAsia="Times New Roman" w:cs="Vrinda"/>
          <w:spacing w:val="-2"/>
          <w:lang w:val="es-ES"/>
        </w:rPr>
        <w:t>c</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lang w:val="es-ES"/>
        </w:rPr>
        <w:t xml:space="preserve">n </w:t>
      </w:r>
      <w:r w:rsidRPr="0060216C">
        <w:rPr>
          <w:rFonts w:eastAsia="Times New Roman" w:cs="Vrinda"/>
          <w:spacing w:val="2"/>
          <w:lang w:val="es-ES"/>
        </w:rPr>
        <w:t>po</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d</w:t>
      </w:r>
      <w:r w:rsidRPr="0060216C">
        <w:rPr>
          <w:rFonts w:eastAsia="Times New Roman" w:cs="Vrinda"/>
          <w:spacing w:val="-2"/>
          <w:lang w:val="es-ES"/>
        </w:rPr>
        <w:t>a</w:t>
      </w:r>
      <w:r w:rsidRPr="0060216C">
        <w:rPr>
          <w:rFonts w:eastAsia="Times New Roman" w:cs="Vrinda"/>
          <w:spacing w:val="2"/>
          <w:lang w:val="es-ES"/>
        </w:rPr>
        <w:t>ñ</w:t>
      </w:r>
      <w:r w:rsidRPr="0060216C">
        <w:rPr>
          <w:rFonts w:eastAsia="Times New Roman" w:cs="Vrinda"/>
          <w:lang w:val="es-ES"/>
        </w:rPr>
        <w:t xml:space="preserve">o </w:t>
      </w:r>
      <w:r w:rsidRPr="0060216C">
        <w:rPr>
          <w:rFonts w:eastAsia="Times New Roman" w:cs="Vrinda"/>
          <w:spacing w:val="1"/>
          <w:lang w:val="es-ES"/>
        </w:rPr>
        <w:t>m</w:t>
      </w:r>
      <w:r w:rsidRPr="0060216C">
        <w:rPr>
          <w:rFonts w:eastAsia="Times New Roman" w:cs="Vrinda"/>
          <w:spacing w:val="-2"/>
          <w:lang w:val="es-ES"/>
        </w:rPr>
        <w:t>a</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spacing w:val="-1"/>
          <w:lang w:val="es-ES"/>
        </w:rPr>
        <w:t>ri</w:t>
      </w:r>
      <w:r w:rsidRPr="0060216C">
        <w:rPr>
          <w:rFonts w:eastAsia="Times New Roman" w:cs="Vrinda"/>
          <w:spacing w:val="-2"/>
          <w:lang w:val="es-ES"/>
        </w:rPr>
        <w:t>a</w:t>
      </w:r>
      <w:r w:rsidRPr="0060216C">
        <w:rPr>
          <w:rFonts w:eastAsia="Times New Roman" w:cs="Vrinda"/>
          <w:lang w:val="es-ES"/>
        </w:rPr>
        <w:t>l</w:t>
      </w:r>
      <w:r w:rsidRPr="0060216C">
        <w:rPr>
          <w:rFonts w:eastAsia="Times New Roman" w:cs="Vrinda"/>
          <w:spacing w:val="5"/>
          <w:lang w:val="es-ES"/>
        </w:rPr>
        <w:t xml:space="preserve"> </w:t>
      </w:r>
      <w:r w:rsidRPr="0060216C">
        <w:rPr>
          <w:rFonts w:eastAsia="Times New Roman" w:cs="Vrinda"/>
          <w:lang w:val="es-ES"/>
        </w:rPr>
        <w:t xml:space="preserve">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1"/>
          <w:lang w:val="es-ES"/>
        </w:rPr>
        <w:t>m</w:t>
      </w:r>
      <w:r w:rsidRPr="0060216C">
        <w:rPr>
          <w:rFonts w:eastAsia="Times New Roman" w:cs="Vrinda"/>
          <w:spacing w:val="-2"/>
          <w:lang w:val="es-ES"/>
        </w:rPr>
        <w:t>a</w:t>
      </w:r>
      <w:r w:rsidRPr="0060216C">
        <w:rPr>
          <w:rFonts w:eastAsia="Times New Roman" w:cs="Vrinda"/>
          <w:spacing w:val="3"/>
          <w:lang w:val="es-ES"/>
        </w:rPr>
        <w:t>t</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3"/>
          <w:lang w:val="es-ES"/>
        </w:rPr>
        <w:t>i</w:t>
      </w:r>
      <w:r w:rsidRPr="0060216C">
        <w:rPr>
          <w:rFonts w:eastAsia="Times New Roman" w:cs="Vrinda"/>
          <w:spacing w:val="-2"/>
          <w:lang w:val="es-ES"/>
        </w:rPr>
        <w:t>a</w:t>
      </w:r>
      <w:r w:rsidRPr="0060216C">
        <w:rPr>
          <w:rFonts w:eastAsia="Times New Roman" w:cs="Vrinda"/>
          <w:spacing w:val="-1"/>
          <w:lang w:val="es-ES"/>
        </w:rPr>
        <w:t>l</w:t>
      </w:r>
      <w:r w:rsidRPr="0060216C">
        <w:rPr>
          <w:rFonts w:eastAsia="Times New Roman" w:cs="Vrinda"/>
          <w:lang w:val="es-ES"/>
        </w:rPr>
        <w:t>,</w:t>
      </w:r>
      <w:r w:rsidRPr="0060216C">
        <w:rPr>
          <w:rFonts w:eastAsia="Times New Roman" w:cs="Vrinda"/>
          <w:spacing w:val="7"/>
          <w:lang w:val="es-ES"/>
        </w:rPr>
        <w:t xml:space="preserve"> </w:t>
      </w:r>
      <w:r w:rsidRPr="0060216C">
        <w:rPr>
          <w:rFonts w:eastAsia="Times New Roman" w:cs="Vrinda"/>
          <w:spacing w:val="-2"/>
          <w:lang w:val="es-ES"/>
        </w:rPr>
        <w:t>y</w:t>
      </w:r>
      <w:r w:rsidRPr="0060216C">
        <w:rPr>
          <w:rFonts w:eastAsia="Times New Roman" w:cs="Vrinda"/>
          <w:lang w:val="es-ES"/>
        </w:rPr>
        <w:t xml:space="preserve">a </w:t>
      </w:r>
      <w:r w:rsidRPr="0060216C">
        <w:rPr>
          <w:rFonts w:eastAsia="Times New Roman" w:cs="Vrinda"/>
          <w:spacing w:val="-2"/>
          <w:lang w:val="es-ES"/>
        </w:rPr>
        <w:t>s</w:t>
      </w:r>
      <w:r w:rsidRPr="0060216C">
        <w:rPr>
          <w:rFonts w:eastAsia="Times New Roman" w:cs="Vrinda"/>
          <w:lang w:val="es-ES"/>
        </w:rPr>
        <w:t>e</w:t>
      </w:r>
      <w:r w:rsidRPr="0060216C">
        <w:rPr>
          <w:rFonts w:eastAsia="Times New Roman" w:cs="Vrinda"/>
          <w:spacing w:val="4"/>
          <w:lang w:val="es-ES"/>
        </w:rPr>
        <w:t xml:space="preserve"> </w:t>
      </w:r>
      <w:r w:rsidRPr="0060216C">
        <w:rPr>
          <w:rFonts w:eastAsia="Times New Roman" w:cs="Vrinda"/>
          <w:spacing w:val="-2"/>
          <w:lang w:val="es-ES"/>
        </w:rPr>
        <w:t>ha</w:t>
      </w:r>
      <w:r w:rsidRPr="0060216C">
        <w:rPr>
          <w:rFonts w:eastAsia="Times New Roman" w:cs="Vrinda"/>
          <w:lang w:val="es-ES"/>
        </w:rPr>
        <w:t>n</w:t>
      </w:r>
      <w:r w:rsidRPr="0060216C">
        <w:rPr>
          <w:rFonts w:eastAsia="Times New Roman" w:cs="Vrinda"/>
          <w:spacing w:val="4"/>
          <w:lang w:val="es-ES"/>
        </w:rPr>
        <w:t xml:space="preserve"> </w:t>
      </w:r>
      <w:r w:rsidRPr="0060216C">
        <w:rPr>
          <w:rFonts w:eastAsia="Times New Roman" w:cs="Vrinda"/>
          <w:spacing w:val="-2"/>
          <w:lang w:val="es-ES"/>
        </w:rPr>
        <w:t>a</w:t>
      </w:r>
      <w:r w:rsidRPr="0060216C">
        <w:rPr>
          <w:rFonts w:eastAsia="Times New Roman" w:cs="Vrinda"/>
          <w:spacing w:val="2"/>
          <w:lang w:val="es-ES"/>
        </w:rPr>
        <w:t>dop</w:t>
      </w:r>
      <w:r w:rsidRPr="0060216C">
        <w:rPr>
          <w:rFonts w:eastAsia="Times New Roman" w:cs="Vrinda"/>
          <w:spacing w:val="-1"/>
          <w:lang w:val="es-ES"/>
        </w:rPr>
        <w:t>t</w:t>
      </w:r>
      <w:r w:rsidRPr="0060216C">
        <w:rPr>
          <w:rFonts w:eastAsia="Times New Roman" w:cs="Vrinda"/>
          <w:spacing w:val="-2"/>
          <w:lang w:val="es-ES"/>
        </w:rPr>
        <w:t>a</w:t>
      </w:r>
      <w:r w:rsidRPr="0060216C">
        <w:rPr>
          <w:rFonts w:eastAsia="Times New Roman" w:cs="Vrinda"/>
          <w:spacing w:val="2"/>
          <w:lang w:val="es-ES"/>
        </w:rPr>
        <w:t>d</w:t>
      </w:r>
      <w:r w:rsidRPr="0060216C">
        <w:rPr>
          <w:rFonts w:eastAsia="Times New Roman" w:cs="Vrinda"/>
          <w:lang w:val="es-ES"/>
        </w:rPr>
        <w:t xml:space="preserve">o </w:t>
      </w:r>
      <w:r w:rsidRPr="0060216C">
        <w:rPr>
          <w:rFonts w:eastAsia="Times New Roman" w:cs="Vrinda"/>
          <w:spacing w:val="-1"/>
          <w:lang w:val="es-ES"/>
        </w:rPr>
        <w:t>l</w:t>
      </w:r>
      <w:r w:rsidRPr="0060216C">
        <w:rPr>
          <w:rFonts w:eastAsia="Times New Roman" w:cs="Vrinda"/>
          <w:spacing w:val="-2"/>
          <w:lang w:val="es-ES"/>
        </w:rPr>
        <w:t>a</w:t>
      </w:r>
      <w:r w:rsidRPr="0060216C">
        <w:rPr>
          <w:rFonts w:eastAsia="Times New Roman" w:cs="Vrinda"/>
          <w:lang w:val="es-ES"/>
        </w:rPr>
        <w:t>s</w:t>
      </w:r>
      <w:r w:rsidRPr="0060216C">
        <w:rPr>
          <w:rFonts w:eastAsia="Times New Roman" w:cs="Vrinda"/>
          <w:spacing w:val="1"/>
          <w:lang w:val="es-ES"/>
        </w:rPr>
        <w:t xml:space="preserve"> m</w:t>
      </w:r>
      <w:r w:rsidRPr="0060216C">
        <w:rPr>
          <w:rFonts w:eastAsia="Times New Roman" w:cs="Vrinda"/>
          <w:spacing w:val="-2"/>
          <w:lang w:val="es-ES"/>
        </w:rPr>
        <w:t>e</w:t>
      </w:r>
      <w:r w:rsidRPr="0060216C">
        <w:rPr>
          <w:rFonts w:eastAsia="Times New Roman" w:cs="Vrinda"/>
          <w:spacing w:val="2"/>
          <w:lang w:val="es-ES"/>
        </w:rPr>
        <w:t>d</w:t>
      </w:r>
      <w:r w:rsidRPr="0060216C">
        <w:rPr>
          <w:rFonts w:eastAsia="Times New Roman" w:cs="Vrinda"/>
          <w:spacing w:val="-1"/>
          <w:lang w:val="es-ES"/>
        </w:rPr>
        <w:t>i</w:t>
      </w:r>
      <w:r w:rsidRPr="0060216C">
        <w:rPr>
          <w:rFonts w:eastAsia="Times New Roman" w:cs="Vrinda"/>
          <w:spacing w:val="2"/>
          <w:lang w:val="es-ES"/>
        </w:rPr>
        <w:t>d</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ne</w:t>
      </w:r>
      <w:r w:rsidRPr="0060216C">
        <w:rPr>
          <w:rFonts w:eastAsia="Times New Roman" w:cs="Vrinda"/>
          <w:spacing w:val="2"/>
          <w:lang w:val="es-ES"/>
        </w:rPr>
        <w:t>c</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spacing w:val="3"/>
          <w:lang w:val="es-ES"/>
        </w:rPr>
        <w:t>i</w:t>
      </w:r>
      <w:r w:rsidRPr="0060216C">
        <w:rPr>
          <w:rFonts w:eastAsia="Times New Roman" w:cs="Vrinda"/>
          <w:spacing w:val="-2"/>
          <w:lang w:val="es-ES"/>
        </w:rPr>
        <w:t>a</w:t>
      </w:r>
      <w:r w:rsidRPr="0060216C">
        <w:rPr>
          <w:rFonts w:eastAsia="Times New Roman" w:cs="Vrinda"/>
          <w:lang w:val="es-ES"/>
        </w:rPr>
        <w:t>s</w:t>
      </w:r>
      <w:r w:rsidRPr="0060216C">
        <w:rPr>
          <w:rFonts w:eastAsia="Times New Roman" w:cs="Vrinda"/>
          <w:spacing w:val="4"/>
          <w:lang w:val="es-ES"/>
        </w:rPr>
        <w:t xml:space="preserve"> </w:t>
      </w:r>
      <w:r w:rsidRPr="0060216C">
        <w:rPr>
          <w:rFonts w:eastAsia="Times New Roman" w:cs="Vrinda"/>
          <w:spacing w:val="2"/>
          <w:lang w:val="es-ES"/>
        </w:rPr>
        <w:t>p</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lang w:val="es-ES"/>
        </w:rPr>
        <w:t xml:space="preserve">a </w:t>
      </w:r>
      <w:r w:rsidRPr="0060216C">
        <w:rPr>
          <w:rFonts w:eastAsia="Times New Roman" w:cs="Vrinda"/>
          <w:spacing w:val="-2"/>
          <w:lang w:val="es-ES"/>
        </w:rPr>
        <w:t>as</w:t>
      </w:r>
      <w:r w:rsidRPr="0060216C">
        <w:rPr>
          <w:rFonts w:eastAsia="Times New Roman" w:cs="Vrinda"/>
          <w:spacing w:val="2"/>
          <w:lang w:val="es-ES"/>
        </w:rPr>
        <w:t>e</w:t>
      </w:r>
      <w:r w:rsidRPr="0060216C">
        <w:rPr>
          <w:rFonts w:eastAsia="Times New Roman" w:cs="Vrinda"/>
          <w:spacing w:val="-2"/>
          <w:lang w:val="es-ES"/>
        </w:rPr>
        <w:t>g</w:t>
      </w:r>
      <w:r w:rsidRPr="0060216C">
        <w:rPr>
          <w:rFonts w:eastAsia="Times New Roman" w:cs="Vrinda"/>
          <w:spacing w:val="2"/>
          <w:lang w:val="es-ES"/>
        </w:rPr>
        <w:t>u</w:t>
      </w:r>
      <w:r w:rsidRPr="0060216C">
        <w:rPr>
          <w:rFonts w:eastAsia="Times New Roman" w:cs="Vrinda"/>
          <w:spacing w:val="-1"/>
          <w:lang w:val="es-ES"/>
        </w:rPr>
        <w:t>r</w:t>
      </w:r>
      <w:r w:rsidRPr="0060216C">
        <w:rPr>
          <w:rFonts w:eastAsia="Times New Roman" w:cs="Vrinda"/>
          <w:spacing w:val="-2"/>
          <w:lang w:val="es-ES"/>
        </w:rPr>
        <w:t>a</w:t>
      </w:r>
      <w:r w:rsidRPr="0060216C">
        <w:rPr>
          <w:rFonts w:eastAsia="Times New Roman" w:cs="Vrinda"/>
          <w:lang w:val="es-ES"/>
        </w:rPr>
        <w:t>r</w:t>
      </w:r>
      <w:r w:rsidRPr="0060216C">
        <w:rPr>
          <w:rFonts w:eastAsia="Times New Roman" w:cs="Vrinda"/>
          <w:spacing w:val="1"/>
          <w:lang w:val="es-ES"/>
        </w:rPr>
        <w:t xml:space="preserve"> a</w:t>
      </w:r>
      <w:r w:rsidRPr="0060216C">
        <w:rPr>
          <w:rFonts w:eastAsia="Times New Roman" w:cs="Vrinda"/>
          <w:lang w:val="es-ES"/>
        </w:rPr>
        <w:t xml:space="preserve"> </w:t>
      </w:r>
      <w:r w:rsidRPr="0060216C">
        <w:rPr>
          <w:rFonts w:eastAsia="Times New Roman" w:cs="Vrinda"/>
          <w:spacing w:val="-1"/>
          <w:lang w:val="es-ES"/>
        </w:rPr>
        <w:t>t</w:t>
      </w:r>
      <w:r w:rsidRPr="0060216C">
        <w:rPr>
          <w:rFonts w:eastAsia="Times New Roman" w:cs="Vrinda"/>
          <w:spacing w:val="2"/>
          <w:lang w:val="es-ES"/>
        </w:rPr>
        <w:t>od</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1"/>
          <w:lang w:val="es-ES"/>
        </w:rPr>
        <w:t>l</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v</w:t>
      </w:r>
      <w:r w:rsidRPr="0060216C">
        <w:rPr>
          <w:rFonts w:eastAsia="Times New Roman" w:cs="Vrinda"/>
          <w:spacing w:val="3"/>
          <w:lang w:val="es-ES"/>
        </w:rPr>
        <w:t>í</w:t>
      </w:r>
      <w:r w:rsidRPr="0060216C">
        <w:rPr>
          <w:rFonts w:eastAsia="Times New Roman" w:cs="Vrinda"/>
          <w:spacing w:val="-2"/>
          <w:lang w:val="es-ES"/>
        </w:rPr>
        <w:t>c</w:t>
      </w:r>
      <w:r w:rsidRPr="0060216C">
        <w:rPr>
          <w:rFonts w:eastAsia="Times New Roman" w:cs="Vrinda"/>
          <w:spacing w:val="-1"/>
          <w:lang w:val="es-ES"/>
        </w:rPr>
        <w:t>ti</w:t>
      </w:r>
      <w:r w:rsidRPr="0060216C">
        <w:rPr>
          <w:rFonts w:eastAsia="Times New Roman" w:cs="Vrinda"/>
          <w:spacing w:val="5"/>
          <w:lang w:val="es-ES"/>
        </w:rPr>
        <w:t>m</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s</w:t>
      </w:r>
      <w:r w:rsidRPr="0060216C">
        <w:rPr>
          <w:rFonts w:eastAsia="Times New Roman" w:cs="Vrinda"/>
          <w:spacing w:val="2"/>
          <w:lang w:val="es-ES"/>
        </w:rPr>
        <w:t>ob</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v</w:t>
      </w:r>
      <w:r w:rsidRPr="0060216C">
        <w:rPr>
          <w:rFonts w:eastAsia="Times New Roman" w:cs="Vrinda"/>
          <w:spacing w:val="-1"/>
          <w:lang w:val="es-ES"/>
        </w:rPr>
        <w:t>i</w:t>
      </w:r>
      <w:r w:rsidRPr="0060216C">
        <w:rPr>
          <w:rFonts w:eastAsia="Times New Roman" w:cs="Vrinda"/>
          <w:spacing w:val="2"/>
          <w:lang w:val="es-ES"/>
        </w:rPr>
        <w:t>v</w:t>
      </w:r>
      <w:r w:rsidRPr="0060216C">
        <w:rPr>
          <w:rFonts w:eastAsia="Times New Roman" w:cs="Vrinda"/>
          <w:spacing w:val="-1"/>
          <w:lang w:val="es-ES"/>
        </w:rPr>
        <w:t>i</w:t>
      </w:r>
      <w:r w:rsidRPr="0060216C">
        <w:rPr>
          <w:rFonts w:eastAsia="Times New Roman" w:cs="Vrinda"/>
          <w:spacing w:val="2"/>
          <w:lang w:val="es-ES"/>
        </w:rPr>
        <w:t>e</w:t>
      </w:r>
      <w:r w:rsidRPr="0060216C">
        <w:rPr>
          <w:rFonts w:eastAsia="Times New Roman" w:cs="Vrinda"/>
          <w:spacing w:val="-2"/>
          <w:lang w:val="es-ES"/>
        </w:rPr>
        <w:t>n</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lang w:val="es-ES"/>
        </w:rPr>
        <w:t xml:space="preserve">s </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p</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2"/>
          <w:lang w:val="es-ES"/>
        </w:rPr>
        <w:t>en</w:t>
      </w:r>
      <w:r w:rsidRPr="0060216C">
        <w:rPr>
          <w:rFonts w:eastAsia="Times New Roman" w:cs="Vrinda"/>
          <w:spacing w:val="3"/>
          <w:lang w:val="es-ES"/>
        </w:rPr>
        <w:t>t</w:t>
      </w:r>
      <w:r w:rsidRPr="0060216C">
        <w:rPr>
          <w:rFonts w:eastAsia="Times New Roman" w:cs="Vrinda"/>
          <w:lang w:val="es-ES"/>
        </w:rPr>
        <w:t xml:space="preserve">e </w:t>
      </w:r>
      <w:r w:rsidRPr="0060216C">
        <w:rPr>
          <w:rFonts w:eastAsia="Times New Roman" w:cs="Vrinda"/>
          <w:spacing w:val="2"/>
          <w:lang w:val="es-ES"/>
        </w:rPr>
        <w:t>c</w:t>
      </w:r>
      <w:r w:rsidRPr="0060216C">
        <w:rPr>
          <w:rFonts w:eastAsia="Times New Roman" w:cs="Vrinda"/>
          <w:spacing w:val="-2"/>
          <w:lang w:val="es-ES"/>
        </w:rPr>
        <w:t>as</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a</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1"/>
          <w:lang w:val="es-ES"/>
        </w:rPr>
        <w:t>i</w:t>
      </w:r>
      <w:r w:rsidRPr="0060216C">
        <w:rPr>
          <w:rFonts w:eastAsia="Times New Roman" w:cs="Vrinda"/>
          <w:spacing w:val="2"/>
          <w:lang w:val="es-ES"/>
        </w:rPr>
        <w:t>gua</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r</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1"/>
          <w:lang w:val="es-ES"/>
        </w:rPr>
        <w:t>t</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d</w:t>
      </w:r>
      <w:r w:rsidRPr="0060216C">
        <w:rPr>
          <w:rFonts w:eastAsia="Times New Roman" w:cs="Vrinda"/>
          <w:lang w:val="es-ES"/>
        </w:rPr>
        <w:t>e</w:t>
      </w:r>
      <w:r w:rsidRPr="0060216C">
        <w:rPr>
          <w:rFonts w:eastAsia="Times New Roman" w:cs="Vrinda"/>
          <w:spacing w:val="4"/>
          <w:lang w:val="es-ES"/>
        </w:rPr>
        <w:t xml:space="preserve"> </w:t>
      </w:r>
      <w:r w:rsidRPr="0060216C">
        <w:rPr>
          <w:rFonts w:eastAsia="Times New Roman" w:cs="Vrinda"/>
          <w:spacing w:val="-1"/>
          <w:lang w:val="es-ES"/>
        </w:rPr>
        <w:t>l</w:t>
      </w:r>
      <w:r w:rsidRPr="0060216C">
        <w:rPr>
          <w:rFonts w:eastAsia="Times New Roman" w:cs="Vrinda"/>
          <w:spacing w:val="2"/>
          <w:lang w:val="es-ES"/>
        </w:rPr>
        <w:t>as p</w:t>
      </w:r>
      <w:r w:rsidRPr="0060216C">
        <w:rPr>
          <w:rFonts w:eastAsia="Times New Roman" w:cs="Vrinda"/>
          <w:spacing w:val="-2"/>
          <w:lang w:val="es-ES"/>
        </w:rPr>
        <w:t>ers</w:t>
      </w:r>
      <w:r w:rsidRPr="0060216C">
        <w:rPr>
          <w:rFonts w:eastAsia="Times New Roman" w:cs="Vrinda"/>
          <w:spacing w:val="2"/>
          <w:lang w:val="es-ES"/>
        </w:rPr>
        <w:t>ona</w:t>
      </w:r>
      <w:r w:rsidRPr="0060216C">
        <w:rPr>
          <w:rFonts w:eastAsia="Times New Roman" w:cs="Vrinda"/>
          <w:lang w:val="es-ES"/>
        </w:rPr>
        <w:t>s</w:t>
      </w:r>
      <w:r w:rsidRPr="0060216C">
        <w:rPr>
          <w:rFonts w:eastAsia="Times New Roman" w:cs="Vrinda"/>
          <w:spacing w:val="2"/>
          <w:lang w:val="es-ES"/>
        </w:rPr>
        <w:t xml:space="preserv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1"/>
          <w:lang w:val="es-ES"/>
        </w:rPr>
        <w:t>f</w:t>
      </w:r>
      <w:r w:rsidRPr="0060216C">
        <w:rPr>
          <w:rFonts w:eastAsia="Times New Roman" w:cs="Vrinda"/>
          <w:spacing w:val="-2"/>
          <w:lang w:val="es-ES"/>
        </w:rPr>
        <w:t>ec</w:t>
      </w:r>
      <w:r w:rsidRPr="0060216C">
        <w:rPr>
          <w:rFonts w:eastAsia="Times New Roman" w:cs="Vrinda"/>
          <w:spacing w:val="-1"/>
          <w:lang w:val="es-ES"/>
        </w:rPr>
        <w:t>t</w:t>
      </w:r>
      <w:r w:rsidRPr="0060216C">
        <w:rPr>
          <w:rFonts w:eastAsia="Times New Roman" w:cs="Vrinda"/>
          <w:spacing w:val="2"/>
          <w:lang w:val="es-ES"/>
        </w:rPr>
        <w:t>ada</w:t>
      </w:r>
      <w:r w:rsidRPr="0060216C">
        <w:rPr>
          <w:rFonts w:eastAsia="Times New Roman" w:cs="Vrinda"/>
          <w:lang w:val="es-ES"/>
        </w:rPr>
        <w:t>s</w:t>
      </w:r>
      <w:r w:rsidRPr="0060216C">
        <w:rPr>
          <w:rFonts w:eastAsia="Times New Roman" w:cs="Vrinda"/>
          <w:spacing w:val="2"/>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e</w:t>
      </w:r>
      <w:r w:rsidRPr="0060216C">
        <w:rPr>
          <w:rFonts w:eastAsia="Times New Roman" w:cs="Vrinda"/>
          <w:spacing w:val="1"/>
          <w:lang w:val="es-ES"/>
        </w:rPr>
        <w:t xml:space="preserve"> </w:t>
      </w:r>
      <w:r w:rsidRPr="0060216C">
        <w:rPr>
          <w:rFonts w:eastAsia="Times New Roman" w:cs="Vrinda"/>
          <w:spacing w:val="-2"/>
          <w:lang w:val="es-ES"/>
        </w:rPr>
        <w:t>res</w:t>
      </w:r>
      <w:r w:rsidRPr="0060216C">
        <w:rPr>
          <w:rFonts w:eastAsia="Times New Roman" w:cs="Vrinda"/>
          <w:spacing w:val="-1"/>
          <w:lang w:val="es-ES"/>
        </w:rPr>
        <w:t>i</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lang w:val="es-ES"/>
        </w:rPr>
        <w:t>n</w:t>
      </w:r>
      <w:r w:rsidRPr="0060216C">
        <w:rPr>
          <w:rFonts w:eastAsia="Times New Roman" w:cs="Vrinda"/>
          <w:spacing w:val="5"/>
          <w:lang w:val="es-ES"/>
        </w:rPr>
        <w:t xml:space="preserve"> </w:t>
      </w:r>
      <w:r w:rsidRPr="0060216C">
        <w:rPr>
          <w:rFonts w:eastAsia="Times New Roman" w:cs="Vrinda"/>
          <w:spacing w:val="-2"/>
          <w:lang w:val="es-ES"/>
        </w:rPr>
        <w:t>e</w:t>
      </w:r>
      <w:r w:rsidRPr="0060216C">
        <w:rPr>
          <w:rFonts w:eastAsia="Times New Roman" w:cs="Vrinda"/>
          <w:lang w:val="es-ES"/>
        </w:rPr>
        <w:t>n</w:t>
      </w:r>
      <w:r w:rsidRPr="0060216C">
        <w:rPr>
          <w:rFonts w:eastAsia="Times New Roman" w:cs="Vrinda"/>
          <w:spacing w:val="5"/>
          <w:lang w:val="es-ES"/>
        </w:rPr>
        <w:t xml:space="preserve"> </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2"/>
          <w:lang w:val="es-ES"/>
        </w:rPr>
        <w:t xml:space="preserve"> pa</w:t>
      </w:r>
      <w:r w:rsidRPr="0060216C">
        <w:rPr>
          <w:rFonts w:eastAsia="Times New Roman" w:cs="Vrinda"/>
          <w:spacing w:val="-1"/>
          <w:lang w:val="es-ES"/>
        </w:rPr>
        <w:t>í</w:t>
      </w:r>
      <w:r w:rsidRPr="0060216C">
        <w:rPr>
          <w:rFonts w:eastAsia="Times New Roman" w:cs="Vrinda"/>
          <w:lang w:val="es-ES"/>
        </w:rPr>
        <w:t>s. Asimismo, el Estado señaló que, respecto a la reparación solicitada por los representantes en cuanto a los posibles daños ocasionados por la supuesta violación al artículo 19 de la Convención, no está en condiciones de pronunciarse debido a que el Escrito de Solicitudes, Argumentos y Pruebas de los representantes no presenta argumentos en sus fundamentos de derecho. Por lo tanto, solicitó a la Corte que dicha solicitud de reparación se tenga por no presentada.</w:t>
      </w:r>
    </w:p>
    <w:p w14:paraId="41AA059B" w14:textId="77777777" w:rsidR="0061727E" w:rsidRDefault="0061727E" w:rsidP="0061727E">
      <w:pPr>
        <w:tabs>
          <w:tab w:val="left" w:pos="709"/>
          <w:tab w:val="left" w:pos="1134"/>
        </w:tabs>
        <w:ind w:right="-4"/>
        <w:rPr>
          <w:rFonts w:cs="Vrinda"/>
        </w:rPr>
      </w:pPr>
    </w:p>
    <w:p w14:paraId="7DE9867F" w14:textId="3BC946DB" w:rsidR="006F704E" w:rsidRDefault="00E841F7" w:rsidP="00E841F7">
      <w:pPr>
        <w:rPr>
          <w:rFonts w:cs="Vrinda"/>
          <w:b/>
          <w:i/>
          <w:lang w:val="es-ES"/>
        </w:rPr>
      </w:pPr>
      <w:r>
        <w:rPr>
          <w:rFonts w:cs="Vrinda"/>
        </w:rPr>
        <w:tab/>
      </w:r>
      <w:r>
        <w:rPr>
          <w:rFonts w:cs="Vrinda"/>
        </w:rPr>
        <w:tab/>
      </w:r>
      <w:r>
        <w:rPr>
          <w:rFonts w:cs="Vrinda"/>
        </w:rPr>
        <w:tab/>
      </w:r>
      <w:r w:rsidR="006F704E" w:rsidRPr="00F63F5C">
        <w:rPr>
          <w:rFonts w:cs="Vrinda"/>
          <w:b/>
          <w:i/>
          <w:lang w:val="es-ES"/>
        </w:rPr>
        <w:t>B.1.2. Consideraciones de la Corte</w:t>
      </w:r>
    </w:p>
    <w:p w14:paraId="65209819" w14:textId="77777777" w:rsidR="0061727E" w:rsidRPr="00F63F5C" w:rsidRDefault="0061727E" w:rsidP="0061727E">
      <w:pPr>
        <w:tabs>
          <w:tab w:val="left" w:pos="709"/>
          <w:tab w:val="left" w:pos="1134"/>
        </w:tabs>
        <w:ind w:right="-4"/>
        <w:rPr>
          <w:rFonts w:cs="Vrinda"/>
        </w:rPr>
      </w:pPr>
    </w:p>
    <w:p w14:paraId="36214582" w14:textId="0F38CE90" w:rsidR="00CA5745" w:rsidRPr="0061727E" w:rsidRDefault="006F704E" w:rsidP="0061727E">
      <w:pPr>
        <w:numPr>
          <w:ilvl w:val="0"/>
          <w:numId w:val="3"/>
        </w:numPr>
        <w:tabs>
          <w:tab w:val="left" w:pos="709"/>
          <w:tab w:val="left" w:pos="1134"/>
        </w:tabs>
        <w:ind w:left="0" w:right="-4" w:firstLine="0"/>
        <w:rPr>
          <w:rFonts w:cs="Vrinda"/>
        </w:rPr>
      </w:pPr>
      <w:r w:rsidRPr="0060216C">
        <w:rPr>
          <w:rFonts w:cs="Vrinda"/>
          <w:lang w:val="es-ES"/>
        </w:rPr>
        <w:t>En la presente Sentencia la Corte</w:t>
      </w:r>
      <w:r w:rsidRPr="0060216C">
        <w:rPr>
          <w:rFonts w:cs="Vrinda"/>
        </w:rPr>
        <w:t xml:space="preserve"> declaró que el Estado es responsable por la violación al deber de garantía del derecho a la salud por las omisiones del Estado en el tratamiento méd</w:t>
      </w:r>
      <w:r w:rsidR="00E3701B">
        <w:rPr>
          <w:rFonts w:cs="Vrinda"/>
        </w:rPr>
        <w:t>ico de las 49 víctimas del caso</w:t>
      </w:r>
      <w:r w:rsidR="00DF7907">
        <w:rPr>
          <w:rFonts w:cs="Vrinda"/>
        </w:rPr>
        <w:t xml:space="preserve"> y por la afectación de la integridad personal</w:t>
      </w:r>
      <w:r w:rsidR="0014430A">
        <w:rPr>
          <w:rFonts w:cs="Vrinda"/>
        </w:rPr>
        <w:t xml:space="preserve"> de </w:t>
      </w:r>
      <w:r w:rsidR="00E3701B">
        <w:rPr>
          <w:rFonts w:cs="Vrinda"/>
        </w:rPr>
        <w:t>46</w:t>
      </w:r>
      <w:r w:rsidR="0014430A">
        <w:rPr>
          <w:rFonts w:cs="Vrinda"/>
        </w:rPr>
        <w:t xml:space="preserve"> víctimas y </w:t>
      </w:r>
      <w:r w:rsidR="00C81E82">
        <w:rPr>
          <w:rFonts w:cs="Vrinda"/>
        </w:rPr>
        <w:t>63</w:t>
      </w:r>
      <w:r w:rsidR="0021198A">
        <w:rPr>
          <w:rFonts w:cs="Vrinda"/>
        </w:rPr>
        <w:t xml:space="preserve"> de sus</w:t>
      </w:r>
      <w:r w:rsidR="00DF7907">
        <w:rPr>
          <w:rFonts w:cs="Vrinda"/>
        </w:rPr>
        <w:t xml:space="preserve"> familiares</w:t>
      </w:r>
      <w:r w:rsidRPr="0060216C">
        <w:rPr>
          <w:rFonts w:cs="Vrinda"/>
        </w:rPr>
        <w:t xml:space="preserve">. </w:t>
      </w:r>
      <w:r w:rsidRPr="0060216C">
        <w:rPr>
          <w:rFonts w:cs="Vrinda"/>
          <w:lang w:val="es-ES"/>
        </w:rPr>
        <w:t>Por ello</w:t>
      </w:r>
      <w:r w:rsidR="00DF7907">
        <w:rPr>
          <w:rFonts w:cs="Vrinda"/>
          <w:lang w:val="es-ES"/>
        </w:rPr>
        <w:t>,</w:t>
      </w:r>
      <w:r w:rsidRPr="0060216C">
        <w:rPr>
          <w:rFonts w:cs="Vrinda"/>
          <w:lang w:val="es-ES"/>
        </w:rPr>
        <w:t xml:space="preserve"> la Corte estima que es preciso disponer una medida de </w:t>
      </w:r>
      <w:r w:rsidRPr="0060216C">
        <w:rPr>
          <w:rFonts w:cs="Vrinda"/>
          <w:lang w:val="es-ES"/>
        </w:rPr>
        <w:lastRenderedPageBreak/>
        <w:t>reparación que brinde una atención médica adecuada conforme a los estándar</w:t>
      </w:r>
      <w:r w:rsidR="00CA5745">
        <w:rPr>
          <w:rFonts w:cs="Vrinda"/>
          <w:lang w:val="es-ES"/>
        </w:rPr>
        <w:t>es expresados en esta Sentencia.</w:t>
      </w:r>
    </w:p>
    <w:p w14:paraId="1A58B884" w14:textId="77777777" w:rsidR="0061727E" w:rsidRPr="00CA5745" w:rsidRDefault="0061727E" w:rsidP="0061727E">
      <w:pPr>
        <w:tabs>
          <w:tab w:val="left" w:pos="709"/>
          <w:tab w:val="left" w:pos="1134"/>
        </w:tabs>
        <w:ind w:right="-4"/>
        <w:rPr>
          <w:rFonts w:cs="Vrinda"/>
        </w:rPr>
      </w:pPr>
    </w:p>
    <w:p w14:paraId="71D6A026" w14:textId="685896CB" w:rsidR="006F704E" w:rsidRDefault="006F704E" w:rsidP="0061727E">
      <w:pPr>
        <w:numPr>
          <w:ilvl w:val="0"/>
          <w:numId w:val="3"/>
        </w:numPr>
        <w:tabs>
          <w:tab w:val="left" w:pos="709"/>
          <w:tab w:val="left" w:pos="1134"/>
        </w:tabs>
        <w:ind w:left="0" w:right="-4" w:firstLine="0"/>
        <w:rPr>
          <w:rFonts w:cs="Vrinda"/>
        </w:rPr>
      </w:pPr>
      <w:r w:rsidRPr="00BF5B6C">
        <w:rPr>
          <w:rFonts w:cs="Vrinda"/>
          <w:lang w:val="es-ES"/>
        </w:rPr>
        <w:t>De este modo, este Tribunal dispone la obligación</w:t>
      </w:r>
      <w:r w:rsidR="002300F1" w:rsidRPr="00BF5B6C">
        <w:rPr>
          <w:rFonts w:cs="Vrinda"/>
          <w:lang w:val="es-ES"/>
        </w:rPr>
        <w:t>,</w:t>
      </w:r>
      <w:r w:rsidRPr="00BF5B6C">
        <w:rPr>
          <w:rFonts w:cs="Vrinda"/>
          <w:lang w:val="es-ES"/>
        </w:rPr>
        <w:t xml:space="preserve"> a cargo del Estado</w:t>
      </w:r>
      <w:r w:rsidR="002300F1" w:rsidRPr="00BF5B6C">
        <w:rPr>
          <w:rFonts w:cs="Vrinda"/>
          <w:lang w:val="es-ES"/>
        </w:rPr>
        <w:t>,</w:t>
      </w:r>
      <w:r w:rsidRPr="00BF5B6C">
        <w:rPr>
          <w:rFonts w:cs="Vrinda"/>
          <w:lang w:val="es-ES"/>
        </w:rPr>
        <w:t xml:space="preserve"> de brindar gratuitamente, a través de instituciones de salud públicas especializadas</w:t>
      </w:r>
      <w:r w:rsidR="002300F1" w:rsidRPr="00BF5B6C">
        <w:rPr>
          <w:rFonts w:cs="Vrinda"/>
          <w:lang w:val="es-ES"/>
        </w:rPr>
        <w:t>,</w:t>
      </w:r>
      <w:r w:rsidRPr="00BF5B6C">
        <w:rPr>
          <w:rFonts w:cs="Vrinda"/>
          <w:lang w:val="es-ES"/>
        </w:rPr>
        <w:t xml:space="preserve"> o personal de salud especializado, y de forma inmediata, oportuna, adecuada y efectiva, el tratamiento médico y psicológico o psiquiátrico a las víctimas</w:t>
      </w:r>
      <w:r w:rsidR="00A6314B">
        <w:rPr>
          <w:rFonts w:cs="Vrinda"/>
          <w:lang w:val="es-ES"/>
        </w:rPr>
        <w:t xml:space="preserve"> </w:t>
      </w:r>
      <w:r w:rsidR="0014430A">
        <w:rPr>
          <w:rFonts w:cs="Vrinda"/>
          <w:lang w:val="es-ES"/>
        </w:rPr>
        <w:t>directas</w:t>
      </w:r>
      <w:r w:rsidR="00A6314B">
        <w:rPr>
          <w:rFonts w:cs="Vrinda"/>
          <w:lang w:val="es-ES"/>
        </w:rPr>
        <w:t xml:space="preserve"> </w:t>
      </w:r>
      <w:r w:rsidR="00856D96">
        <w:rPr>
          <w:rFonts w:cs="Vrinda"/>
          <w:lang w:val="es-ES"/>
        </w:rPr>
        <w:t xml:space="preserve">de violaciones </w:t>
      </w:r>
      <w:r w:rsidR="00A6314B">
        <w:rPr>
          <w:rFonts w:cs="Vrinda"/>
          <w:lang w:val="es-ES"/>
        </w:rPr>
        <w:t>al derecho a la salud</w:t>
      </w:r>
      <w:r w:rsidR="0014430A">
        <w:rPr>
          <w:rFonts w:cs="Vrinda"/>
          <w:lang w:val="es-ES"/>
        </w:rPr>
        <w:t xml:space="preserve"> y a la integridad personal</w:t>
      </w:r>
      <w:r w:rsidR="00CA5745" w:rsidRPr="00BF5B6C">
        <w:rPr>
          <w:rFonts w:cs="Vrinda"/>
          <w:lang w:val="es-ES"/>
        </w:rPr>
        <w:t>. Este tratamiento deberá</w:t>
      </w:r>
      <w:r w:rsidRPr="00BF5B6C">
        <w:rPr>
          <w:rFonts w:cs="Vrinda"/>
          <w:lang w:val="es-ES"/>
        </w:rPr>
        <w:t xml:space="preserve"> </w:t>
      </w:r>
      <w:r w:rsidR="001D40BB">
        <w:rPr>
          <w:rFonts w:cs="Vrinda"/>
          <w:lang w:val="es-ES"/>
        </w:rPr>
        <w:t xml:space="preserve">incluir lo siguiente: </w:t>
      </w:r>
      <w:r w:rsidR="00CA5745" w:rsidRPr="00BF5B6C">
        <w:rPr>
          <w:rFonts w:cs="Vrinda"/>
          <w:lang w:val="es-ES"/>
        </w:rPr>
        <w:t>i) el</w:t>
      </w:r>
      <w:r w:rsidRPr="00BF5B6C">
        <w:rPr>
          <w:rFonts w:cs="Vrinda"/>
          <w:lang w:val="es-ES"/>
        </w:rPr>
        <w:t xml:space="preserve"> suministro gratuito</w:t>
      </w:r>
      <w:r w:rsidR="00CA5745" w:rsidRPr="00BF5B6C">
        <w:rPr>
          <w:rFonts w:cs="Vrinda"/>
          <w:lang w:val="es-ES"/>
        </w:rPr>
        <w:t xml:space="preserve"> y de por vida</w:t>
      </w:r>
      <w:r w:rsidRPr="00BF5B6C">
        <w:rPr>
          <w:rFonts w:cs="Vrinda"/>
          <w:lang w:val="es-ES"/>
        </w:rPr>
        <w:t xml:space="preserve"> de los medicamentos que eventualmente se requieran, </w:t>
      </w:r>
      <w:r w:rsidR="00C67739" w:rsidRPr="00BF5B6C">
        <w:rPr>
          <w:rFonts w:cs="Vrinda"/>
          <w:lang w:val="es-ES"/>
        </w:rPr>
        <w:t>tanto aquellos necesarios para combatir el VIH</w:t>
      </w:r>
      <w:r w:rsidR="002300F1" w:rsidRPr="00BF5B6C">
        <w:rPr>
          <w:rFonts w:cs="Vrinda"/>
          <w:lang w:val="es-ES"/>
        </w:rPr>
        <w:t>,</w:t>
      </w:r>
      <w:r w:rsidR="00C67739" w:rsidRPr="00BF5B6C">
        <w:rPr>
          <w:rFonts w:cs="Vrinda"/>
          <w:lang w:val="es-ES"/>
        </w:rPr>
        <w:t xml:space="preserve"> como aquellos necesarios para </w:t>
      </w:r>
      <w:r w:rsidR="002300F1" w:rsidRPr="00BF5B6C">
        <w:rPr>
          <w:rFonts w:cs="Vrinda"/>
          <w:lang w:val="es-ES"/>
        </w:rPr>
        <w:t>combatir las enfermedades oportunistas</w:t>
      </w:r>
      <w:r w:rsidR="00A6314B">
        <w:rPr>
          <w:rFonts w:cs="Vrinda"/>
          <w:lang w:val="es-ES"/>
        </w:rPr>
        <w:t xml:space="preserve"> </w:t>
      </w:r>
      <w:r w:rsidR="00A6314B">
        <w:rPr>
          <w:szCs w:val="20"/>
        </w:rPr>
        <w:t>(</w:t>
      </w:r>
      <w:r w:rsidR="00A6314B" w:rsidRPr="00B55AD7">
        <w:rPr>
          <w:i/>
          <w:szCs w:val="20"/>
        </w:rPr>
        <w:t>supra</w:t>
      </w:r>
      <w:r w:rsidR="00A6314B">
        <w:rPr>
          <w:szCs w:val="20"/>
        </w:rPr>
        <w:t xml:space="preserve"> párr.</w:t>
      </w:r>
      <w:r w:rsidR="00B55AD7">
        <w:rPr>
          <w:szCs w:val="20"/>
        </w:rPr>
        <w:t xml:space="preserve"> 110</w:t>
      </w:r>
      <w:r w:rsidR="00A6314B">
        <w:rPr>
          <w:szCs w:val="20"/>
        </w:rPr>
        <w:t>)</w:t>
      </w:r>
      <w:r w:rsidR="00462F6A">
        <w:rPr>
          <w:rFonts w:cs="Vrinda"/>
          <w:lang w:val="es-ES"/>
        </w:rPr>
        <w:t>,</w:t>
      </w:r>
      <w:r w:rsidR="00CA5745" w:rsidRPr="00BF5B6C">
        <w:rPr>
          <w:rFonts w:cs="Vrinda"/>
          <w:lang w:val="es-ES"/>
        </w:rPr>
        <w:t xml:space="preserve"> ii) la realización de pruebas </w:t>
      </w:r>
      <w:r w:rsidR="009A6C3A" w:rsidRPr="00BF5B6C">
        <w:rPr>
          <w:rFonts w:cs="Vrinda"/>
          <w:lang w:val="es-ES"/>
        </w:rPr>
        <w:t>diagnósticas para la atención del VIH y para el diagnóstico y tratamiento de otras enfermedades que puedan surgir</w:t>
      </w:r>
      <w:r w:rsidR="00A6314B">
        <w:rPr>
          <w:rFonts w:cs="Vrinda"/>
          <w:lang w:val="es-ES"/>
        </w:rPr>
        <w:t xml:space="preserve"> </w:t>
      </w:r>
      <w:r w:rsidR="00A6314B">
        <w:rPr>
          <w:szCs w:val="20"/>
        </w:rPr>
        <w:t>(</w:t>
      </w:r>
      <w:r w:rsidR="00A6314B" w:rsidRPr="00B55AD7">
        <w:rPr>
          <w:i/>
          <w:szCs w:val="20"/>
        </w:rPr>
        <w:t>supra</w:t>
      </w:r>
      <w:r w:rsidR="00A6314B">
        <w:rPr>
          <w:szCs w:val="20"/>
        </w:rPr>
        <w:t xml:space="preserve"> párr.</w:t>
      </w:r>
      <w:r w:rsidR="00B55AD7">
        <w:rPr>
          <w:szCs w:val="20"/>
        </w:rPr>
        <w:t xml:space="preserve"> 111</w:t>
      </w:r>
      <w:r w:rsidR="00A6314B">
        <w:rPr>
          <w:szCs w:val="20"/>
        </w:rPr>
        <w:t>)</w:t>
      </w:r>
      <w:r w:rsidR="00462F6A">
        <w:rPr>
          <w:rFonts w:cs="Vrinda"/>
          <w:lang w:val="es-ES"/>
        </w:rPr>
        <w:t>,</w:t>
      </w:r>
      <w:r w:rsidR="009A6C3A" w:rsidRPr="00BF5B6C">
        <w:rPr>
          <w:rFonts w:cs="Vrinda"/>
          <w:lang w:val="es-ES"/>
        </w:rPr>
        <w:t xml:space="preserve"> iii) el apoyo social, que incluya el suministro de alimento</w:t>
      </w:r>
      <w:r w:rsidR="0021198A">
        <w:rPr>
          <w:rFonts w:cs="Vrinda"/>
          <w:lang w:val="es-ES"/>
        </w:rPr>
        <w:t>s</w:t>
      </w:r>
      <w:r w:rsidR="009A6C3A" w:rsidRPr="00BF5B6C">
        <w:rPr>
          <w:rFonts w:cs="Vrinda"/>
          <w:lang w:val="es-ES"/>
        </w:rPr>
        <w:t xml:space="preserve"> necesario</w:t>
      </w:r>
      <w:r w:rsidR="0021198A">
        <w:rPr>
          <w:rFonts w:cs="Vrinda"/>
          <w:lang w:val="es-ES"/>
        </w:rPr>
        <w:t>s</w:t>
      </w:r>
      <w:r w:rsidR="009A6C3A" w:rsidRPr="00BF5B6C">
        <w:rPr>
          <w:rFonts w:cs="Vrinda"/>
          <w:lang w:val="es-ES"/>
        </w:rPr>
        <w:t xml:space="preserve"> para el tratamiento, apoyo emocional, asesoramiento psicosocial y apoyo nutricional</w:t>
      </w:r>
      <w:r w:rsidR="00A6314B">
        <w:rPr>
          <w:rFonts w:cs="Vrinda"/>
          <w:lang w:val="es-ES"/>
        </w:rPr>
        <w:t xml:space="preserve"> </w:t>
      </w:r>
      <w:r w:rsidR="00A6314B">
        <w:rPr>
          <w:szCs w:val="20"/>
        </w:rPr>
        <w:t>(</w:t>
      </w:r>
      <w:r w:rsidR="00A6314B" w:rsidRPr="00B55AD7">
        <w:rPr>
          <w:i/>
          <w:szCs w:val="20"/>
        </w:rPr>
        <w:t>supra</w:t>
      </w:r>
      <w:r w:rsidR="00A6314B">
        <w:rPr>
          <w:szCs w:val="20"/>
        </w:rPr>
        <w:t xml:space="preserve"> párr.</w:t>
      </w:r>
      <w:r w:rsidR="00B55AD7">
        <w:rPr>
          <w:szCs w:val="20"/>
        </w:rPr>
        <w:t xml:space="preserve"> 112</w:t>
      </w:r>
      <w:r w:rsidR="00A6314B">
        <w:rPr>
          <w:szCs w:val="20"/>
        </w:rPr>
        <w:t>)</w:t>
      </w:r>
      <w:r w:rsidR="00462F6A">
        <w:rPr>
          <w:rFonts w:cs="Vrinda"/>
          <w:lang w:val="es-ES"/>
        </w:rPr>
        <w:t>,</w:t>
      </w:r>
      <w:r w:rsidR="00E06E1D" w:rsidRPr="00BF5B6C">
        <w:rPr>
          <w:rFonts w:cs="Vrinda"/>
          <w:lang w:val="es-ES"/>
        </w:rPr>
        <w:t xml:space="preserve"> y iv) </w:t>
      </w:r>
      <w:r w:rsidR="00A6314B" w:rsidRPr="00A6314B">
        <w:rPr>
          <w:szCs w:val="20"/>
        </w:rPr>
        <w:t>los preservativos, lubricantes, material de inyección estéril</w:t>
      </w:r>
      <w:r w:rsidR="00A6314B">
        <w:rPr>
          <w:rFonts w:cs="Vrinda"/>
          <w:lang w:val="es-ES"/>
        </w:rPr>
        <w:t xml:space="preserve"> como </w:t>
      </w:r>
      <w:r w:rsidR="00A6314B" w:rsidRPr="00A6314B">
        <w:rPr>
          <w:szCs w:val="20"/>
        </w:rPr>
        <w:t>tecnologías de prevención del VIH</w:t>
      </w:r>
      <w:r w:rsidR="00A6314B">
        <w:rPr>
          <w:szCs w:val="20"/>
        </w:rPr>
        <w:t xml:space="preserve"> (</w:t>
      </w:r>
      <w:r w:rsidR="00A6314B" w:rsidRPr="00B55AD7">
        <w:rPr>
          <w:i/>
          <w:szCs w:val="20"/>
        </w:rPr>
        <w:t>supra</w:t>
      </w:r>
      <w:r w:rsidR="00A6314B">
        <w:rPr>
          <w:szCs w:val="20"/>
        </w:rPr>
        <w:t xml:space="preserve"> párr.</w:t>
      </w:r>
      <w:r w:rsidR="00B55AD7">
        <w:rPr>
          <w:szCs w:val="20"/>
        </w:rPr>
        <w:t>113</w:t>
      </w:r>
      <w:r w:rsidR="00A6314B">
        <w:rPr>
          <w:szCs w:val="20"/>
        </w:rPr>
        <w:t>)</w:t>
      </w:r>
      <w:r w:rsidR="009A6C3A" w:rsidRPr="00BF5B6C">
        <w:rPr>
          <w:rFonts w:cs="Vrinda"/>
          <w:lang w:val="es-ES"/>
        </w:rPr>
        <w:t>. E</w:t>
      </w:r>
      <w:r w:rsidRPr="00BF5B6C">
        <w:rPr>
          <w:rFonts w:cs="Vrinda"/>
          <w:lang w:val="es-ES"/>
        </w:rPr>
        <w:t xml:space="preserve">n el caso de que el Estado careciera de ellas deberá recurrir a instituciones privadas o de la sociedad civil especializadas. </w:t>
      </w:r>
      <w:r w:rsidR="002300F1" w:rsidRPr="00BF5B6C">
        <w:rPr>
          <w:rFonts w:cs="Vrinda"/>
        </w:rPr>
        <w:t>Adicionalmente, el Estado deberá otorgar atención médica inmediata a las víctimas que padezcan lipodistrofia, incluyendo la cirugía requerida para el tratamiento de dicha enfermedad.</w:t>
      </w:r>
    </w:p>
    <w:p w14:paraId="43C612F7" w14:textId="77777777" w:rsidR="0061727E" w:rsidRPr="00BF5B6C" w:rsidRDefault="0061727E" w:rsidP="0061727E">
      <w:pPr>
        <w:tabs>
          <w:tab w:val="left" w:pos="709"/>
          <w:tab w:val="left" w:pos="1134"/>
        </w:tabs>
        <w:ind w:right="-4"/>
        <w:rPr>
          <w:rFonts w:cs="Vrinda"/>
        </w:rPr>
      </w:pPr>
    </w:p>
    <w:p w14:paraId="7B2ADE78" w14:textId="3A784545" w:rsidR="009A6C3A" w:rsidRPr="0061727E" w:rsidRDefault="006F704E" w:rsidP="0061727E">
      <w:pPr>
        <w:numPr>
          <w:ilvl w:val="0"/>
          <w:numId w:val="3"/>
        </w:numPr>
        <w:tabs>
          <w:tab w:val="left" w:pos="709"/>
          <w:tab w:val="left" w:pos="1134"/>
        </w:tabs>
        <w:ind w:left="0" w:right="-4" w:firstLine="0"/>
        <w:rPr>
          <w:rFonts w:cs="Vrinda"/>
        </w:rPr>
      </w:pPr>
      <w:r w:rsidRPr="0060216C">
        <w:rPr>
          <w:rFonts w:cs="Vrinda"/>
        </w:rPr>
        <w:t>Asimismo</w:t>
      </w:r>
      <w:r w:rsidRPr="0060216C">
        <w:rPr>
          <w:rFonts w:cs="Vrinda"/>
          <w:lang w:val="es-ES"/>
        </w:rPr>
        <w:t xml:space="preserve">, en la presente Sentencia </w:t>
      </w:r>
      <w:r w:rsidR="009A6C3A">
        <w:rPr>
          <w:rFonts w:cs="Vrinda"/>
          <w:lang w:val="es-ES"/>
        </w:rPr>
        <w:t xml:space="preserve">la Corte declaró </w:t>
      </w:r>
      <w:r w:rsidRPr="0060216C">
        <w:rPr>
          <w:rFonts w:cs="Vrinda"/>
          <w:lang w:val="es-ES"/>
        </w:rPr>
        <w:t>que</w:t>
      </w:r>
      <w:r w:rsidR="009A6C3A">
        <w:rPr>
          <w:rFonts w:cs="Vrinda"/>
          <w:lang w:val="es-ES"/>
        </w:rPr>
        <w:t xml:space="preserve"> el Estado incumplió con su deber de garantía del derecho a la salud en perjuicio de</w:t>
      </w:r>
      <w:r w:rsidRPr="0060216C">
        <w:rPr>
          <w:rFonts w:cs="Vrinda"/>
          <w:lang w:val="es-ES"/>
        </w:rPr>
        <w:t xml:space="preserve"> </w:t>
      </w:r>
      <w:r w:rsidR="0021198A" w:rsidRPr="00D92087">
        <w:rPr>
          <w:rFonts w:cs="Vrinda"/>
          <w:lang w:val="es-ES"/>
        </w:rPr>
        <w:t>Corina Dianet</w:t>
      </w:r>
      <w:r w:rsidR="00C563BD" w:rsidRPr="00D92087">
        <w:rPr>
          <w:rFonts w:cs="Vrinda"/>
          <w:lang w:val="es-ES"/>
        </w:rPr>
        <w:t>h Robledo</w:t>
      </w:r>
      <w:r w:rsidR="002300F1" w:rsidRPr="00D92087">
        <w:rPr>
          <w:rFonts w:cs="Vrinda"/>
          <w:lang w:val="es-ES"/>
        </w:rPr>
        <w:t xml:space="preserve"> Alvarado, Dora Marina Martínez Sofoifa,</w:t>
      </w:r>
      <w:r w:rsidR="001F1DDA" w:rsidRPr="00D92087">
        <w:rPr>
          <w:rFonts w:cs="Vrinda"/>
          <w:lang w:val="es-ES"/>
        </w:rPr>
        <w:t xml:space="preserve"> Zoila Marina Pérez</w:t>
      </w:r>
      <w:r w:rsidR="00C563BD" w:rsidRPr="00D92087">
        <w:rPr>
          <w:rFonts w:cs="Vrinda"/>
          <w:lang w:val="es-ES"/>
        </w:rPr>
        <w:t xml:space="preserve"> Ruíz</w:t>
      </w:r>
      <w:r w:rsidR="001F1DDA" w:rsidRPr="00D92087">
        <w:rPr>
          <w:rFonts w:cs="Vrinda"/>
          <w:lang w:val="es-ES"/>
        </w:rPr>
        <w:t>,</w:t>
      </w:r>
      <w:r w:rsidR="00C563BD" w:rsidRPr="00D92087">
        <w:rPr>
          <w:rFonts w:cs="Vrinda"/>
          <w:lang w:val="es-ES"/>
        </w:rPr>
        <w:t xml:space="preserve"> Francisco Sop Quiej y Miguel Lucas Vaí</w:t>
      </w:r>
      <w:r w:rsidR="002300F1" w:rsidRPr="00D92087">
        <w:rPr>
          <w:rFonts w:cs="Vrinda"/>
          <w:lang w:val="es-ES"/>
        </w:rPr>
        <w:t>l</w:t>
      </w:r>
      <w:r w:rsidR="002300F1">
        <w:rPr>
          <w:rFonts w:cs="Vrinda"/>
          <w:lang w:val="es-ES"/>
        </w:rPr>
        <w:t xml:space="preserve"> </w:t>
      </w:r>
      <w:r w:rsidRPr="0060216C">
        <w:rPr>
          <w:rFonts w:cs="Vrinda"/>
          <w:lang w:val="es-ES"/>
        </w:rPr>
        <w:t xml:space="preserve">al no haber adoptado medidas </w:t>
      </w:r>
      <w:r w:rsidR="009A6C3A">
        <w:rPr>
          <w:rFonts w:cs="Vrinda"/>
          <w:lang w:val="es-ES"/>
        </w:rPr>
        <w:t>positivas que permitieran su acceso a los centros de</w:t>
      </w:r>
      <w:r w:rsidRPr="0060216C">
        <w:rPr>
          <w:rFonts w:cs="Vrinda"/>
          <w:lang w:val="es-ES"/>
        </w:rPr>
        <w:t xml:space="preserve"> salud. En este sentido,</w:t>
      </w:r>
      <w:r w:rsidR="009A6C3A">
        <w:rPr>
          <w:rFonts w:cs="Vrinda"/>
          <w:lang w:val="es-ES"/>
        </w:rPr>
        <w:t xml:space="preserve"> el Tribunal</w:t>
      </w:r>
      <w:r w:rsidRPr="0060216C">
        <w:rPr>
          <w:rFonts w:cs="Vrinda"/>
          <w:lang w:val="es-ES"/>
        </w:rPr>
        <w:t xml:space="preserve"> considera oportuno ordenar que el tratamiento médico se otorgue en el centro médico más cercano al lugar de residencia de las víctimas de este caso por el tiempo que sea necesario. El Estado deberá asumir los gastos </w:t>
      </w:r>
      <w:r w:rsidR="00C15F5B">
        <w:rPr>
          <w:rFonts w:cs="Vrinda"/>
          <w:lang w:val="es-ES"/>
        </w:rPr>
        <w:t>de transporte y alimentación por el día en que acudan al centro médico</w:t>
      </w:r>
      <w:r w:rsidR="0098094C">
        <w:rPr>
          <w:rFonts w:cs="Vrinda"/>
          <w:lang w:val="es-ES"/>
        </w:rPr>
        <w:t>.</w:t>
      </w:r>
    </w:p>
    <w:p w14:paraId="0468FB9E" w14:textId="77777777" w:rsidR="0061727E" w:rsidRPr="009A6C3A" w:rsidRDefault="0061727E" w:rsidP="0061727E">
      <w:pPr>
        <w:tabs>
          <w:tab w:val="left" w:pos="709"/>
          <w:tab w:val="left" w:pos="1134"/>
        </w:tabs>
        <w:ind w:right="-4"/>
        <w:rPr>
          <w:rFonts w:cs="Vrinda"/>
        </w:rPr>
      </w:pPr>
    </w:p>
    <w:p w14:paraId="44757D4F" w14:textId="6FD1EC96" w:rsidR="006F704E" w:rsidRDefault="006F704E" w:rsidP="0061727E">
      <w:pPr>
        <w:numPr>
          <w:ilvl w:val="0"/>
          <w:numId w:val="3"/>
        </w:numPr>
        <w:tabs>
          <w:tab w:val="left" w:pos="709"/>
          <w:tab w:val="left" w:pos="1134"/>
        </w:tabs>
        <w:ind w:left="0" w:right="-4" w:firstLine="0"/>
        <w:rPr>
          <w:rFonts w:cs="Vrinda"/>
          <w:szCs w:val="20"/>
        </w:rPr>
      </w:pPr>
      <w:r w:rsidRPr="00D8593C">
        <w:rPr>
          <w:rFonts w:cs="Vrinda"/>
          <w:szCs w:val="20"/>
        </w:rPr>
        <w:t xml:space="preserve">Por otra parte, la Corte observa que, en el marco de la presente Sentencia, se declaró que el derecho a la integridad personal de </w:t>
      </w:r>
      <w:r w:rsidR="00C81E82">
        <w:rPr>
          <w:rFonts w:cs="Vrinda"/>
          <w:szCs w:val="20"/>
        </w:rPr>
        <w:t>63</w:t>
      </w:r>
      <w:r w:rsidR="0014430A" w:rsidRPr="00D8593C">
        <w:rPr>
          <w:rFonts w:cs="Vrinda"/>
          <w:szCs w:val="20"/>
        </w:rPr>
        <w:t xml:space="preserve"> familiares de las víctimas</w:t>
      </w:r>
      <w:r w:rsidRPr="00D8593C">
        <w:rPr>
          <w:rFonts w:cs="Vrinda"/>
          <w:szCs w:val="20"/>
        </w:rPr>
        <w:t xml:space="preserve"> se vio afectado </w:t>
      </w:r>
      <w:r w:rsidR="0014430A" w:rsidRPr="00D8593C">
        <w:rPr>
          <w:rFonts w:cs="Vrinda"/>
          <w:szCs w:val="20"/>
        </w:rPr>
        <w:t>por los sentimientos de dolor, angustia e incertidumbre por la falta de atención médica oportuna</w:t>
      </w:r>
      <w:r w:rsidR="00D8593C">
        <w:rPr>
          <w:rFonts w:cs="Vrinda"/>
          <w:szCs w:val="20"/>
        </w:rPr>
        <w:t xml:space="preserve"> de sus familiares (</w:t>
      </w:r>
      <w:r w:rsidR="00D8593C" w:rsidRPr="0061727E">
        <w:rPr>
          <w:rFonts w:cs="Vrinda"/>
          <w:i/>
          <w:szCs w:val="20"/>
        </w:rPr>
        <w:t>supra</w:t>
      </w:r>
      <w:r w:rsidR="00D8593C">
        <w:rPr>
          <w:rFonts w:cs="Vrinda"/>
          <w:szCs w:val="20"/>
        </w:rPr>
        <w:t xml:space="preserve"> párr.</w:t>
      </w:r>
      <w:r w:rsidR="00462F6A">
        <w:rPr>
          <w:rFonts w:cs="Vrinda"/>
          <w:szCs w:val="20"/>
        </w:rPr>
        <w:t>192</w:t>
      </w:r>
      <w:r w:rsidR="00D8593C">
        <w:rPr>
          <w:rFonts w:cs="Vrinda"/>
          <w:szCs w:val="20"/>
        </w:rPr>
        <w:t>)</w:t>
      </w:r>
      <w:r w:rsidR="00E06E1D" w:rsidRPr="00D8593C">
        <w:rPr>
          <w:rFonts w:cs="Vrinda"/>
          <w:szCs w:val="20"/>
        </w:rPr>
        <w:t>.</w:t>
      </w:r>
      <w:r w:rsidRPr="00D8593C">
        <w:rPr>
          <w:rFonts w:cs="Vrinda"/>
          <w:szCs w:val="20"/>
        </w:rPr>
        <w:t xml:space="preserve"> En consecuencia, </w:t>
      </w:r>
      <w:r w:rsidR="00D8593C" w:rsidRPr="00D8593C">
        <w:rPr>
          <w:szCs w:val="20"/>
        </w:rPr>
        <w:t xml:space="preserve">el Tribunal dispone la obligación a cargo del Estado de brindar gratuitamente, a través de sus instituciones de salud especializadas, y de forma inmediata, adecuada, integral y efectiva, tratamiento psicológico o psiquiátrico a </w:t>
      </w:r>
      <w:r w:rsidR="00D8593C">
        <w:rPr>
          <w:szCs w:val="20"/>
        </w:rPr>
        <w:t>los familiares de las</w:t>
      </w:r>
      <w:r w:rsidR="00D8593C" w:rsidRPr="00D8593C">
        <w:rPr>
          <w:szCs w:val="20"/>
        </w:rPr>
        <w:t xml:space="preserve"> víctimas que así lo soliciten, previo consentimiento informado, incluyendo el suministro gratuito de los medicamentos que eventualmente se requieran, tomando en consideración los padecimientos de cada uno de ellos. Asimismo, los tratamientos respectivos deberán prestarse, en la medida de lo posible, en los centros más cercanos a sus lugares de residencia </w:t>
      </w:r>
      <w:r w:rsidR="00D8593C">
        <w:rPr>
          <w:szCs w:val="20"/>
        </w:rPr>
        <w:t>por el tiempo que sea necesario</w:t>
      </w:r>
      <w:r w:rsidR="00D8593C" w:rsidRPr="00D8593C">
        <w:rPr>
          <w:szCs w:val="20"/>
        </w:rPr>
        <w:t>. Las víctimas que soliciten esta medida de reparación, o sus representantes legales, disponen de un plazo de seis meses, contado a partir de la notificación de la presente Sentencia, para dar a conocer al Estado su intención de recibir atención psicológica o psiquiátrica</w:t>
      </w:r>
      <w:r w:rsidRPr="00D8593C">
        <w:rPr>
          <w:rFonts w:cs="Vrinda"/>
          <w:szCs w:val="20"/>
        </w:rPr>
        <w:t>.</w:t>
      </w:r>
    </w:p>
    <w:p w14:paraId="22D61046" w14:textId="77777777" w:rsidR="0061727E" w:rsidRPr="00D8593C" w:rsidRDefault="0061727E" w:rsidP="0061727E">
      <w:pPr>
        <w:tabs>
          <w:tab w:val="left" w:pos="709"/>
          <w:tab w:val="left" w:pos="1134"/>
        </w:tabs>
        <w:ind w:right="-4"/>
        <w:rPr>
          <w:rFonts w:cs="Vrinda"/>
          <w:szCs w:val="20"/>
        </w:rPr>
      </w:pPr>
    </w:p>
    <w:p w14:paraId="4B1237BC" w14:textId="0BC52058" w:rsidR="002300F1" w:rsidRDefault="00DF7907" w:rsidP="0061727E">
      <w:pPr>
        <w:numPr>
          <w:ilvl w:val="0"/>
          <w:numId w:val="3"/>
        </w:numPr>
        <w:tabs>
          <w:tab w:val="left" w:pos="709"/>
          <w:tab w:val="left" w:pos="1134"/>
        </w:tabs>
        <w:ind w:left="0" w:right="-4" w:firstLine="0"/>
        <w:rPr>
          <w:rFonts w:cs="Vrinda"/>
        </w:rPr>
      </w:pPr>
      <w:r>
        <w:rPr>
          <w:rFonts w:cs="Vrinda"/>
          <w:lang w:val="es-ES"/>
        </w:rPr>
        <w:t>La Corte recuerda la necesidad de que el Estado actúe con especial celeridad en el cumplimiento de las medidas de reparación ordenadas en los párrafos anteriores, pues de su cumplimiento depende la preservación de la salud, la integridad personal y la vida de las víctimas del caso.</w:t>
      </w:r>
      <w:r w:rsidR="002300F1" w:rsidRPr="0060216C">
        <w:rPr>
          <w:rFonts w:cs="Vrinda"/>
          <w:lang w:val="es-ES"/>
        </w:rPr>
        <w:t xml:space="preserve"> </w:t>
      </w:r>
      <w:r w:rsidR="002300F1" w:rsidRPr="0060216C">
        <w:rPr>
          <w:rFonts w:cs="Vrinda"/>
        </w:rPr>
        <w:t>Corresponderá al Estado</w:t>
      </w:r>
      <w:r>
        <w:rPr>
          <w:rFonts w:cs="Vrinda"/>
        </w:rPr>
        <w:t xml:space="preserve"> acreditar ante este Tribunal el cumplimiento y</w:t>
      </w:r>
      <w:r w:rsidR="002300F1" w:rsidRPr="0060216C">
        <w:rPr>
          <w:rFonts w:cs="Vrinda"/>
        </w:rPr>
        <w:t xml:space="preserve"> permanencia de las medidas señal</w:t>
      </w:r>
      <w:r w:rsidR="0098094C">
        <w:rPr>
          <w:rFonts w:cs="Vrinda"/>
        </w:rPr>
        <w:t>adas en los párrafos anteriores</w:t>
      </w:r>
      <w:r w:rsidR="002300F1" w:rsidRPr="0060216C">
        <w:rPr>
          <w:rFonts w:cs="Vrinda"/>
        </w:rPr>
        <w:t>.</w:t>
      </w:r>
    </w:p>
    <w:p w14:paraId="7E689989" w14:textId="77777777" w:rsidR="0061727E" w:rsidRPr="002300F1" w:rsidRDefault="0061727E" w:rsidP="0061727E">
      <w:pPr>
        <w:tabs>
          <w:tab w:val="left" w:pos="709"/>
          <w:tab w:val="left" w:pos="1134"/>
        </w:tabs>
        <w:ind w:right="-4"/>
        <w:rPr>
          <w:rFonts w:cs="Vrinda"/>
        </w:rPr>
      </w:pPr>
    </w:p>
    <w:p w14:paraId="18922912" w14:textId="637A8DD8" w:rsidR="00F63F5C"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6F704E" w:rsidRPr="00E841F7">
        <w:rPr>
          <w:rFonts w:eastAsia="Times" w:cs="Arial"/>
          <w:b/>
          <w:szCs w:val="20"/>
          <w:lang w:val="es-MX"/>
        </w:rPr>
        <w:t>B.2 Medidas de satisfacción</w:t>
      </w:r>
    </w:p>
    <w:p w14:paraId="6966D89E" w14:textId="77777777" w:rsidR="0061727E" w:rsidRPr="0061727E" w:rsidRDefault="0061727E" w:rsidP="0061727E">
      <w:pPr>
        <w:rPr>
          <w:rFonts w:cs="Vrinda"/>
          <w:lang w:val="es-ES"/>
        </w:rPr>
      </w:pPr>
      <w:bookmarkStart w:id="115" w:name="_Toc520238585"/>
    </w:p>
    <w:p w14:paraId="77B9CC1A" w14:textId="65E29AE0" w:rsidR="006F704E" w:rsidRDefault="00E841F7" w:rsidP="0061727E">
      <w:pPr>
        <w:rPr>
          <w:rFonts w:cs="Vrinda"/>
          <w:b/>
          <w:i/>
          <w:szCs w:val="20"/>
          <w:lang w:val="es-ES"/>
        </w:rPr>
      </w:pPr>
      <w:r>
        <w:rPr>
          <w:rFonts w:cs="Vrinda"/>
          <w:b/>
          <w:i/>
          <w:lang w:val="es-ES"/>
        </w:rPr>
        <w:lastRenderedPageBreak/>
        <w:tab/>
      </w:r>
      <w:r>
        <w:rPr>
          <w:rFonts w:cs="Vrinda"/>
          <w:b/>
          <w:i/>
          <w:lang w:val="es-ES"/>
        </w:rPr>
        <w:tab/>
      </w:r>
      <w:r>
        <w:rPr>
          <w:rFonts w:cs="Vrinda"/>
          <w:b/>
          <w:i/>
          <w:lang w:val="es-ES"/>
        </w:rPr>
        <w:tab/>
      </w:r>
      <w:r w:rsidR="00F63F5C">
        <w:rPr>
          <w:rFonts w:cs="Vrinda"/>
          <w:b/>
          <w:i/>
          <w:lang w:val="es-ES"/>
        </w:rPr>
        <w:t>B.2.1</w:t>
      </w:r>
      <w:r w:rsidR="00F63F5C" w:rsidRPr="00F63F5C">
        <w:rPr>
          <w:rFonts w:cs="Vrinda"/>
          <w:b/>
          <w:i/>
          <w:lang w:val="es-ES"/>
        </w:rPr>
        <w:t xml:space="preserve">. </w:t>
      </w:r>
      <w:r w:rsidR="006F704E" w:rsidRPr="00F63F5C">
        <w:rPr>
          <w:rFonts w:cs="Vrinda"/>
          <w:b/>
          <w:i/>
          <w:szCs w:val="20"/>
          <w:lang w:val="es-ES"/>
        </w:rPr>
        <w:t>Acto público de reconocimiento de responsabilidad internacional</w:t>
      </w:r>
      <w:bookmarkEnd w:id="115"/>
    </w:p>
    <w:p w14:paraId="484DF403" w14:textId="77777777" w:rsidR="0088325B" w:rsidRPr="0061727E" w:rsidRDefault="0088325B" w:rsidP="0061727E">
      <w:pPr>
        <w:rPr>
          <w:rFonts w:cs="Vrinda"/>
          <w:szCs w:val="20"/>
          <w:lang w:val="es-ES"/>
        </w:rPr>
      </w:pPr>
    </w:p>
    <w:p w14:paraId="428A8CF3" w14:textId="62547558" w:rsidR="00F63F5C" w:rsidRDefault="00E841F7" w:rsidP="0061727E">
      <w:pPr>
        <w:rPr>
          <w:rFonts w:cs="Vrinda"/>
          <w:b/>
          <w:i/>
          <w:lang w:val="es-ES"/>
        </w:rPr>
      </w:pPr>
      <w:bookmarkStart w:id="116" w:name="_Toc520238586"/>
      <w:r>
        <w:rPr>
          <w:rFonts w:cs="Vrinda"/>
          <w:b/>
          <w:i/>
          <w:lang w:val="es-ES"/>
        </w:rPr>
        <w:tab/>
      </w:r>
      <w:r>
        <w:rPr>
          <w:rFonts w:cs="Vrinda"/>
          <w:b/>
          <w:i/>
          <w:lang w:val="es-ES"/>
        </w:rPr>
        <w:tab/>
      </w:r>
      <w:r>
        <w:rPr>
          <w:rFonts w:cs="Vrinda"/>
          <w:b/>
          <w:i/>
          <w:lang w:val="es-ES"/>
        </w:rPr>
        <w:tab/>
      </w:r>
      <w:r w:rsidR="00F63F5C">
        <w:rPr>
          <w:rFonts w:cs="Vrinda"/>
          <w:b/>
          <w:i/>
          <w:lang w:val="es-ES"/>
        </w:rPr>
        <w:t>B.2</w:t>
      </w:r>
      <w:r w:rsidR="00F63F5C" w:rsidRPr="00F63F5C">
        <w:rPr>
          <w:rFonts w:cs="Vrinda"/>
          <w:b/>
          <w:i/>
          <w:lang w:val="es-ES"/>
        </w:rPr>
        <w:t>.1</w:t>
      </w:r>
      <w:r w:rsidR="0033428E">
        <w:rPr>
          <w:rFonts w:cs="Vrinda"/>
          <w:b/>
          <w:i/>
          <w:lang w:val="es-ES"/>
        </w:rPr>
        <w:t>.1.</w:t>
      </w:r>
      <w:r w:rsidR="00F63F5C" w:rsidRPr="00F63F5C">
        <w:rPr>
          <w:rFonts w:cs="Vrinda"/>
          <w:b/>
          <w:i/>
          <w:lang w:val="es-ES"/>
        </w:rPr>
        <w:t xml:space="preserve"> Argumentos de la Comisión y de las partes</w:t>
      </w:r>
      <w:bookmarkEnd w:id="116"/>
    </w:p>
    <w:p w14:paraId="15B95111" w14:textId="77777777" w:rsidR="0061727E" w:rsidRPr="0061727E" w:rsidRDefault="0061727E" w:rsidP="0061727E">
      <w:pPr>
        <w:rPr>
          <w:rFonts w:cs="Vrinda"/>
          <w:lang w:val="es-ES"/>
        </w:rPr>
      </w:pPr>
    </w:p>
    <w:p w14:paraId="675D20B7" w14:textId="12AEBDF0" w:rsidR="00F63F5C" w:rsidRPr="0061727E" w:rsidRDefault="006F704E" w:rsidP="0061727E">
      <w:pPr>
        <w:numPr>
          <w:ilvl w:val="0"/>
          <w:numId w:val="3"/>
        </w:numPr>
        <w:tabs>
          <w:tab w:val="left" w:pos="709"/>
          <w:tab w:val="left" w:pos="1134"/>
        </w:tabs>
        <w:ind w:left="0" w:right="-4" w:firstLine="0"/>
        <w:rPr>
          <w:rFonts w:cs="Vrinda"/>
        </w:rPr>
      </w:pPr>
      <w:r w:rsidRPr="0060216C">
        <w:rPr>
          <w:rFonts w:eastAsia="Arial" w:cs="Vrinda"/>
          <w:spacing w:val="1"/>
          <w:lang w:val="es-ES"/>
        </w:rPr>
        <w:t xml:space="preserve">Los </w:t>
      </w:r>
      <w:r w:rsidRPr="0060216C">
        <w:rPr>
          <w:rFonts w:eastAsia="Arial" w:cs="Vrinda"/>
          <w:b/>
          <w:i/>
          <w:spacing w:val="1"/>
          <w:lang w:val="es-ES"/>
        </w:rPr>
        <w:t>representantes</w:t>
      </w:r>
      <w:r w:rsidRPr="0060216C">
        <w:rPr>
          <w:rFonts w:eastAsia="Arial" w:cs="Vrinda"/>
          <w:spacing w:val="1"/>
          <w:lang w:val="es-ES"/>
        </w:rPr>
        <w:t xml:space="preserve"> requirieron que la Corte ordene a Guatemala la celebración de un acto público en el cual el Estado reconozca su responsabilidad internacional por las violaciones de derechos humanos por las que ha sido condenado, y donde se realice una solicitud de perdón público con el fin de desagraviar a las víctimas. En particular, los representantes solicitaron que en dicho acto estén presentes las más altas autoridades del Estado. Por último, requirieron que para la organización de dicho acto el Estado llegue a un consenso con las víctimas o sus representantes sobre las características del mismo, y que se ordene que dicho evento sea difundido a través de los medios de comun</w:t>
      </w:r>
      <w:r w:rsidR="0061727E">
        <w:rPr>
          <w:rFonts w:eastAsia="Arial" w:cs="Vrinda"/>
          <w:spacing w:val="1"/>
          <w:lang w:val="es-ES"/>
        </w:rPr>
        <w:t>icación televisivos o radiales.</w:t>
      </w:r>
      <w:r w:rsidR="0061727E">
        <w:rPr>
          <w:rFonts w:cs="Vrinda"/>
        </w:rPr>
        <w:t xml:space="preserve"> </w:t>
      </w:r>
      <w:r w:rsidRPr="0061727E">
        <w:rPr>
          <w:rFonts w:eastAsia="Arial" w:cs="Vrinda"/>
          <w:spacing w:val="1"/>
          <w:lang w:val="es-ES"/>
        </w:rPr>
        <w:t xml:space="preserve">Ni el </w:t>
      </w:r>
      <w:r w:rsidRPr="0061727E">
        <w:rPr>
          <w:rFonts w:eastAsia="Arial" w:cs="Vrinda"/>
          <w:b/>
          <w:i/>
          <w:spacing w:val="1"/>
          <w:lang w:val="es-ES"/>
        </w:rPr>
        <w:t>Estado</w:t>
      </w:r>
      <w:r w:rsidRPr="0061727E">
        <w:rPr>
          <w:rFonts w:eastAsia="Arial" w:cs="Vrinda"/>
          <w:spacing w:val="1"/>
          <w:lang w:val="es-ES"/>
        </w:rPr>
        <w:t xml:space="preserve"> ni la </w:t>
      </w:r>
      <w:r w:rsidRPr="0061727E">
        <w:rPr>
          <w:rFonts w:eastAsia="Arial" w:cs="Vrinda"/>
          <w:b/>
          <w:i/>
          <w:spacing w:val="1"/>
          <w:lang w:val="es-ES"/>
        </w:rPr>
        <w:t>Comisión</w:t>
      </w:r>
      <w:r w:rsidRPr="0061727E">
        <w:rPr>
          <w:rFonts w:eastAsia="Arial" w:cs="Vrinda"/>
          <w:spacing w:val="1"/>
          <w:lang w:val="es-ES"/>
        </w:rPr>
        <w:t xml:space="preserve"> se refirieron a la solicitud presentada.</w:t>
      </w:r>
    </w:p>
    <w:p w14:paraId="56A0B42F" w14:textId="77777777" w:rsidR="00F12B1C" w:rsidRDefault="00F63F5C" w:rsidP="0061727E">
      <w:pPr>
        <w:rPr>
          <w:rFonts w:cs="Vrinda"/>
          <w:b/>
          <w:i/>
          <w:lang w:val="es-ES"/>
        </w:rPr>
      </w:pPr>
      <w:r>
        <w:rPr>
          <w:rFonts w:cs="Vrinda"/>
          <w:b/>
          <w:i/>
          <w:lang w:val="es-ES"/>
        </w:rPr>
        <w:tab/>
      </w:r>
    </w:p>
    <w:p w14:paraId="7DD6D3A9" w14:textId="27DED53E" w:rsidR="00F63F5C" w:rsidRPr="00F63F5C" w:rsidRDefault="00E841F7" w:rsidP="0061727E">
      <w:pPr>
        <w:rPr>
          <w:rFonts w:cs="Vrinda"/>
        </w:rPr>
      </w:pPr>
      <w:r>
        <w:rPr>
          <w:rFonts w:cs="Vrinda"/>
          <w:b/>
          <w:i/>
          <w:lang w:val="es-ES"/>
        </w:rPr>
        <w:tab/>
      </w:r>
      <w:r>
        <w:rPr>
          <w:rFonts w:cs="Vrinda"/>
          <w:b/>
          <w:i/>
          <w:lang w:val="es-ES"/>
        </w:rPr>
        <w:tab/>
      </w:r>
      <w:r>
        <w:rPr>
          <w:rFonts w:cs="Vrinda"/>
          <w:b/>
          <w:i/>
          <w:lang w:val="es-ES"/>
        </w:rPr>
        <w:tab/>
      </w:r>
      <w:r w:rsidR="00F63F5C">
        <w:rPr>
          <w:rFonts w:cs="Vrinda"/>
          <w:b/>
          <w:i/>
          <w:lang w:val="es-ES"/>
        </w:rPr>
        <w:t>B.2</w:t>
      </w:r>
      <w:r w:rsidR="00F63F5C" w:rsidRPr="00F63F5C">
        <w:rPr>
          <w:rFonts w:cs="Vrinda"/>
          <w:b/>
          <w:i/>
          <w:lang w:val="es-ES"/>
        </w:rPr>
        <w:t>.1</w:t>
      </w:r>
      <w:r w:rsidR="00F63F5C">
        <w:rPr>
          <w:rFonts w:cs="Vrinda"/>
          <w:b/>
          <w:i/>
          <w:lang w:val="es-ES"/>
        </w:rPr>
        <w:t>.2</w:t>
      </w:r>
      <w:r w:rsidR="00F12B1C">
        <w:rPr>
          <w:rFonts w:cs="Vrinda"/>
          <w:b/>
          <w:i/>
          <w:lang w:val="es-ES"/>
        </w:rPr>
        <w:t>.</w:t>
      </w:r>
      <w:r w:rsidR="00F63F5C">
        <w:rPr>
          <w:rFonts w:cs="Vrinda"/>
          <w:b/>
          <w:i/>
          <w:lang w:val="es-ES"/>
        </w:rPr>
        <w:t xml:space="preserve"> Consideraciones de la Corte</w:t>
      </w:r>
    </w:p>
    <w:p w14:paraId="58075C05" w14:textId="77777777" w:rsidR="009F0CB9" w:rsidRDefault="009F0CB9" w:rsidP="0061727E">
      <w:pPr>
        <w:rPr>
          <w:rFonts w:eastAsia="Calibri" w:cs="Times New Roman"/>
          <w:lang w:val="es-ES"/>
        </w:rPr>
      </w:pPr>
    </w:p>
    <w:p w14:paraId="0550D538" w14:textId="688F674C" w:rsidR="009F0CB9" w:rsidRPr="00496F49" w:rsidRDefault="009F0CB9" w:rsidP="0061727E">
      <w:pPr>
        <w:numPr>
          <w:ilvl w:val="0"/>
          <w:numId w:val="3"/>
        </w:numPr>
        <w:tabs>
          <w:tab w:val="left" w:pos="709"/>
          <w:tab w:val="left" w:pos="1134"/>
        </w:tabs>
        <w:ind w:left="0" w:right="-4" w:firstLine="0"/>
        <w:rPr>
          <w:rFonts w:eastAsia="Calibri" w:cs="Times New Roman"/>
          <w:lang w:val="es-ES"/>
        </w:rPr>
      </w:pPr>
      <w:r w:rsidRPr="00496F49">
        <w:rPr>
          <w:rFonts w:eastAsia="Calibri" w:cs="Times New Roman"/>
          <w:lang w:val="es-ES"/>
        </w:rPr>
        <w:t>La Corte estima necesario que el Estado realice un acto público de reconocimiento de responsabilidad internacional por los hechos del presente caso</w:t>
      </w:r>
      <w:r w:rsidR="0061727E">
        <w:rPr>
          <w:rFonts w:eastAsia="Calibri" w:cs="Times New Roman"/>
          <w:lang w:val="es-ES"/>
        </w:rPr>
        <w:t>,</w:t>
      </w:r>
      <w:r w:rsidRPr="00496F49">
        <w:rPr>
          <w:rFonts w:eastAsia="Calibri" w:cs="Times New Roman"/>
          <w:lang w:val="es-ES"/>
        </w:rPr>
        <w:t xml:space="preserve"> en desagravio de las víctimas. En dicho acto se deberá hacer referencia a las violaciones de derechos humanos declaradas en la presente Sentencia. Asimismo, deberá llevarse a cabo mediante una ceremonia pública en presencia de altos funcionarios del Estado y las víctimas. El Estado y las víctimas y/o sus representantes deberán acordar la modalidad de cumplimento del acto público de reconocimiento, así como las particularidades que se requieran, tales como el lugar y la fecha para su realización</w:t>
      </w:r>
      <w:r w:rsidRPr="00496F49">
        <w:rPr>
          <w:rFonts w:eastAsia="Calibri" w:cs="Times New Roman"/>
          <w:szCs w:val="20"/>
          <w:vertAlign w:val="superscript"/>
          <w:lang w:val="es-ES"/>
        </w:rPr>
        <w:footnoteReference w:id="248"/>
      </w:r>
      <w:r w:rsidRPr="00496F49">
        <w:rPr>
          <w:rFonts w:eastAsia="Calibri" w:cs="Times New Roman"/>
          <w:lang w:val="es-ES"/>
        </w:rPr>
        <w:t>.</w:t>
      </w:r>
    </w:p>
    <w:p w14:paraId="66E7328A" w14:textId="77777777" w:rsidR="00E841F7" w:rsidRDefault="00E841F7" w:rsidP="0061727E">
      <w:pPr>
        <w:ind w:left="720"/>
        <w:rPr>
          <w:rFonts w:eastAsia="Calibri" w:cs="Times New Roman"/>
          <w:lang w:val="es-ES"/>
        </w:rPr>
      </w:pPr>
    </w:p>
    <w:p w14:paraId="1F904926" w14:textId="55D2772C" w:rsidR="009F0CB9" w:rsidRDefault="00E841F7" w:rsidP="00E841F7">
      <w:pPr>
        <w:rPr>
          <w:rFonts w:cs="Vrinda"/>
          <w:b/>
          <w:i/>
          <w:lang w:val="es-ES"/>
        </w:rPr>
      </w:pPr>
      <w:r>
        <w:rPr>
          <w:rFonts w:cs="Vrinda"/>
          <w:b/>
          <w:i/>
          <w:lang w:val="es-ES"/>
        </w:rPr>
        <w:tab/>
      </w:r>
      <w:r>
        <w:rPr>
          <w:rFonts w:cs="Vrinda"/>
          <w:b/>
          <w:i/>
          <w:lang w:val="es-ES"/>
        </w:rPr>
        <w:tab/>
      </w:r>
      <w:r>
        <w:rPr>
          <w:rFonts w:cs="Vrinda"/>
          <w:b/>
          <w:i/>
          <w:lang w:val="es-ES"/>
        </w:rPr>
        <w:tab/>
      </w:r>
      <w:r w:rsidR="009F0CB9">
        <w:rPr>
          <w:rFonts w:cs="Vrinda"/>
          <w:b/>
          <w:i/>
          <w:lang w:val="es-ES"/>
        </w:rPr>
        <w:t>B.2.2</w:t>
      </w:r>
      <w:r w:rsidR="009F0CB9" w:rsidRPr="00F63F5C">
        <w:rPr>
          <w:rFonts w:cs="Vrinda"/>
          <w:b/>
          <w:i/>
          <w:lang w:val="es-ES"/>
        </w:rPr>
        <w:t xml:space="preserve">. </w:t>
      </w:r>
      <w:r w:rsidR="009F0CB9">
        <w:rPr>
          <w:rFonts w:cs="Vrinda"/>
          <w:b/>
          <w:i/>
          <w:lang w:val="es-ES"/>
        </w:rPr>
        <w:t>P</w:t>
      </w:r>
      <w:r w:rsidR="009F0CB9" w:rsidRPr="00E841F7">
        <w:rPr>
          <w:rFonts w:cs="Vrinda"/>
          <w:b/>
          <w:i/>
          <w:lang w:val="es-ES"/>
        </w:rPr>
        <w:t>ublicación y difusión de la Sentencia</w:t>
      </w:r>
    </w:p>
    <w:p w14:paraId="329A90EE" w14:textId="77777777" w:rsidR="00E841F7" w:rsidRDefault="00E841F7" w:rsidP="00E841F7">
      <w:pPr>
        <w:rPr>
          <w:rFonts w:cs="Vrinda"/>
          <w:b/>
          <w:i/>
          <w:lang w:val="es-ES"/>
        </w:rPr>
      </w:pPr>
    </w:p>
    <w:p w14:paraId="2E4B5775" w14:textId="44905998" w:rsidR="00E841F7" w:rsidRPr="00E841F7" w:rsidRDefault="00E841F7" w:rsidP="00E841F7">
      <w:pPr>
        <w:rPr>
          <w:rFonts w:cs="Vrinda"/>
          <w:b/>
          <w:i/>
          <w:lang w:val="es-ES"/>
        </w:rPr>
      </w:pPr>
      <w:r>
        <w:rPr>
          <w:rFonts w:cs="Vrinda"/>
          <w:b/>
          <w:i/>
          <w:lang w:val="es-ES"/>
        </w:rPr>
        <w:tab/>
      </w:r>
      <w:r>
        <w:rPr>
          <w:rFonts w:cs="Vrinda"/>
          <w:b/>
          <w:i/>
          <w:lang w:val="es-ES"/>
        </w:rPr>
        <w:tab/>
      </w:r>
      <w:r>
        <w:rPr>
          <w:rFonts w:cs="Vrinda"/>
          <w:b/>
          <w:i/>
          <w:lang w:val="es-ES"/>
        </w:rPr>
        <w:tab/>
        <w:t>B.2.2.1.</w:t>
      </w:r>
      <w:r w:rsidRPr="00F63F5C">
        <w:rPr>
          <w:rFonts w:cs="Vrinda"/>
          <w:b/>
          <w:i/>
          <w:lang w:val="es-ES"/>
        </w:rPr>
        <w:t xml:space="preserve"> Argumentos de la Comisión y de las partes</w:t>
      </w:r>
    </w:p>
    <w:p w14:paraId="5A0B9620" w14:textId="77777777" w:rsidR="0061727E" w:rsidRDefault="0061727E" w:rsidP="0061727E">
      <w:pPr>
        <w:rPr>
          <w:rFonts w:eastAsia="Calibri" w:cs="Times New Roman"/>
          <w:lang w:val="es-ES"/>
        </w:rPr>
      </w:pPr>
    </w:p>
    <w:p w14:paraId="6985CE7B" w14:textId="20DAE616" w:rsidR="009F0CB9" w:rsidRPr="0061727E" w:rsidRDefault="009F0CB9" w:rsidP="0061727E">
      <w:pPr>
        <w:numPr>
          <w:ilvl w:val="0"/>
          <w:numId w:val="3"/>
        </w:numPr>
        <w:tabs>
          <w:tab w:val="left" w:pos="709"/>
          <w:tab w:val="left" w:pos="1134"/>
        </w:tabs>
        <w:ind w:left="0" w:right="-4" w:firstLine="0"/>
        <w:rPr>
          <w:rFonts w:cs="Vrinda"/>
          <w:b/>
        </w:rPr>
      </w:pPr>
      <w:r w:rsidRPr="00496F49">
        <w:rPr>
          <w:rFonts w:eastAsia="Arial" w:cs="Vrinda"/>
          <w:spacing w:val="1"/>
          <w:lang w:val="es-ES"/>
        </w:rPr>
        <w:t xml:space="preserve">Los </w:t>
      </w:r>
      <w:r w:rsidRPr="0061727E">
        <w:rPr>
          <w:rFonts w:eastAsia="Arial" w:cs="Vrinda"/>
          <w:b/>
          <w:i/>
          <w:spacing w:val="1"/>
          <w:lang w:val="es-ES"/>
        </w:rPr>
        <w:t>representantes</w:t>
      </w:r>
      <w:r w:rsidRPr="00496F49">
        <w:rPr>
          <w:rFonts w:eastAsia="Arial" w:cs="Vrinda"/>
          <w:spacing w:val="1"/>
          <w:lang w:val="es-ES"/>
        </w:rPr>
        <w:t xml:space="preserve"> requirieron que el Estado realice la pub</w:t>
      </w:r>
      <w:r w:rsidRPr="00496F49">
        <w:rPr>
          <w:rFonts w:eastAsia="Arial" w:cs="Vrinda"/>
          <w:lang w:val="es-ES"/>
        </w:rPr>
        <w:t>l</w:t>
      </w:r>
      <w:r w:rsidRPr="00496F49">
        <w:rPr>
          <w:rFonts w:eastAsia="Arial" w:cs="Vrinda"/>
          <w:spacing w:val="-1"/>
          <w:lang w:val="es-ES"/>
        </w:rPr>
        <w:t>i</w:t>
      </w:r>
      <w:r w:rsidRPr="00496F49">
        <w:rPr>
          <w:rFonts w:eastAsia="Arial" w:cs="Vrinda"/>
          <w:lang w:val="es-ES"/>
        </w:rPr>
        <w:t>c</w:t>
      </w:r>
      <w:r w:rsidRPr="00496F49">
        <w:rPr>
          <w:rFonts w:eastAsia="Arial" w:cs="Vrinda"/>
          <w:spacing w:val="1"/>
          <w:lang w:val="es-ES"/>
        </w:rPr>
        <w:t>a</w:t>
      </w:r>
      <w:r w:rsidRPr="00496F49">
        <w:rPr>
          <w:rFonts w:eastAsia="Arial" w:cs="Vrinda"/>
          <w:lang w:val="es-ES"/>
        </w:rPr>
        <w:t>c</w:t>
      </w:r>
      <w:r w:rsidRPr="00496F49">
        <w:rPr>
          <w:rFonts w:eastAsia="Arial" w:cs="Vrinda"/>
          <w:spacing w:val="-3"/>
          <w:lang w:val="es-ES"/>
        </w:rPr>
        <w:t>i</w:t>
      </w:r>
      <w:r w:rsidRPr="00496F49">
        <w:rPr>
          <w:rFonts w:eastAsia="Arial" w:cs="Vrinda"/>
          <w:spacing w:val="1"/>
          <w:lang w:val="es-ES"/>
        </w:rPr>
        <w:t>ó</w:t>
      </w:r>
      <w:r w:rsidRPr="00496F49">
        <w:rPr>
          <w:rFonts w:eastAsia="Arial" w:cs="Vrinda"/>
          <w:lang w:val="es-ES"/>
        </w:rPr>
        <w:t>n</w:t>
      </w:r>
      <w:r w:rsidRPr="00496F49">
        <w:rPr>
          <w:rFonts w:eastAsia="Arial" w:cs="Vrinda"/>
          <w:spacing w:val="5"/>
          <w:lang w:val="es-ES"/>
        </w:rPr>
        <w:t xml:space="preserve"> </w:t>
      </w:r>
      <w:r w:rsidRPr="00496F49">
        <w:rPr>
          <w:rFonts w:eastAsia="Arial" w:cs="Vrinda"/>
          <w:spacing w:val="1"/>
          <w:lang w:val="es-ES"/>
        </w:rPr>
        <w:t>de</w:t>
      </w:r>
      <w:r w:rsidRPr="00496F49">
        <w:rPr>
          <w:rFonts w:eastAsia="Arial" w:cs="Vrinda"/>
          <w:lang w:val="es-ES"/>
        </w:rPr>
        <w:t>,</w:t>
      </w:r>
      <w:r w:rsidRPr="00496F49">
        <w:rPr>
          <w:rFonts w:eastAsia="Arial" w:cs="Vrinda"/>
          <w:spacing w:val="5"/>
          <w:lang w:val="es-ES"/>
        </w:rPr>
        <w:t xml:space="preserve"> </w:t>
      </w:r>
      <w:r w:rsidRPr="00496F49">
        <w:rPr>
          <w:rFonts w:eastAsia="Arial" w:cs="Vrinda"/>
          <w:spacing w:val="1"/>
          <w:lang w:val="es-ES"/>
        </w:rPr>
        <w:t>po</w:t>
      </w:r>
      <w:r w:rsidRPr="00496F49">
        <w:rPr>
          <w:rFonts w:eastAsia="Arial" w:cs="Vrinda"/>
          <w:lang w:val="es-ES"/>
        </w:rPr>
        <w:t>r</w:t>
      </w:r>
      <w:r w:rsidRPr="00496F49">
        <w:rPr>
          <w:rFonts w:eastAsia="Arial" w:cs="Vrinda"/>
          <w:spacing w:val="6"/>
          <w:lang w:val="es-ES"/>
        </w:rPr>
        <w:t xml:space="preserve"> </w:t>
      </w:r>
      <w:r w:rsidRPr="00496F49">
        <w:rPr>
          <w:rFonts w:eastAsia="Arial" w:cs="Vrinda"/>
          <w:spacing w:val="-3"/>
          <w:lang w:val="es-ES"/>
        </w:rPr>
        <w:t>l</w:t>
      </w:r>
      <w:r w:rsidRPr="00496F49">
        <w:rPr>
          <w:rFonts w:eastAsia="Arial" w:cs="Vrinda"/>
          <w:lang w:val="es-ES"/>
        </w:rPr>
        <w:t>o</w:t>
      </w:r>
      <w:r w:rsidRPr="00496F49">
        <w:rPr>
          <w:rFonts w:eastAsia="Arial" w:cs="Vrinda"/>
          <w:spacing w:val="5"/>
          <w:lang w:val="es-ES"/>
        </w:rPr>
        <w:t xml:space="preserve"> </w:t>
      </w:r>
      <w:r w:rsidRPr="00496F49">
        <w:rPr>
          <w:rFonts w:eastAsia="Arial" w:cs="Vrinda"/>
          <w:spacing w:val="1"/>
          <w:lang w:val="es-ES"/>
        </w:rPr>
        <w:t>m</w:t>
      </w:r>
      <w:r w:rsidRPr="00496F49">
        <w:rPr>
          <w:rFonts w:eastAsia="Arial" w:cs="Vrinda"/>
          <w:spacing w:val="-1"/>
          <w:lang w:val="es-ES"/>
        </w:rPr>
        <w:t>e</w:t>
      </w:r>
      <w:r w:rsidRPr="00496F49">
        <w:rPr>
          <w:rFonts w:eastAsia="Arial" w:cs="Vrinda"/>
          <w:spacing w:val="1"/>
          <w:lang w:val="es-ES"/>
        </w:rPr>
        <w:t>no</w:t>
      </w:r>
      <w:r w:rsidRPr="00496F49">
        <w:rPr>
          <w:rFonts w:eastAsia="Arial" w:cs="Vrinda"/>
          <w:lang w:val="es-ES"/>
        </w:rPr>
        <w:t>s,</w:t>
      </w:r>
      <w:r w:rsidRPr="00496F49">
        <w:rPr>
          <w:rFonts w:eastAsia="Arial" w:cs="Vrinda"/>
          <w:spacing w:val="3"/>
          <w:lang w:val="es-ES"/>
        </w:rPr>
        <w:t xml:space="preserve"> </w:t>
      </w:r>
      <w:r w:rsidRPr="00496F49">
        <w:rPr>
          <w:rFonts w:eastAsia="Arial" w:cs="Vrinda"/>
          <w:lang w:val="es-ES"/>
        </w:rPr>
        <w:t>las s</w:t>
      </w:r>
      <w:r w:rsidRPr="00496F49">
        <w:rPr>
          <w:rFonts w:eastAsia="Arial" w:cs="Vrinda"/>
          <w:spacing w:val="1"/>
          <w:lang w:val="es-ES"/>
        </w:rPr>
        <w:t>e</w:t>
      </w:r>
      <w:r w:rsidRPr="00496F49">
        <w:rPr>
          <w:rFonts w:eastAsia="Arial" w:cs="Vrinda"/>
          <w:lang w:val="es-ES"/>
        </w:rPr>
        <w:t>ccio</w:t>
      </w:r>
      <w:r w:rsidRPr="00496F49">
        <w:rPr>
          <w:rFonts w:eastAsia="Arial" w:cs="Vrinda"/>
          <w:spacing w:val="1"/>
          <w:lang w:val="es-ES"/>
        </w:rPr>
        <w:t>ne</w:t>
      </w:r>
      <w:r w:rsidRPr="00496F49">
        <w:rPr>
          <w:rFonts w:eastAsia="Arial" w:cs="Vrinda"/>
          <w:lang w:val="es-ES"/>
        </w:rPr>
        <w:t>s</w:t>
      </w:r>
      <w:r w:rsidRPr="00496F49">
        <w:rPr>
          <w:rFonts w:eastAsia="Arial" w:cs="Vrinda"/>
          <w:spacing w:val="4"/>
          <w:lang w:val="es-ES"/>
        </w:rPr>
        <w:t xml:space="preserve"> </w:t>
      </w:r>
      <w:r w:rsidRPr="00496F49">
        <w:rPr>
          <w:rFonts w:eastAsia="Arial" w:cs="Vrinda"/>
          <w:spacing w:val="-1"/>
          <w:lang w:val="es-ES"/>
        </w:rPr>
        <w:t>d</w:t>
      </w:r>
      <w:r w:rsidRPr="00496F49">
        <w:rPr>
          <w:rFonts w:eastAsia="Arial" w:cs="Vrinda"/>
          <w:lang w:val="es-ES"/>
        </w:rPr>
        <w:t>e</w:t>
      </w:r>
      <w:r w:rsidRPr="00496F49">
        <w:rPr>
          <w:rFonts w:eastAsia="Arial" w:cs="Vrinda"/>
          <w:spacing w:val="5"/>
          <w:lang w:val="es-ES"/>
        </w:rPr>
        <w:t xml:space="preserve"> </w:t>
      </w:r>
      <w:r w:rsidRPr="00496F49">
        <w:rPr>
          <w:rFonts w:eastAsia="Arial" w:cs="Vrinda"/>
          <w:lang w:val="es-ES"/>
        </w:rPr>
        <w:t>c</w:t>
      </w:r>
      <w:r w:rsidRPr="00496F49">
        <w:rPr>
          <w:rFonts w:eastAsia="Arial" w:cs="Vrinda"/>
          <w:spacing w:val="1"/>
          <w:lang w:val="es-ES"/>
        </w:rPr>
        <w:t>on</w:t>
      </w:r>
      <w:r w:rsidRPr="00496F49">
        <w:rPr>
          <w:rFonts w:eastAsia="Arial" w:cs="Vrinda"/>
          <w:spacing w:val="-2"/>
          <w:lang w:val="es-ES"/>
        </w:rPr>
        <w:t>t</w:t>
      </w:r>
      <w:r w:rsidRPr="00496F49">
        <w:rPr>
          <w:rFonts w:eastAsia="Arial" w:cs="Vrinda"/>
          <w:spacing w:val="1"/>
          <w:lang w:val="es-ES"/>
        </w:rPr>
        <w:t>e</w:t>
      </w:r>
      <w:r w:rsidRPr="00496F49">
        <w:rPr>
          <w:rFonts w:eastAsia="Arial" w:cs="Vrinda"/>
          <w:spacing w:val="-2"/>
          <w:lang w:val="es-ES"/>
        </w:rPr>
        <w:t>x</w:t>
      </w:r>
      <w:r w:rsidRPr="00496F49">
        <w:rPr>
          <w:rFonts w:eastAsia="Arial" w:cs="Vrinda"/>
          <w:lang w:val="es-ES"/>
        </w:rPr>
        <w:t>to</w:t>
      </w:r>
      <w:r w:rsidRPr="00496F49">
        <w:rPr>
          <w:rFonts w:eastAsia="Arial" w:cs="Vrinda"/>
          <w:spacing w:val="3"/>
          <w:lang w:val="es-ES"/>
        </w:rPr>
        <w:t xml:space="preserve"> </w:t>
      </w:r>
      <w:r w:rsidRPr="00496F49">
        <w:rPr>
          <w:rFonts w:eastAsia="Arial" w:cs="Vrinda"/>
          <w:lang w:val="es-ES"/>
        </w:rPr>
        <w:t>y</w:t>
      </w:r>
      <w:r w:rsidRPr="00496F49">
        <w:rPr>
          <w:rFonts w:eastAsia="Arial" w:cs="Vrinda"/>
          <w:spacing w:val="4"/>
          <w:lang w:val="es-ES"/>
        </w:rPr>
        <w:t xml:space="preserve"> </w:t>
      </w:r>
      <w:r w:rsidRPr="00496F49">
        <w:rPr>
          <w:rFonts w:eastAsia="Arial" w:cs="Vrinda"/>
          <w:lang w:val="es-ES"/>
        </w:rPr>
        <w:t>res</w:t>
      </w:r>
      <w:r w:rsidRPr="00496F49">
        <w:rPr>
          <w:rFonts w:eastAsia="Arial" w:cs="Vrinda"/>
          <w:spacing w:val="1"/>
          <w:lang w:val="es-ES"/>
        </w:rPr>
        <w:t>um</w:t>
      </w:r>
      <w:r w:rsidRPr="00496F49">
        <w:rPr>
          <w:rFonts w:eastAsia="Arial" w:cs="Vrinda"/>
          <w:spacing w:val="-1"/>
          <w:lang w:val="es-ES"/>
        </w:rPr>
        <w:t>e</w:t>
      </w:r>
      <w:r w:rsidRPr="00496F49">
        <w:rPr>
          <w:rFonts w:eastAsia="Arial" w:cs="Vrinda"/>
          <w:lang w:val="es-ES"/>
        </w:rPr>
        <w:t>n</w:t>
      </w:r>
      <w:r w:rsidRPr="00496F49">
        <w:rPr>
          <w:rFonts w:eastAsia="Arial" w:cs="Vrinda"/>
          <w:spacing w:val="5"/>
          <w:lang w:val="es-ES"/>
        </w:rPr>
        <w:t xml:space="preserve"> </w:t>
      </w:r>
      <w:r w:rsidRPr="00496F49">
        <w:rPr>
          <w:rFonts w:eastAsia="Arial" w:cs="Vrinda"/>
          <w:spacing w:val="1"/>
          <w:lang w:val="es-ES"/>
        </w:rPr>
        <w:t>d</w:t>
      </w:r>
      <w:r w:rsidRPr="00496F49">
        <w:rPr>
          <w:rFonts w:eastAsia="Arial" w:cs="Vrinda"/>
          <w:lang w:val="es-ES"/>
        </w:rPr>
        <w:t>e</w:t>
      </w:r>
      <w:r w:rsidRPr="00496F49">
        <w:rPr>
          <w:rFonts w:eastAsia="Arial" w:cs="Vrinda"/>
          <w:spacing w:val="5"/>
          <w:lang w:val="es-ES"/>
        </w:rPr>
        <w:t xml:space="preserve"> </w:t>
      </w:r>
      <w:r w:rsidRPr="00496F49">
        <w:rPr>
          <w:rFonts w:eastAsia="Arial" w:cs="Vrinda"/>
          <w:spacing w:val="-1"/>
          <w:lang w:val="es-ES"/>
        </w:rPr>
        <w:t>h</w:t>
      </w:r>
      <w:r w:rsidRPr="00496F49">
        <w:rPr>
          <w:rFonts w:eastAsia="Arial" w:cs="Vrinda"/>
          <w:spacing w:val="1"/>
          <w:lang w:val="es-ES"/>
        </w:rPr>
        <w:t>e</w:t>
      </w:r>
      <w:r w:rsidRPr="00496F49">
        <w:rPr>
          <w:rFonts w:eastAsia="Arial" w:cs="Vrinda"/>
          <w:spacing w:val="-2"/>
          <w:lang w:val="es-ES"/>
        </w:rPr>
        <w:t>c</w:t>
      </w:r>
      <w:r w:rsidRPr="00496F49">
        <w:rPr>
          <w:rFonts w:eastAsia="Arial" w:cs="Vrinda"/>
          <w:spacing w:val="1"/>
          <w:lang w:val="es-ES"/>
        </w:rPr>
        <w:t>ho</w:t>
      </w:r>
      <w:r w:rsidRPr="00496F49">
        <w:rPr>
          <w:rFonts w:eastAsia="Arial" w:cs="Vrinda"/>
          <w:lang w:val="es-ES"/>
        </w:rPr>
        <w:t>s</w:t>
      </w:r>
      <w:r w:rsidRPr="00496F49">
        <w:rPr>
          <w:rFonts w:eastAsia="Arial" w:cs="Vrinda"/>
          <w:spacing w:val="4"/>
          <w:lang w:val="es-ES"/>
        </w:rPr>
        <w:t xml:space="preserve"> </w:t>
      </w:r>
      <w:r w:rsidRPr="00496F49">
        <w:rPr>
          <w:rFonts w:eastAsia="Arial" w:cs="Vrinda"/>
          <w:spacing w:val="7"/>
          <w:lang w:val="es-ES"/>
        </w:rPr>
        <w:t>p</w:t>
      </w:r>
      <w:r w:rsidRPr="00496F49">
        <w:rPr>
          <w:rFonts w:eastAsia="Arial" w:cs="Vrinda"/>
          <w:lang w:val="es-ES"/>
        </w:rPr>
        <w:t>ro</w:t>
      </w:r>
      <w:r w:rsidRPr="00496F49">
        <w:rPr>
          <w:rFonts w:eastAsia="Arial" w:cs="Vrinda"/>
          <w:spacing w:val="-1"/>
          <w:lang w:val="es-ES"/>
        </w:rPr>
        <w:t>b</w:t>
      </w:r>
      <w:r w:rsidRPr="00496F49">
        <w:rPr>
          <w:rFonts w:eastAsia="Arial" w:cs="Vrinda"/>
          <w:spacing w:val="1"/>
          <w:lang w:val="es-ES"/>
        </w:rPr>
        <w:t>ado</w:t>
      </w:r>
      <w:r w:rsidRPr="00496F49">
        <w:rPr>
          <w:rFonts w:eastAsia="Arial" w:cs="Vrinda"/>
          <w:spacing w:val="-2"/>
          <w:lang w:val="es-ES"/>
        </w:rPr>
        <w:t>s</w:t>
      </w:r>
      <w:r w:rsidRPr="00496F49">
        <w:rPr>
          <w:rFonts w:eastAsia="Arial" w:cs="Vrinda"/>
          <w:lang w:val="es-ES"/>
        </w:rPr>
        <w:t>,</w:t>
      </w:r>
      <w:r w:rsidRPr="00496F49">
        <w:rPr>
          <w:rFonts w:eastAsia="Arial" w:cs="Vrinda"/>
          <w:spacing w:val="4"/>
          <w:lang w:val="es-ES"/>
        </w:rPr>
        <w:t xml:space="preserve"> </w:t>
      </w:r>
      <w:r w:rsidRPr="00496F49">
        <w:rPr>
          <w:rFonts w:eastAsia="Arial" w:cs="Vrinda"/>
          <w:spacing w:val="1"/>
          <w:lang w:val="es-ES"/>
        </w:rPr>
        <w:t>a</w:t>
      </w:r>
      <w:r w:rsidRPr="00496F49">
        <w:rPr>
          <w:rFonts w:eastAsia="Arial" w:cs="Vrinda"/>
          <w:lang w:val="es-ES"/>
        </w:rPr>
        <w:t>sí c</w:t>
      </w:r>
      <w:r w:rsidRPr="00496F49">
        <w:rPr>
          <w:rFonts w:eastAsia="Arial" w:cs="Vrinda"/>
          <w:spacing w:val="1"/>
          <w:lang w:val="es-ES"/>
        </w:rPr>
        <w:t>om</w:t>
      </w:r>
      <w:r w:rsidRPr="00496F49">
        <w:rPr>
          <w:rFonts w:eastAsia="Arial" w:cs="Vrinda"/>
          <w:lang w:val="es-ES"/>
        </w:rPr>
        <w:t>o</w:t>
      </w:r>
      <w:r w:rsidRPr="00496F49">
        <w:rPr>
          <w:rFonts w:eastAsia="Arial" w:cs="Vrinda"/>
          <w:spacing w:val="5"/>
          <w:lang w:val="es-ES"/>
        </w:rPr>
        <w:t xml:space="preserve"> </w:t>
      </w:r>
      <w:r w:rsidRPr="00496F49">
        <w:rPr>
          <w:rFonts w:eastAsia="Arial" w:cs="Vrinda"/>
          <w:lang w:val="es-ES"/>
        </w:rPr>
        <w:t>la</w:t>
      </w:r>
      <w:r w:rsidRPr="00496F49">
        <w:rPr>
          <w:rFonts w:eastAsia="Arial" w:cs="Vrinda"/>
          <w:spacing w:val="5"/>
          <w:lang w:val="es-ES"/>
        </w:rPr>
        <w:t xml:space="preserve"> </w:t>
      </w:r>
      <w:r w:rsidRPr="00496F49">
        <w:rPr>
          <w:rFonts w:eastAsia="Arial" w:cs="Vrinda"/>
          <w:spacing w:val="1"/>
          <w:lang w:val="es-ES"/>
        </w:rPr>
        <w:t>pa</w:t>
      </w:r>
      <w:r w:rsidRPr="00496F49">
        <w:rPr>
          <w:rFonts w:eastAsia="Arial" w:cs="Vrinda"/>
          <w:lang w:val="es-ES"/>
        </w:rPr>
        <w:t>r</w:t>
      </w:r>
      <w:r w:rsidRPr="00496F49">
        <w:rPr>
          <w:rFonts w:eastAsia="Arial" w:cs="Vrinda"/>
          <w:spacing w:val="-3"/>
          <w:lang w:val="es-ES"/>
        </w:rPr>
        <w:t>t</w:t>
      </w:r>
      <w:r w:rsidRPr="00496F49">
        <w:rPr>
          <w:rFonts w:eastAsia="Arial" w:cs="Vrinda"/>
          <w:lang w:val="es-ES"/>
        </w:rPr>
        <w:t>e res</w:t>
      </w:r>
      <w:r w:rsidRPr="00496F49">
        <w:rPr>
          <w:rFonts w:eastAsia="Arial" w:cs="Vrinda"/>
          <w:spacing w:val="1"/>
          <w:lang w:val="es-ES"/>
        </w:rPr>
        <w:t>o</w:t>
      </w:r>
      <w:r w:rsidRPr="00496F49">
        <w:rPr>
          <w:rFonts w:eastAsia="Arial" w:cs="Vrinda"/>
          <w:lang w:val="es-ES"/>
        </w:rPr>
        <w:t>lu</w:t>
      </w:r>
      <w:r w:rsidRPr="00496F49">
        <w:rPr>
          <w:rFonts w:eastAsia="Arial" w:cs="Vrinda"/>
          <w:spacing w:val="1"/>
          <w:lang w:val="es-ES"/>
        </w:rPr>
        <w:t>t</w:t>
      </w:r>
      <w:r w:rsidRPr="00496F49">
        <w:rPr>
          <w:rFonts w:eastAsia="Arial" w:cs="Vrinda"/>
          <w:lang w:val="es-ES"/>
        </w:rPr>
        <w:t>i</w:t>
      </w:r>
      <w:r w:rsidRPr="00496F49">
        <w:rPr>
          <w:rFonts w:eastAsia="Arial" w:cs="Vrinda"/>
          <w:spacing w:val="-3"/>
          <w:lang w:val="es-ES"/>
        </w:rPr>
        <w:t>v</w:t>
      </w:r>
      <w:r w:rsidRPr="00496F49">
        <w:rPr>
          <w:rFonts w:eastAsia="Arial" w:cs="Vrinda"/>
          <w:lang w:val="es-ES"/>
        </w:rPr>
        <w:t>a</w:t>
      </w:r>
      <w:r w:rsidRPr="00496F49">
        <w:rPr>
          <w:rFonts w:eastAsia="Arial" w:cs="Vrinda"/>
          <w:spacing w:val="4"/>
          <w:lang w:val="es-ES"/>
        </w:rPr>
        <w:t xml:space="preserve"> </w:t>
      </w:r>
      <w:r w:rsidRPr="00496F49">
        <w:rPr>
          <w:rFonts w:eastAsia="Arial" w:cs="Vrinda"/>
          <w:spacing w:val="1"/>
          <w:lang w:val="es-ES"/>
        </w:rPr>
        <w:t>d</w:t>
      </w:r>
      <w:r w:rsidRPr="00496F49">
        <w:rPr>
          <w:rFonts w:eastAsia="Arial" w:cs="Vrinda"/>
          <w:lang w:val="es-ES"/>
        </w:rPr>
        <w:t>e</w:t>
      </w:r>
      <w:r w:rsidRPr="00496F49">
        <w:rPr>
          <w:rFonts w:eastAsia="Arial" w:cs="Vrinda"/>
          <w:spacing w:val="4"/>
          <w:lang w:val="es-ES"/>
        </w:rPr>
        <w:t xml:space="preserve"> </w:t>
      </w:r>
      <w:r w:rsidRPr="00496F49">
        <w:rPr>
          <w:rFonts w:eastAsia="Arial" w:cs="Vrinda"/>
          <w:lang w:val="es-ES"/>
        </w:rPr>
        <w:t>la</w:t>
      </w:r>
      <w:r w:rsidRPr="00496F49">
        <w:rPr>
          <w:rFonts w:eastAsia="Arial" w:cs="Vrinda"/>
          <w:spacing w:val="4"/>
          <w:lang w:val="es-ES"/>
        </w:rPr>
        <w:t xml:space="preserve"> </w:t>
      </w:r>
      <w:r w:rsidRPr="00496F49">
        <w:rPr>
          <w:rFonts w:eastAsia="Arial" w:cs="Vrinda"/>
          <w:lang w:val="es-ES"/>
        </w:rPr>
        <w:t>S</w:t>
      </w:r>
      <w:r w:rsidRPr="00496F49">
        <w:rPr>
          <w:rFonts w:eastAsia="Arial" w:cs="Vrinda"/>
          <w:spacing w:val="1"/>
          <w:lang w:val="es-ES"/>
        </w:rPr>
        <w:t>en</w:t>
      </w:r>
      <w:r w:rsidRPr="00496F49">
        <w:rPr>
          <w:rFonts w:eastAsia="Arial" w:cs="Vrinda"/>
          <w:lang w:val="es-ES"/>
        </w:rPr>
        <w:t>t</w:t>
      </w:r>
      <w:r w:rsidRPr="00496F49">
        <w:rPr>
          <w:rFonts w:eastAsia="Arial" w:cs="Vrinda"/>
          <w:spacing w:val="-1"/>
          <w:lang w:val="es-ES"/>
        </w:rPr>
        <w:t>e</w:t>
      </w:r>
      <w:r w:rsidRPr="00496F49">
        <w:rPr>
          <w:rFonts w:eastAsia="Arial" w:cs="Vrinda"/>
          <w:spacing w:val="1"/>
          <w:lang w:val="es-ES"/>
        </w:rPr>
        <w:t>n</w:t>
      </w:r>
      <w:r w:rsidRPr="00496F49">
        <w:rPr>
          <w:rFonts w:eastAsia="Arial" w:cs="Vrinda"/>
          <w:lang w:val="es-ES"/>
        </w:rPr>
        <w:t>cia</w:t>
      </w:r>
      <w:r w:rsidRPr="00496F49">
        <w:rPr>
          <w:rFonts w:eastAsia="Arial" w:cs="Vrinda"/>
          <w:spacing w:val="2"/>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4"/>
          <w:lang w:val="es-ES"/>
        </w:rPr>
        <w:t xml:space="preserve"> </w:t>
      </w:r>
      <w:r w:rsidRPr="00496F49">
        <w:rPr>
          <w:rFonts w:eastAsia="Arial" w:cs="Vrinda"/>
          <w:spacing w:val="1"/>
          <w:lang w:val="es-ES"/>
        </w:rPr>
        <w:t>e</w:t>
      </w:r>
      <w:r w:rsidRPr="00496F49">
        <w:rPr>
          <w:rFonts w:eastAsia="Arial" w:cs="Vrinda"/>
          <w:lang w:val="es-ES"/>
        </w:rPr>
        <w:t>l</w:t>
      </w:r>
      <w:r w:rsidRPr="00496F49">
        <w:rPr>
          <w:rFonts w:eastAsia="Arial" w:cs="Vrinda"/>
          <w:spacing w:val="3"/>
          <w:lang w:val="es-ES"/>
        </w:rPr>
        <w:t xml:space="preserve"> </w:t>
      </w:r>
      <w:r w:rsidR="00306FCD">
        <w:rPr>
          <w:rFonts w:eastAsia="Arial" w:cs="Vrinda"/>
          <w:lang w:val="es-ES"/>
        </w:rPr>
        <w:t>d</w:t>
      </w:r>
      <w:r w:rsidRPr="00496F49">
        <w:rPr>
          <w:rFonts w:eastAsia="Arial" w:cs="Vrinda"/>
          <w:spacing w:val="-1"/>
          <w:lang w:val="es-ES"/>
        </w:rPr>
        <w:t>i</w:t>
      </w:r>
      <w:r w:rsidRPr="00496F49">
        <w:rPr>
          <w:rFonts w:eastAsia="Arial" w:cs="Vrinda"/>
          <w:spacing w:val="1"/>
          <w:lang w:val="es-ES"/>
        </w:rPr>
        <w:t>a</w:t>
      </w:r>
      <w:r w:rsidRPr="00496F49">
        <w:rPr>
          <w:rFonts w:eastAsia="Arial" w:cs="Vrinda"/>
          <w:lang w:val="es-ES"/>
        </w:rPr>
        <w:t>r</w:t>
      </w:r>
      <w:r w:rsidRPr="00496F49">
        <w:rPr>
          <w:rFonts w:eastAsia="Arial" w:cs="Vrinda"/>
          <w:spacing w:val="-1"/>
          <w:lang w:val="es-ES"/>
        </w:rPr>
        <w:t>i</w:t>
      </w:r>
      <w:r w:rsidRPr="00496F49">
        <w:rPr>
          <w:rFonts w:eastAsia="Arial" w:cs="Vrinda"/>
          <w:lang w:val="es-ES"/>
        </w:rPr>
        <w:t>o</w:t>
      </w:r>
      <w:r w:rsidRPr="00496F49">
        <w:rPr>
          <w:rFonts w:eastAsia="Arial" w:cs="Vrinda"/>
          <w:spacing w:val="4"/>
          <w:lang w:val="es-ES"/>
        </w:rPr>
        <w:t xml:space="preserve"> </w:t>
      </w:r>
      <w:r w:rsidR="00306FCD">
        <w:rPr>
          <w:rFonts w:eastAsia="Arial" w:cs="Vrinda"/>
          <w:lang w:val="es-ES"/>
        </w:rPr>
        <w:t>o</w:t>
      </w:r>
      <w:r w:rsidRPr="00496F49">
        <w:rPr>
          <w:rFonts w:eastAsia="Arial" w:cs="Vrinda"/>
          <w:spacing w:val="3"/>
          <w:lang w:val="es-ES"/>
        </w:rPr>
        <w:t>f</w:t>
      </w:r>
      <w:r w:rsidRPr="00496F49">
        <w:rPr>
          <w:rFonts w:eastAsia="Arial" w:cs="Vrinda"/>
          <w:lang w:val="es-ES"/>
        </w:rPr>
        <w:t>ic</w:t>
      </w:r>
      <w:r w:rsidRPr="00496F49">
        <w:rPr>
          <w:rFonts w:eastAsia="Arial" w:cs="Vrinda"/>
          <w:spacing w:val="-3"/>
          <w:lang w:val="es-ES"/>
        </w:rPr>
        <w:t>i</w:t>
      </w:r>
      <w:r w:rsidRPr="00496F49">
        <w:rPr>
          <w:rFonts w:eastAsia="Arial" w:cs="Vrinda"/>
          <w:spacing w:val="1"/>
          <w:lang w:val="es-ES"/>
        </w:rPr>
        <w:t>a</w:t>
      </w:r>
      <w:r w:rsidRPr="00496F49">
        <w:rPr>
          <w:rFonts w:eastAsia="Arial" w:cs="Vrinda"/>
          <w:lang w:val="es-ES"/>
        </w:rPr>
        <w:t>l y</w:t>
      </w:r>
      <w:r w:rsidRPr="00496F49">
        <w:rPr>
          <w:rFonts w:eastAsia="Arial" w:cs="Vrinda"/>
          <w:spacing w:val="3"/>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4"/>
          <w:lang w:val="es-ES"/>
        </w:rPr>
        <w:t xml:space="preserve"> </w:t>
      </w:r>
      <w:r w:rsidRPr="00496F49">
        <w:rPr>
          <w:rFonts w:eastAsia="Arial" w:cs="Vrinda"/>
          <w:spacing w:val="1"/>
          <w:lang w:val="es-ES"/>
        </w:rPr>
        <w:t>a</w:t>
      </w:r>
      <w:r w:rsidRPr="00496F49">
        <w:rPr>
          <w:rFonts w:eastAsia="Arial" w:cs="Vrinda"/>
          <w:lang w:val="es-ES"/>
        </w:rPr>
        <w:t>l</w:t>
      </w:r>
      <w:r w:rsidRPr="00496F49">
        <w:rPr>
          <w:rFonts w:eastAsia="Arial" w:cs="Vrinda"/>
          <w:spacing w:val="3"/>
          <w:lang w:val="es-ES"/>
        </w:rPr>
        <w:t xml:space="preserve"> </w:t>
      </w:r>
      <w:r w:rsidRPr="00496F49">
        <w:rPr>
          <w:rFonts w:eastAsia="Arial" w:cs="Vrinda"/>
          <w:spacing w:val="1"/>
          <w:lang w:val="es-ES"/>
        </w:rPr>
        <w:t>meno</w:t>
      </w:r>
      <w:r w:rsidRPr="00496F49">
        <w:rPr>
          <w:rFonts w:eastAsia="Arial" w:cs="Vrinda"/>
          <w:lang w:val="es-ES"/>
        </w:rPr>
        <w:t>s</w:t>
      </w:r>
      <w:r w:rsidRPr="00496F49">
        <w:rPr>
          <w:rFonts w:eastAsia="Arial" w:cs="Vrinda"/>
          <w:spacing w:val="3"/>
          <w:lang w:val="es-ES"/>
        </w:rPr>
        <w:t xml:space="preserve"> </w:t>
      </w:r>
      <w:r w:rsidRPr="00496F49">
        <w:rPr>
          <w:rFonts w:eastAsia="Arial" w:cs="Vrinda"/>
          <w:spacing w:val="-1"/>
          <w:lang w:val="es-ES"/>
        </w:rPr>
        <w:t>d</w:t>
      </w:r>
      <w:r w:rsidRPr="00496F49">
        <w:rPr>
          <w:rFonts w:eastAsia="Arial" w:cs="Vrinda"/>
          <w:spacing w:val="1"/>
          <w:lang w:val="es-ES"/>
        </w:rPr>
        <w:t>o</w:t>
      </w:r>
      <w:r w:rsidRPr="00496F49">
        <w:rPr>
          <w:rFonts w:eastAsia="Arial" w:cs="Vrinda"/>
          <w:lang w:val="es-ES"/>
        </w:rPr>
        <w:t>s</w:t>
      </w:r>
      <w:r w:rsidRPr="00496F49">
        <w:rPr>
          <w:rFonts w:eastAsia="Arial" w:cs="Vrinda"/>
          <w:spacing w:val="1"/>
          <w:lang w:val="es-ES"/>
        </w:rPr>
        <w:t xml:space="preserve"> d</w:t>
      </w:r>
      <w:r w:rsidRPr="00496F49">
        <w:rPr>
          <w:rFonts w:eastAsia="Arial" w:cs="Vrinda"/>
          <w:lang w:val="es-ES"/>
        </w:rPr>
        <w:t>iar</w:t>
      </w:r>
      <w:r w:rsidRPr="00496F49">
        <w:rPr>
          <w:rFonts w:eastAsia="Arial" w:cs="Vrinda"/>
          <w:spacing w:val="-1"/>
          <w:lang w:val="es-ES"/>
        </w:rPr>
        <w:t>i</w:t>
      </w:r>
      <w:r w:rsidRPr="00496F49">
        <w:rPr>
          <w:rFonts w:eastAsia="Arial" w:cs="Vrinda"/>
          <w:spacing w:val="1"/>
          <w:lang w:val="es-ES"/>
        </w:rPr>
        <w:t>o</w:t>
      </w:r>
      <w:r w:rsidRPr="00496F49">
        <w:rPr>
          <w:rFonts w:eastAsia="Arial" w:cs="Vrinda"/>
          <w:lang w:val="es-ES"/>
        </w:rPr>
        <w:t>s</w:t>
      </w:r>
      <w:r w:rsidRPr="00496F49">
        <w:rPr>
          <w:rFonts w:eastAsia="Arial" w:cs="Vrinda"/>
          <w:spacing w:val="3"/>
          <w:lang w:val="es-ES"/>
        </w:rPr>
        <w:t xml:space="preserve"> </w:t>
      </w:r>
      <w:r w:rsidRPr="00496F49">
        <w:rPr>
          <w:rFonts w:eastAsia="Arial" w:cs="Vrinda"/>
          <w:spacing w:val="1"/>
          <w:lang w:val="es-ES"/>
        </w:rPr>
        <w:t>d</w:t>
      </w:r>
      <w:r w:rsidRPr="00496F49">
        <w:rPr>
          <w:rFonts w:eastAsia="Arial" w:cs="Vrinda"/>
          <w:lang w:val="es-ES"/>
        </w:rPr>
        <w:t>e ci</w:t>
      </w:r>
      <w:r w:rsidRPr="00496F49">
        <w:rPr>
          <w:rFonts w:eastAsia="Arial" w:cs="Vrinda"/>
          <w:spacing w:val="-1"/>
          <w:lang w:val="es-ES"/>
        </w:rPr>
        <w:t>r</w:t>
      </w:r>
      <w:r w:rsidRPr="00496F49">
        <w:rPr>
          <w:rFonts w:eastAsia="Arial" w:cs="Vrinda"/>
          <w:lang w:val="es-ES"/>
        </w:rPr>
        <w:t>c</w:t>
      </w:r>
      <w:r w:rsidRPr="00496F49">
        <w:rPr>
          <w:rFonts w:eastAsia="Arial" w:cs="Vrinda"/>
          <w:spacing w:val="1"/>
          <w:lang w:val="es-ES"/>
        </w:rPr>
        <w:t>u</w:t>
      </w:r>
      <w:r w:rsidRPr="00496F49">
        <w:rPr>
          <w:rFonts w:eastAsia="Arial" w:cs="Vrinda"/>
          <w:lang w:val="es-ES"/>
        </w:rPr>
        <w:t>laci</w:t>
      </w:r>
      <w:r w:rsidRPr="00496F49">
        <w:rPr>
          <w:rFonts w:eastAsia="Arial" w:cs="Vrinda"/>
          <w:spacing w:val="1"/>
          <w:lang w:val="es-ES"/>
        </w:rPr>
        <w:t>ó</w:t>
      </w:r>
      <w:r w:rsidRPr="00496F49">
        <w:rPr>
          <w:rFonts w:eastAsia="Arial" w:cs="Vrinda"/>
          <w:lang w:val="es-ES"/>
        </w:rPr>
        <w:t>n</w:t>
      </w:r>
      <w:r w:rsidRPr="00496F49">
        <w:rPr>
          <w:rFonts w:eastAsia="Arial" w:cs="Vrinda"/>
          <w:spacing w:val="27"/>
          <w:lang w:val="es-ES"/>
        </w:rPr>
        <w:t xml:space="preserve"> </w:t>
      </w:r>
      <w:r w:rsidRPr="00496F49">
        <w:rPr>
          <w:rFonts w:eastAsia="Arial" w:cs="Vrinda"/>
          <w:spacing w:val="1"/>
          <w:lang w:val="es-ES"/>
        </w:rPr>
        <w:t>na</w:t>
      </w:r>
      <w:r w:rsidRPr="00496F49">
        <w:rPr>
          <w:rFonts w:eastAsia="Arial" w:cs="Vrinda"/>
          <w:lang w:val="es-ES"/>
        </w:rPr>
        <w:t>ci</w:t>
      </w:r>
      <w:r w:rsidRPr="00496F49">
        <w:rPr>
          <w:rFonts w:eastAsia="Arial" w:cs="Vrinda"/>
          <w:spacing w:val="-2"/>
          <w:lang w:val="es-ES"/>
        </w:rPr>
        <w:t>o</w:t>
      </w:r>
      <w:r w:rsidRPr="00496F49">
        <w:rPr>
          <w:rFonts w:eastAsia="Arial" w:cs="Vrinda"/>
          <w:spacing w:val="1"/>
          <w:lang w:val="es-ES"/>
        </w:rPr>
        <w:t>na</w:t>
      </w:r>
      <w:r w:rsidRPr="00496F49">
        <w:rPr>
          <w:rFonts w:eastAsia="Arial" w:cs="Vrinda"/>
          <w:lang w:val="es-ES"/>
        </w:rPr>
        <w:t>l. Solicitaron, además, que dicha publicación sea</w:t>
      </w:r>
      <w:r w:rsidRPr="00496F49">
        <w:rPr>
          <w:rFonts w:eastAsia="Arial" w:cs="Vrinda"/>
          <w:spacing w:val="26"/>
          <w:lang w:val="es-ES"/>
        </w:rPr>
        <w:t xml:space="preserve"> </w:t>
      </w:r>
      <w:r w:rsidRPr="00496F49">
        <w:rPr>
          <w:rFonts w:eastAsia="Arial" w:cs="Vrinda"/>
          <w:lang w:val="es-ES"/>
        </w:rPr>
        <w:t>re</w:t>
      </w:r>
      <w:r w:rsidRPr="00496F49">
        <w:rPr>
          <w:rFonts w:eastAsia="Arial" w:cs="Vrinda"/>
          <w:spacing w:val="1"/>
          <w:lang w:val="es-ES"/>
        </w:rPr>
        <w:t>a</w:t>
      </w:r>
      <w:r w:rsidRPr="00496F49">
        <w:rPr>
          <w:rFonts w:eastAsia="Arial" w:cs="Vrinda"/>
          <w:lang w:val="es-ES"/>
        </w:rPr>
        <w:t>l</w:t>
      </w:r>
      <w:r w:rsidRPr="00496F49">
        <w:rPr>
          <w:rFonts w:eastAsia="Arial" w:cs="Vrinda"/>
          <w:spacing w:val="-1"/>
          <w:lang w:val="es-ES"/>
        </w:rPr>
        <w:t>i</w:t>
      </w:r>
      <w:r w:rsidRPr="00496F49">
        <w:rPr>
          <w:rFonts w:eastAsia="Arial" w:cs="Vrinda"/>
          <w:spacing w:val="-2"/>
          <w:lang w:val="es-ES"/>
        </w:rPr>
        <w:t>z</w:t>
      </w:r>
      <w:r w:rsidRPr="00496F49">
        <w:rPr>
          <w:rFonts w:eastAsia="Arial" w:cs="Vrinda"/>
          <w:spacing w:val="1"/>
          <w:lang w:val="es-ES"/>
        </w:rPr>
        <w:t>ad</w:t>
      </w:r>
      <w:r w:rsidRPr="00496F49">
        <w:rPr>
          <w:rFonts w:eastAsia="Arial" w:cs="Vrinda"/>
          <w:lang w:val="es-ES"/>
        </w:rPr>
        <w:t>a</w:t>
      </w:r>
      <w:r w:rsidRPr="00496F49">
        <w:rPr>
          <w:rFonts w:eastAsia="Arial" w:cs="Vrinda"/>
          <w:spacing w:val="27"/>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27"/>
          <w:lang w:val="es-ES"/>
        </w:rPr>
        <w:t xml:space="preserve"> </w:t>
      </w:r>
      <w:r w:rsidRPr="00496F49">
        <w:rPr>
          <w:rFonts w:eastAsia="Arial" w:cs="Vrinda"/>
          <w:lang w:val="es-ES"/>
        </w:rPr>
        <w:t>l</w:t>
      </w:r>
      <w:r w:rsidRPr="00496F49">
        <w:rPr>
          <w:rFonts w:eastAsia="Arial" w:cs="Vrinda"/>
          <w:spacing w:val="-2"/>
          <w:lang w:val="es-ES"/>
        </w:rPr>
        <w:t>a</w:t>
      </w:r>
      <w:r w:rsidRPr="00496F49">
        <w:rPr>
          <w:rFonts w:eastAsia="Arial" w:cs="Vrinda"/>
          <w:lang w:val="es-ES"/>
        </w:rPr>
        <w:t xml:space="preserve">s </w:t>
      </w:r>
      <w:r w:rsidRPr="00496F49">
        <w:rPr>
          <w:rFonts w:eastAsia="Arial" w:cs="Vrinda"/>
          <w:spacing w:val="1"/>
          <w:lang w:val="es-ES"/>
        </w:rPr>
        <w:t>pá</w:t>
      </w:r>
      <w:r w:rsidRPr="00496F49">
        <w:rPr>
          <w:rFonts w:eastAsia="Arial" w:cs="Vrinda"/>
          <w:spacing w:val="-1"/>
          <w:lang w:val="es-ES"/>
        </w:rPr>
        <w:t>g</w:t>
      </w:r>
      <w:r w:rsidRPr="00496F49">
        <w:rPr>
          <w:rFonts w:eastAsia="Arial" w:cs="Vrinda"/>
          <w:lang w:val="es-ES"/>
        </w:rPr>
        <w:t>in</w:t>
      </w:r>
      <w:r w:rsidRPr="00496F49">
        <w:rPr>
          <w:rFonts w:eastAsia="Arial" w:cs="Vrinda"/>
          <w:spacing w:val="1"/>
          <w:lang w:val="es-ES"/>
        </w:rPr>
        <w:t>a</w:t>
      </w:r>
      <w:r w:rsidRPr="00496F49">
        <w:rPr>
          <w:rFonts w:eastAsia="Arial" w:cs="Vrinda"/>
          <w:lang w:val="es-ES"/>
        </w:rPr>
        <w:t>s</w:t>
      </w:r>
      <w:r w:rsidRPr="00496F49">
        <w:rPr>
          <w:rFonts w:eastAsia="Arial" w:cs="Vrinda"/>
          <w:spacing w:val="6"/>
          <w:lang w:val="es-ES"/>
        </w:rPr>
        <w:t xml:space="preserve"> </w:t>
      </w:r>
      <w:r w:rsidRPr="00496F49">
        <w:rPr>
          <w:rFonts w:eastAsia="Arial" w:cs="Vrinda"/>
          <w:spacing w:val="-3"/>
          <w:lang w:val="es-ES"/>
        </w:rPr>
        <w:t>w</w:t>
      </w:r>
      <w:r w:rsidRPr="00496F49">
        <w:rPr>
          <w:rFonts w:eastAsia="Arial" w:cs="Vrinda"/>
          <w:spacing w:val="1"/>
          <w:lang w:val="es-ES"/>
        </w:rPr>
        <w:t>e</w:t>
      </w:r>
      <w:r w:rsidRPr="00496F49">
        <w:rPr>
          <w:rFonts w:eastAsia="Arial" w:cs="Vrinda"/>
          <w:lang w:val="es-ES"/>
        </w:rPr>
        <w:t>b</w:t>
      </w:r>
      <w:r w:rsidRPr="00496F49">
        <w:rPr>
          <w:rFonts w:eastAsia="Arial" w:cs="Vrinda"/>
          <w:spacing w:val="7"/>
          <w:lang w:val="es-ES"/>
        </w:rPr>
        <w:t xml:space="preserve"> </w:t>
      </w:r>
      <w:r w:rsidRPr="00496F49">
        <w:rPr>
          <w:rFonts w:eastAsia="Arial" w:cs="Vrinda"/>
          <w:spacing w:val="1"/>
          <w:lang w:val="es-ES"/>
        </w:rPr>
        <w:t>de</w:t>
      </w:r>
      <w:r w:rsidRPr="00496F49">
        <w:rPr>
          <w:rFonts w:eastAsia="Arial" w:cs="Vrinda"/>
          <w:lang w:val="es-ES"/>
        </w:rPr>
        <w:t>l</w:t>
      </w:r>
      <w:r w:rsidRPr="00496F49">
        <w:rPr>
          <w:rFonts w:eastAsia="Arial" w:cs="Vrinda"/>
          <w:spacing w:val="6"/>
          <w:lang w:val="es-ES"/>
        </w:rPr>
        <w:t xml:space="preserve"> </w:t>
      </w:r>
      <w:r w:rsidRPr="00496F49">
        <w:rPr>
          <w:rFonts w:eastAsia="Arial" w:cs="Vrinda"/>
          <w:spacing w:val="-1"/>
          <w:lang w:val="es-ES"/>
        </w:rPr>
        <w:t>M</w:t>
      </w:r>
      <w:r w:rsidRPr="00496F49">
        <w:rPr>
          <w:rFonts w:eastAsia="Arial" w:cs="Vrinda"/>
          <w:lang w:val="es-ES"/>
        </w:rPr>
        <w:t>S</w:t>
      </w:r>
      <w:r w:rsidRPr="00496F49">
        <w:rPr>
          <w:rFonts w:eastAsia="Arial" w:cs="Vrinda"/>
          <w:spacing w:val="-2"/>
          <w:lang w:val="es-ES"/>
        </w:rPr>
        <w:t>P</w:t>
      </w:r>
      <w:r w:rsidRPr="00496F49">
        <w:rPr>
          <w:rFonts w:eastAsia="Arial" w:cs="Vrinda"/>
          <w:lang w:val="es-ES"/>
        </w:rPr>
        <w:t xml:space="preserve">AS, </w:t>
      </w:r>
      <w:r w:rsidRPr="00496F49">
        <w:rPr>
          <w:rFonts w:eastAsia="Arial" w:cs="Vrinda"/>
          <w:spacing w:val="1"/>
          <w:lang w:val="es-ES"/>
        </w:rPr>
        <w:t>e</w:t>
      </w:r>
      <w:r w:rsidRPr="00496F49">
        <w:rPr>
          <w:rFonts w:eastAsia="Arial" w:cs="Vrinda"/>
          <w:lang w:val="es-ES"/>
        </w:rPr>
        <w:t>l</w:t>
      </w:r>
      <w:r w:rsidRPr="00496F49">
        <w:rPr>
          <w:rFonts w:eastAsia="Arial" w:cs="Vrinda"/>
          <w:spacing w:val="6"/>
          <w:lang w:val="es-ES"/>
        </w:rPr>
        <w:t xml:space="preserve"> </w:t>
      </w:r>
      <w:r w:rsidRPr="00496F49">
        <w:rPr>
          <w:rFonts w:eastAsia="Arial" w:cs="Vrinda"/>
          <w:lang w:val="es-ES"/>
        </w:rPr>
        <w:t>I</w:t>
      </w:r>
      <w:r w:rsidRPr="00496F49">
        <w:rPr>
          <w:rFonts w:eastAsia="Arial" w:cs="Vrinda"/>
          <w:spacing w:val="1"/>
          <w:lang w:val="es-ES"/>
        </w:rPr>
        <w:t>G</w:t>
      </w:r>
      <w:r w:rsidRPr="00496F49">
        <w:rPr>
          <w:rFonts w:eastAsia="Arial" w:cs="Vrinda"/>
          <w:spacing w:val="-2"/>
          <w:lang w:val="es-ES"/>
        </w:rPr>
        <w:t>S</w:t>
      </w:r>
      <w:r w:rsidRPr="00496F49">
        <w:rPr>
          <w:rFonts w:eastAsia="Arial" w:cs="Vrinda"/>
          <w:lang w:val="es-ES"/>
        </w:rPr>
        <w:t>S,</w:t>
      </w:r>
      <w:r w:rsidRPr="00496F49">
        <w:rPr>
          <w:rFonts w:eastAsia="Arial" w:cs="Vrinda"/>
          <w:spacing w:val="1"/>
          <w:lang w:val="es-ES"/>
        </w:rPr>
        <w:t xml:space="preserve"> </w:t>
      </w:r>
      <w:r w:rsidRPr="00496F49">
        <w:rPr>
          <w:rFonts w:eastAsia="Arial" w:cs="Vrinda"/>
          <w:lang w:val="es-ES"/>
        </w:rPr>
        <w:t>y</w:t>
      </w:r>
      <w:r w:rsidRPr="00496F49">
        <w:rPr>
          <w:rFonts w:eastAsia="Arial" w:cs="Vrinda"/>
          <w:spacing w:val="4"/>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7"/>
          <w:lang w:val="es-ES"/>
        </w:rPr>
        <w:t xml:space="preserve"> </w:t>
      </w:r>
      <w:r w:rsidRPr="00496F49">
        <w:rPr>
          <w:rFonts w:eastAsia="Arial" w:cs="Vrinda"/>
          <w:lang w:val="es-ES"/>
        </w:rPr>
        <w:t>las</w:t>
      </w:r>
      <w:r w:rsidRPr="00496F49">
        <w:rPr>
          <w:rFonts w:eastAsia="Arial" w:cs="Vrinda"/>
          <w:spacing w:val="7"/>
          <w:lang w:val="es-ES"/>
        </w:rPr>
        <w:t xml:space="preserve"> </w:t>
      </w:r>
      <w:r w:rsidRPr="00496F49">
        <w:rPr>
          <w:rFonts w:eastAsia="Arial" w:cs="Vrinda"/>
          <w:spacing w:val="1"/>
          <w:lang w:val="es-ES"/>
        </w:rPr>
        <w:t>d</w:t>
      </w:r>
      <w:r w:rsidRPr="00496F49">
        <w:rPr>
          <w:rFonts w:eastAsia="Arial" w:cs="Vrinda"/>
          <w:lang w:val="es-ES"/>
        </w:rPr>
        <w:t>istin</w:t>
      </w:r>
      <w:r w:rsidRPr="00496F49">
        <w:rPr>
          <w:rFonts w:eastAsia="Arial" w:cs="Vrinda"/>
          <w:spacing w:val="1"/>
          <w:lang w:val="es-ES"/>
        </w:rPr>
        <w:t>ta</w:t>
      </w:r>
      <w:r w:rsidRPr="00496F49">
        <w:rPr>
          <w:rFonts w:eastAsia="Arial" w:cs="Vrinda"/>
          <w:lang w:val="es-ES"/>
        </w:rPr>
        <w:t>s</w:t>
      </w:r>
      <w:r w:rsidRPr="00496F49">
        <w:rPr>
          <w:rFonts w:eastAsia="Arial" w:cs="Vrinda"/>
          <w:spacing w:val="6"/>
          <w:lang w:val="es-ES"/>
        </w:rPr>
        <w:t xml:space="preserve"> </w:t>
      </w:r>
      <w:r w:rsidRPr="00496F49">
        <w:rPr>
          <w:rFonts w:eastAsia="Arial" w:cs="Vrinda"/>
          <w:lang w:val="es-ES"/>
        </w:rPr>
        <w:t>UAI,</w:t>
      </w:r>
      <w:r w:rsidRPr="00496F49">
        <w:rPr>
          <w:rFonts w:eastAsia="Arial" w:cs="Vrinda"/>
          <w:spacing w:val="2"/>
          <w:lang w:val="es-ES"/>
        </w:rPr>
        <w:t xml:space="preserve"> </w:t>
      </w:r>
      <w:r w:rsidRPr="00496F49">
        <w:rPr>
          <w:rFonts w:eastAsia="Arial" w:cs="Vrinda"/>
          <w:lang w:val="es-ES"/>
        </w:rPr>
        <w:t>y</w:t>
      </w:r>
      <w:r w:rsidRPr="00496F49">
        <w:rPr>
          <w:rFonts w:eastAsia="Arial" w:cs="Vrinda"/>
          <w:spacing w:val="4"/>
          <w:lang w:val="es-ES"/>
        </w:rPr>
        <w:t xml:space="preserve"> </w:t>
      </w:r>
      <w:r w:rsidRPr="00496F49">
        <w:rPr>
          <w:rFonts w:eastAsia="Arial" w:cs="Vrinda"/>
          <w:spacing w:val="1"/>
          <w:lang w:val="es-ES"/>
        </w:rPr>
        <w:t>m</w:t>
      </w:r>
      <w:r w:rsidRPr="00496F49">
        <w:rPr>
          <w:rFonts w:eastAsia="Arial" w:cs="Vrinda"/>
          <w:spacing w:val="-1"/>
          <w:lang w:val="es-ES"/>
        </w:rPr>
        <w:t>a</w:t>
      </w:r>
      <w:r w:rsidRPr="00496F49">
        <w:rPr>
          <w:rFonts w:eastAsia="Arial" w:cs="Vrinda"/>
          <w:spacing w:val="1"/>
          <w:lang w:val="es-ES"/>
        </w:rPr>
        <w:t>n</w:t>
      </w:r>
      <w:r w:rsidRPr="00496F49">
        <w:rPr>
          <w:rFonts w:eastAsia="Arial" w:cs="Vrinda"/>
          <w:lang w:val="es-ES"/>
        </w:rPr>
        <w:t>t</w:t>
      </w:r>
      <w:r w:rsidRPr="00496F49">
        <w:rPr>
          <w:rFonts w:eastAsia="Arial" w:cs="Vrinda"/>
          <w:spacing w:val="-1"/>
          <w:lang w:val="es-ES"/>
        </w:rPr>
        <w:t>e</w:t>
      </w:r>
      <w:r w:rsidRPr="00496F49">
        <w:rPr>
          <w:rFonts w:eastAsia="Arial" w:cs="Vrinda"/>
          <w:spacing w:val="1"/>
          <w:lang w:val="es-ES"/>
        </w:rPr>
        <w:t>n</w:t>
      </w:r>
      <w:r w:rsidRPr="00496F49">
        <w:rPr>
          <w:rFonts w:eastAsia="Arial" w:cs="Vrinda"/>
          <w:lang w:val="es-ES"/>
        </w:rPr>
        <w:t>ida</w:t>
      </w:r>
      <w:r w:rsidRPr="00496F49">
        <w:rPr>
          <w:rFonts w:eastAsia="Arial" w:cs="Vrinda"/>
          <w:spacing w:val="6"/>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7"/>
          <w:lang w:val="es-ES"/>
        </w:rPr>
        <w:t xml:space="preserve"> </w:t>
      </w:r>
      <w:r w:rsidRPr="00496F49">
        <w:rPr>
          <w:rFonts w:eastAsia="Arial" w:cs="Vrinda"/>
          <w:spacing w:val="1"/>
          <w:lang w:val="es-ES"/>
        </w:rPr>
        <w:t>e</w:t>
      </w:r>
      <w:r w:rsidRPr="00496F49">
        <w:rPr>
          <w:rFonts w:eastAsia="Arial" w:cs="Vrinda"/>
          <w:lang w:val="es-ES"/>
        </w:rPr>
        <w:t>st</w:t>
      </w:r>
      <w:r w:rsidRPr="00496F49">
        <w:rPr>
          <w:rFonts w:eastAsia="Arial" w:cs="Vrinda"/>
          <w:spacing w:val="10"/>
          <w:lang w:val="es-ES"/>
        </w:rPr>
        <w:t>o</w:t>
      </w:r>
      <w:r w:rsidRPr="00496F49">
        <w:rPr>
          <w:rFonts w:eastAsia="Arial" w:cs="Vrinda"/>
          <w:lang w:val="es-ES"/>
        </w:rPr>
        <w:t xml:space="preserve">s </w:t>
      </w:r>
      <w:r w:rsidRPr="00496F49">
        <w:rPr>
          <w:rFonts w:eastAsia="Arial" w:cs="Vrinda"/>
          <w:spacing w:val="1"/>
          <w:lang w:val="es-ES"/>
        </w:rPr>
        <w:t>e</w:t>
      </w:r>
      <w:r w:rsidRPr="00496F49">
        <w:rPr>
          <w:rFonts w:eastAsia="Arial" w:cs="Vrinda"/>
          <w:lang w:val="es-ES"/>
        </w:rPr>
        <w:t>s</w:t>
      </w:r>
      <w:r w:rsidRPr="00496F49">
        <w:rPr>
          <w:rFonts w:eastAsia="Arial" w:cs="Vrinda"/>
          <w:spacing w:val="1"/>
          <w:lang w:val="es-ES"/>
        </w:rPr>
        <w:t>pa</w:t>
      </w:r>
      <w:r w:rsidRPr="00496F49">
        <w:rPr>
          <w:rFonts w:eastAsia="Arial" w:cs="Vrinda"/>
          <w:lang w:val="es-ES"/>
        </w:rPr>
        <w:t>cios</w:t>
      </w:r>
      <w:r w:rsidRPr="00496F49">
        <w:rPr>
          <w:rFonts w:eastAsia="Arial" w:cs="Vrinda"/>
          <w:spacing w:val="-2"/>
          <w:lang w:val="es-ES"/>
        </w:rPr>
        <w:t xml:space="preserve"> </w:t>
      </w:r>
      <w:r w:rsidRPr="00496F49">
        <w:rPr>
          <w:rFonts w:eastAsia="Arial" w:cs="Vrinda"/>
          <w:spacing w:val="1"/>
          <w:lang w:val="es-ES"/>
        </w:rPr>
        <w:t>ha</w:t>
      </w:r>
      <w:r w:rsidRPr="00496F49">
        <w:rPr>
          <w:rFonts w:eastAsia="Arial" w:cs="Vrinda"/>
          <w:lang w:val="es-ES"/>
        </w:rPr>
        <w:t>s</w:t>
      </w:r>
      <w:r w:rsidRPr="00496F49">
        <w:rPr>
          <w:rFonts w:eastAsia="Arial" w:cs="Vrinda"/>
          <w:spacing w:val="-2"/>
          <w:lang w:val="es-ES"/>
        </w:rPr>
        <w:t>t</w:t>
      </w:r>
      <w:r w:rsidRPr="00496F49">
        <w:rPr>
          <w:rFonts w:eastAsia="Arial" w:cs="Vrinda"/>
          <w:lang w:val="es-ES"/>
        </w:rPr>
        <w:t>a</w:t>
      </w:r>
      <w:r w:rsidRPr="00496F49">
        <w:rPr>
          <w:rFonts w:eastAsia="Arial" w:cs="Vrinda"/>
          <w:spacing w:val="-1"/>
          <w:lang w:val="es-ES"/>
        </w:rPr>
        <w:t xml:space="preserve"> </w:t>
      </w:r>
      <w:r w:rsidRPr="00496F49">
        <w:rPr>
          <w:rFonts w:eastAsia="Arial" w:cs="Vrinda"/>
          <w:spacing w:val="1"/>
          <w:lang w:val="es-ES"/>
        </w:rPr>
        <w:t>e</w:t>
      </w:r>
      <w:r w:rsidRPr="00496F49">
        <w:rPr>
          <w:rFonts w:eastAsia="Arial" w:cs="Vrinda"/>
          <w:lang w:val="es-ES"/>
        </w:rPr>
        <w:t>l</w:t>
      </w:r>
      <w:r w:rsidRPr="00496F49">
        <w:rPr>
          <w:rFonts w:eastAsia="Arial" w:cs="Vrinda"/>
          <w:spacing w:val="-2"/>
          <w:lang w:val="es-ES"/>
        </w:rPr>
        <w:t xml:space="preserve"> </w:t>
      </w:r>
      <w:r w:rsidRPr="00496F49">
        <w:rPr>
          <w:rFonts w:eastAsia="Arial" w:cs="Vrinda"/>
          <w:spacing w:val="-1"/>
          <w:lang w:val="es-ES"/>
        </w:rPr>
        <w:t>m</w:t>
      </w:r>
      <w:r w:rsidRPr="00496F49">
        <w:rPr>
          <w:rFonts w:eastAsia="Arial" w:cs="Vrinda"/>
          <w:spacing w:val="1"/>
          <w:lang w:val="es-ES"/>
        </w:rPr>
        <w:t>o</w:t>
      </w:r>
      <w:r w:rsidRPr="00496F49">
        <w:rPr>
          <w:rFonts w:eastAsia="Arial" w:cs="Vrinda"/>
          <w:spacing w:val="-1"/>
          <w:lang w:val="es-ES"/>
        </w:rPr>
        <w:t>m</w:t>
      </w:r>
      <w:r w:rsidRPr="00496F49">
        <w:rPr>
          <w:rFonts w:eastAsia="Arial" w:cs="Vrinda"/>
          <w:spacing w:val="1"/>
          <w:lang w:val="es-ES"/>
        </w:rPr>
        <w:t>en</w:t>
      </w:r>
      <w:r w:rsidRPr="00496F49">
        <w:rPr>
          <w:rFonts w:eastAsia="Arial" w:cs="Vrinda"/>
          <w:lang w:val="es-ES"/>
        </w:rPr>
        <w:t>to</w:t>
      </w:r>
      <w:r w:rsidRPr="00496F49">
        <w:rPr>
          <w:rFonts w:eastAsia="Arial" w:cs="Vrinda"/>
          <w:spacing w:val="-3"/>
          <w:lang w:val="es-ES"/>
        </w:rPr>
        <w:t xml:space="preserve"> </w:t>
      </w:r>
      <w:r w:rsidRPr="00496F49">
        <w:rPr>
          <w:rFonts w:eastAsia="Arial" w:cs="Vrinda"/>
          <w:spacing w:val="1"/>
          <w:lang w:val="es-ES"/>
        </w:rPr>
        <w:t>e</w:t>
      </w:r>
      <w:r w:rsidRPr="00496F49">
        <w:rPr>
          <w:rFonts w:eastAsia="Arial" w:cs="Vrinda"/>
          <w:lang w:val="es-ES"/>
        </w:rPr>
        <w:t>n</w:t>
      </w:r>
      <w:r w:rsidRPr="00496F49">
        <w:rPr>
          <w:rFonts w:eastAsia="Arial" w:cs="Vrinda"/>
          <w:spacing w:val="-1"/>
          <w:lang w:val="es-ES"/>
        </w:rPr>
        <w:t xml:space="preserve"> q</w:t>
      </w:r>
      <w:r w:rsidRPr="00496F49">
        <w:rPr>
          <w:rFonts w:eastAsia="Arial" w:cs="Vrinda"/>
          <w:spacing w:val="1"/>
          <w:lang w:val="es-ES"/>
        </w:rPr>
        <w:t>u</w:t>
      </w:r>
      <w:r w:rsidRPr="00496F49">
        <w:rPr>
          <w:rFonts w:eastAsia="Arial" w:cs="Vrinda"/>
          <w:lang w:val="es-ES"/>
        </w:rPr>
        <w:t>e</w:t>
      </w:r>
      <w:r w:rsidRPr="00496F49">
        <w:rPr>
          <w:rFonts w:eastAsia="Arial" w:cs="Vrinda"/>
          <w:spacing w:val="1"/>
          <w:lang w:val="es-ES"/>
        </w:rPr>
        <w:t xml:space="preserve"> </w:t>
      </w:r>
      <w:r w:rsidRPr="00496F49">
        <w:rPr>
          <w:rFonts w:eastAsia="Arial" w:cs="Vrinda"/>
          <w:lang w:val="es-ES"/>
        </w:rPr>
        <w:t>se</w:t>
      </w:r>
      <w:r w:rsidRPr="00496F49">
        <w:rPr>
          <w:rFonts w:eastAsia="Arial" w:cs="Vrinda"/>
          <w:spacing w:val="1"/>
          <w:lang w:val="es-ES"/>
        </w:rPr>
        <w:t xml:space="preserve"> </w:t>
      </w:r>
      <w:r w:rsidRPr="00496F49">
        <w:rPr>
          <w:rFonts w:eastAsia="Arial" w:cs="Vrinda"/>
          <w:spacing w:val="-2"/>
          <w:lang w:val="es-ES"/>
        </w:rPr>
        <w:t>c</w:t>
      </w:r>
      <w:r w:rsidRPr="00496F49">
        <w:rPr>
          <w:rFonts w:eastAsia="Arial" w:cs="Vrinda"/>
          <w:spacing w:val="-1"/>
          <w:lang w:val="es-ES"/>
        </w:rPr>
        <w:t>u</w:t>
      </w:r>
      <w:r w:rsidRPr="00496F49">
        <w:rPr>
          <w:rFonts w:eastAsia="Arial" w:cs="Vrinda"/>
          <w:spacing w:val="1"/>
          <w:lang w:val="es-ES"/>
        </w:rPr>
        <w:t>mp</w:t>
      </w:r>
      <w:r w:rsidRPr="00496F49">
        <w:rPr>
          <w:rFonts w:eastAsia="Arial" w:cs="Vrinda"/>
          <w:lang w:val="es-ES"/>
        </w:rPr>
        <w:t>la</w:t>
      </w:r>
      <w:r w:rsidRPr="00496F49">
        <w:rPr>
          <w:rFonts w:eastAsia="Arial" w:cs="Vrinda"/>
          <w:spacing w:val="-2"/>
          <w:lang w:val="es-ES"/>
        </w:rPr>
        <w:t xml:space="preserve"> </w:t>
      </w:r>
      <w:r w:rsidRPr="00496F49">
        <w:rPr>
          <w:rFonts w:eastAsia="Arial" w:cs="Vrinda"/>
          <w:lang w:val="es-ES"/>
        </w:rPr>
        <w:t>i</w:t>
      </w:r>
      <w:r w:rsidRPr="00496F49">
        <w:rPr>
          <w:rFonts w:eastAsia="Arial" w:cs="Vrinda"/>
          <w:spacing w:val="1"/>
          <w:lang w:val="es-ES"/>
        </w:rPr>
        <w:t>n</w:t>
      </w:r>
      <w:r w:rsidRPr="00496F49">
        <w:rPr>
          <w:rFonts w:eastAsia="Arial" w:cs="Vrinda"/>
          <w:lang w:val="es-ES"/>
        </w:rPr>
        <w:t>t</w:t>
      </w:r>
      <w:r w:rsidRPr="00496F49">
        <w:rPr>
          <w:rFonts w:eastAsia="Arial" w:cs="Vrinda"/>
          <w:spacing w:val="1"/>
          <w:lang w:val="es-ES"/>
        </w:rPr>
        <w:t>e</w:t>
      </w:r>
      <w:r w:rsidRPr="00496F49">
        <w:rPr>
          <w:rFonts w:eastAsia="Arial" w:cs="Vrinda"/>
          <w:spacing w:val="-1"/>
          <w:lang w:val="es-ES"/>
        </w:rPr>
        <w:t>g</w:t>
      </w:r>
      <w:r w:rsidRPr="00496F49">
        <w:rPr>
          <w:rFonts w:eastAsia="Arial" w:cs="Vrinda"/>
          <w:lang w:val="es-ES"/>
        </w:rPr>
        <w:t>ral</w:t>
      </w:r>
      <w:r w:rsidRPr="00496F49">
        <w:rPr>
          <w:rFonts w:eastAsia="Arial" w:cs="Vrinda"/>
          <w:spacing w:val="1"/>
          <w:lang w:val="es-ES"/>
        </w:rPr>
        <w:t>m</w:t>
      </w:r>
      <w:r w:rsidRPr="00496F49">
        <w:rPr>
          <w:rFonts w:eastAsia="Arial" w:cs="Vrinda"/>
          <w:spacing w:val="-1"/>
          <w:lang w:val="es-ES"/>
        </w:rPr>
        <w:t>e</w:t>
      </w:r>
      <w:r w:rsidRPr="00496F49">
        <w:rPr>
          <w:rFonts w:eastAsia="Arial" w:cs="Vrinda"/>
          <w:spacing w:val="1"/>
          <w:lang w:val="es-ES"/>
        </w:rPr>
        <w:t>n</w:t>
      </w:r>
      <w:r w:rsidRPr="00496F49">
        <w:rPr>
          <w:rFonts w:eastAsia="Arial" w:cs="Vrinda"/>
          <w:lang w:val="es-ES"/>
        </w:rPr>
        <w:t>te</w:t>
      </w:r>
      <w:r w:rsidRPr="00496F49">
        <w:rPr>
          <w:rFonts w:eastAsia="Arial" w:cs="Vrinda"/>
          <w:spacing w:val="-3"/>
          <w:lang w:val="es-ES"/>
        </w:rPr>
        <w:t xml:space="preserve"> </w:t>
      </w:r>
      <w:r w:rsidRPr="00496F49">
        <w:rPr>
          <w:rFonts w:eastAsia="Arial" w:cs="Vrinda"/>
          <w:spacing w:val="-2"/>
          <w:lang w:val="es-ES"/>
        </w:rPr>
        <w:t>l</w:t>
      </w:r>
      <w:r w:rsidRPr="00496F49">
        <w:rPr>
          <w:rFonts w:eastAsia="Arial" w:cs="Vrinda"/>
          <w:lang w:val="es-ES"/>
        </w:rPr>
        <w:t>a</w:t>
      </w:r>
      <w:r w:rsidRPr="00496F49">
        <w:rPr>
          <w:rFonts w:eastAsia="Arial" w:cs="Vrinda"/>
          <w:spacing w:val="1"/>
          <w:lang w:val="es-ES"/>
        </w:rPr>
        <w:t xml:space="preserve"> </w:t>
      </w:r>
      <w:r w:rsidR="0061727E" w:rsidRPr="0061727E">
        <w:rPr>
          <w:rFonts w:cs="Vrinda"/>
        </w:rPr>
        <w:t>S</w:t>
      </w:r>
      <w:r w:rsidRPr="0061727E">
        <w:rPr>
          <w:rFonts w:eastAsia="Arial" w:cs="Vrinda"/>
          <w:spacing w:val="-1"/>
          <w:lang w:val="es-ES"/>
        </w:rPr>
        <w:t>e</w:t>
      </w:r>
      <w:r w:rsidRPr="0061727E">
        <w:rPr>
          <w:rFonts w:eastAsia="Arial" w:cs="Vrinda"/>
          <w:spacing w:val="1"/>
          <w:lang w:val="es-ES"/>
        </w:rPr>
        <w:t>n</w:t>
      </w:r>
      <w:r w:rsidRPr="0061727E">
        <w:rPr>
          <w:rFonts w:eastAsia="Arial" w:cs="Vrinda"/>
          <w:lang w:val="es-ES"/>
        </w:rPr>
        <w:t>t</w:t>
      </w:r>
      <w:r w:rsidRPr="0061727E">
        <w:rPr>
          <w:rFonts w:eastAsia="Arial" w:cs="Vrinda"/>
          <w:spacing w:val="-1"/>
          <w:lang w:val="es-ES"/>
        </w:rPr>
        <w:t>e</w:t>
      </w:r>
      <w:r w:rsidRPr="0061727E">
        <w:rPr>
          <w:rFonts w:eastAsia="Arial" w:cs="Vrinda"/>
          <w:spacing w:val="1"/>
          <w:lang w:val="es-ES"/>
        </w:rPr>
        <w:t>n</w:t>
      </w:r>
      <w:r w:rsidRPr="0061727E">
        <w:rPr>
          <w:rFonts w:eastAsia="Arial" w:cs="Vrinda"/>
          <w:lang w:val="es-ES"/>
        </w:rPr>
        <w:t>cia. Asimismo, los representantes alegaron que, dada la estigmatización asociada al VIH/SIDA, previo a la publicación</w:t>
      </w:r>
      <w:r w:rsidR="0061727E">
        <w:rPr>
          <w:rFonts w:eastAsia="Arial" w:cs="Vrinda"/>
          <w:lang w:val="es-ES"/>
        </w:rPr>
        <w:t>,</w:t>
      </w:r>
      <w:r w:rsidRPr="0061727E">
        <w:rPr>
          <w:rFonts w:eastAsia="Arial" w:cs="Vrinda"/>
          <w:lang w:val="es-ES"/>
        </w:rPr>
        <w:t xml:space="preserve"> el Estado deberá consultar a las víctimas si desean que su nombre sea incluido en esta publicación, o si por el contrario desean q</w:t>
      </w:r>
      <w:r w:rsidR="0061727E" w:rsidRPr="0061727E">
        <w:rPr>
          <w:rFonts w:eastAsia="Arial" w:cs="Vrinda"/>
          <w:lang w:val="es-ES"/>
        </w:rPr>
        <w:t xml:space="preserve">ue este sea excluido. </w:t>
      </w:r>
      <w:r w:rsidRPr="0061727E">
        <w:rPr>
          <w:rFonts w:eastAsia="Arial" w:cs="Vrinda"/>
          <w:spacing w:val="1"/>
          <w:lang w:val="es-ES"/>
        </w:rPr>
        <w:t xml:space="preserve">Ni el </w:t>
      </w:r>
      <w:r w:rsidRPr="0061727E">
        <w:rPr>
          <w:rFonts w:eastAsia="Arial" w:cs="Vrinda"/>
          <w:b/>
          <w:i/>
          <w:spacing w:val="1"/>
          <w:lang w:val="es-ES"/>
        </w:rPr>
        <w:t>Estado</w:t>
      </w:r>
      <w:r w:rsidRPr="0061727E">
        <w:rPr>
          <w:rFonts w:eastAsia="Arial" w:cs="Vrinda"/>
          <w:spacing w:val="1"/>
          <w:lang w:val="es-ES"/>
        </w:rPr>
        <w:t xml:space="preserve"> ni la </w:t>
      </w:r>
      <w:r w:rsidRPr="0061727E">
        <w:rPr>
          <w:rFonts w:eastAsia="Arial" w:cs="Vrinda"/>
          <w:b/>
          <w:i/>
          <w:spacing w:val="1"/>
          <w:lang w:val="es-ES"/>
        </w:rPr>
        <w:t>Comisión</w:t>
      </w:r>
      <w:r w:rsidRPr="0061727E">
        <w:rPr>
          <w:rFonts w:eastAsia="Arial" w:cs="Vrinda"/>
          <w:spacing w:val="1"/>
          <w:lang w:val="es-ES"/>
        </w:rPr>
        <w:t xml:space="preserve"> se refirieron a la solicitud presentada.</w:t>
      </w:r>
    </w:p>
    <w:p w14:paraId="00036BC7" w14:textId="77777777" w:rsidR="0061727E" w:rsidRPr="0061727E" w:rsidRDefault="0061727E" w:rsidP="0061727E">
      <w:pPr>
        <w:tabs>
          <w:tab w:val="left" w:pos="709"/>
          <w:tab w:val="left" w:pos="1134"/>
        </w:tabs>
        <w:ind w:right="-4"/>
        <w:rPr>
          <w:rFonts w:cs="Vrinda"/>
          <w:b/>
        </w:rPr>
      </w:pPr>
    </w:p>
    <w:p w14:paraId="1039731E" w14:textId="6804E6FB" w:rsidR="009F0CB9" w:rsidRDefault="00E841F7" w:rsidP="00E841F7">
      <w:pPr>
        <w:rPr>
          <w:rFonts w:cs="Vrinda"/>
          <w:b/>
          <w:i/>
          <w:lang w:val="es-ES"/>
        </w:rPr>
      </w:pPr>
      <w:r>
        <w:rPr>
          <w:rFonts w:cs="Vrinda"/>
          <w:b/>
          <w:i/>
          <w:lang w:val="es-ES"/>
        </w:rPr>
        <w:tab/>
      </w:r>
      <w:r>
        <w:rPr>
          <w:rFonts w:cs="Vrinda"/>
          <w:b/>
          <w:i/>
          <w:lang w:val="es-ES"/>
        </w:rPr>
        <w:tab/>
      </w:r>
      <w:r>
        <w:rPr>
          <w:rFonts w:cs="Vrinda"/>
          <w:b/>
          <w:i/>
          <w:lang w:val="es-ES"/>
        </w:rPr>
        <w:tab/>
      </w:r>
      <w:r w:rsidR="009F0CB9">
        <w:rPr>
          <w:rFonts w:cs="Vrinda"/>
          <w:b/>
          <w:i/>
          <w:lang w:val="es-ES"/>
        </w:rPr>
        <w:t>B.2</w:t>
      </w:r>
      <w:r w:rsidR="009F0CB9" w:rsidRPr="00F63F5C">
        <w:rPr>
          <w:rFonts w:cs="Vrinda"/>
          <w:b/>
          <w:i/>
          <w:lang w:val="es-ES"/>
        </w:rPr>
        <w:t>.</w:t>
      </w:r>
      <w:r>
        <w:rPr>
          <w:rFonts w:cs="Vrinda"/>
          <w:b/>
          <w:i/>
          <w:lang w:val="es-ES"/>
        </w:rPr>
        <w:t>2</w:t>
      </w:r>
      <w:r w:rsidR="009F0CB9">
        <w:rPr>
          <w:rFonts w:cs="Vrinda"/>
          <w:b/>
          <w:i/>
          <w:lang w:val="es-ES"/>
        </w:rPr>
        <w:t>.2. Consideraciones de la Corte</w:t>
      </w:r>
    </w:p>
    <w:p w14:paraId="51DDF180" w14:textId="77777777" w:rsidR="0061727E" w:rsidRPr="009F0CB9" w:rsidRDefault="0061727E" w:rsidP="0061727E">
      <w:pPr>
        <w:tabs>
          <w:tab w:val="left" w:pos="709"/>
          <w:tab w:val="left" w:pos="1134"/>
        </w:tabs>
        <w:ind w:right="-4"/>
        <w:rPr>
          <w:rFonts w:cs="Vrinda"/>
        </w:rPr>
      </w:pPr>
    </w:p>
    <w:p w14:paraId="16D62B9C" w14:textId="61C603B6" w:rsidR="006F704E" w:rsidRPr="0061727E" w:rsidRDefault="00BE50E7" w:rsidP="0061727E">
      <w:pPr>
        <w:numPr>
          <w:ilvl w:val="0"/>
          <w:numId w:val="3"/>
        </w:numPr>
        <w:tabs>
          <w:tab w:val="left" w:pos="709"/>
          <w:tab w:val="left" w:pos="1134"/>
        </w:tabs>
        <w:ind w:left="0" w:right="-4" w:firstLine="0"/>
        <w:rPr>
          <w:rFonts w:cs="Vrinda"/>
        </w:rPr>
      </w:pPr>
      <w:r>
        <w:rPr>
          <w:rFonts w:eastAsia="Arial" w:cs="Vrinda"/>
          <w:spacing w:val="1"/>
          <w:lang w:val="es-ES"/>
        </w:rPr>
        <w:t>L</w:t>
      </w:r>
      <w:r w:rsidR="006F704E" w:rsidRPr="0060216C">
        <w:rPr>
          <w:rFonts w:eastAsia="Arial" w:cs="Vrinda"/>
          <w:spacing w:val="1"/>
          <w:lang w:val="es-ES"/>
        </w:rPr>
        <w:t xml:space="preserve">a jurisprudencia internacional ha establecido que la Sentencia constituye </w:t>
      </w:r>
      <w:r w:rsidR="006F704E" w:rsidRPr="0060216C">
        <w:rPr>
          <w:rFonts w:eastAsia="Arial" w:cs="Vrinda"/>
          <w:i/>
          <w:spacing w:val="1"/>
          <w:lang w:val="es-ES"/>
        </w:rPr>
        <w:t>per se</w:t>
      </w:r>
      <w:r w:rsidR="006F704E" w:rsidRPr="0060216C">
        <w:rPr>
          <w:rFonts w:eastAsia="Arial" w:cs="Vrinda"/>
          <w:spacing w:val="1"/>
          <w:lang w:val="es-ES"/>
        </w:rPr>
        <w:t xml:space="preserve"> una forma de reparación</w:t>
      </w:r>
      <w:r w:rsidR="006F704E" w:rsidRPr="0060216C">
        <w:rPr>
          <w:rStyle w:val="Refdenotaalpie"/>
          <w:rFonts w:eastAsia="Arial" w:cs="Vrinda"/>
          <w:spacing w:val="1"/>
          <w:lang w:val="es-ES"/>
        </w:rPr>
        <w:footnoteReference w:id="249"/>
      </w:r>
      <w:r w:rsidR="006F704E" w:rsidRPr="0060216C">
        <w:rPr>
          <w:rFonts w:eastAsia="Arial" w:cs="Vrinda"/>
          <w:spacing w:val="1"/>
          <w:lang w:val="es-ES"/>
        </w:rPr>
        <w:t>. No obstante, l</w:t>
      </w:r>
      <w:r w:rsidR="006F704E" w:rsidRPr="0060216C">
        <w:rPr>
          <w:lang w:val="es-ES"/>
        </w:rPr>
        <w:t xml:space="preserve">a </w:t>
      </w:r>
      <w:r w:rsidR="006F704E" w:rsidRPr="0060216C">
        <w:t xml:space="preserve">Corte considera pertinente ordenar, como lo ha hecho </w:t>
      </w:r>
      <w:r w:rsidR="006F704E" w:rsidRPr="0060216C">
        <w:lastRenderedPageBreak/>
        <w:t>en otros casos</w:t>
      </w:r>
      <w:r w:rsidR="006F704E" w:rsidRPr="0060216C">
        <w:rPr>
          <w:vertAlign w:val="superscript"/>
          <w:lang w:val="es-ES"/>
        </w:rPr>
        <w:footnoteReference w:id="250"/>
      </w:r>
      <w:r w:rsidR="006F704E" w:rsidRPr="0060216C">
        <w:rPr>
          <w:lang w:val="es-ES"/>
        </w:rPr>
        <w:t xml:space="preserve">, </w:t>
      </w:r>
      <w:r w:rsidR="006F704E" w:rsidRPr="0060216C">
        <w:t>que el Estado, en el plazo de seis meses, contado a partir de la notificación de la presente Sentencia, realice las siguientes publicaciones</w:t>
      </w:r>
      <w:r w:rsidR="0061727E">
        <w:rPr>
          <w:lang w:val="es-ES"/>
        </w:rPr>
        <w:t>: i</w:t>
      </w:r>
      <w:r w:rsidR="006F704E" w:rsidRPr="0060216C">
        <w:rPr>
          <w:lang w:val="es-ES"/>
        </w:rPr>
        <w:t xml:space="preserve">) el resumen oficial de la Sentencia elaborado por la Corte, por una sola vez, en el diario oficial </w:t>
      </w:r>
      <w:r w:rsidR="006F704E" w:rsidRPr="0060216C">
        <w:t>y en un diario de amplia circulación nacional, en un tamaño de letra legible y adecuado</w:t>
      </w:r>
      <w:r w:rsidR="0061727E">
        <w:rPr>
          <w:lang w:val="es-ES"/>
        </w:rPr>
        <w:t>, y ii</w:t>
      </w:r>
      <w:r w:rsidR="006F704E" w:rsidRPr="0060216C">
        <w:rPr>
          <w:lang w:val="es-ES"/>
        </w:rPr>
        <w:t>) la presente Sentencia en su integridad, disponible al menos por un período de un año, en el sitio web oficial del Ministerio de Salud Pública y del Instituto Guatemalteco de Seguridad Social, de manera accesible al público desde la página de inicio de los referidos sitios web.</w:t>
      </w:r>
      <w:bookmarkStart w:id="117" w:name="_Ref512872803"/>
    </w:p>
    <w:p w14:paraId="3B5DDA4B" w14:textId="77777777" w:rsidR="0061727E" w:rsidRPr="0060216C" w:rsidRDefault="0061727E" w:rsidP="0061727E">
      <w:pPr>
        <w:tabs>
          <w:tab w:val="left" w:pos="709"/>
          <w:tab w:val="left" w:pos="1134"/>
        </w:tabs>
        <w:ind w:right="-4"/>
        <w:rPr>
          <w:rFonts w:cs="Vrinda"/>
        </w:rPr>
      </w:pPr>
    </w:p>
    <w:p w14:paraId="6E750521" w14:textId="5A8D73F8" w:rsidR="00BE50E7" w:rsidRPr="0061727E" w:rsidRDefault="006F704E" w:rsidP="0061727E">
      <w:pPr>
        <w:numPr>
          <w:ilvl w:val="0"/>
          <w:numId w:val="3"/>
        </w:numPr>
        <w:tabs>
          <w:tab w:val="left" w:pos="709"/>
          <w:tab w:val="left" w:pos="1134"/>
        </w:tabs>
        <w:ind w:left="0" w:right="-4" w:firstLine="0"/>
        <w:rPr>
          <w:rFonts w:cs="Vrinda"/>
        </w:rPr>
      </w:pPr>
      <w:r w:rsidRPr="0060216C">
        <w:rPr>
          <w:lang w:val="es-ES"/>
        </w:rPr>
        <w:t>Las víctimas deberán informar en un plazo de tres meses, contado</w:t>
      </w:r>
      <w:r w:rsidRPr="0060216C">
        <w:t xml:space="preserve"> a partir de la notificación de esta Sentencia, si desean que sus nombres sean incluidos en las publicaciones señaladas en el párrafo anterior. El Estado deberá́ informar de forma inmediata a esta Corte una vez que proceda a realizar cada una de las publicaciones dispuestas, independientemente del plazo de un año para presentar su primer informe dispuesto en la parte resolutiva de esta Sentencia</w:t>
      </w:r>
      <w:bookmarkEnd w:id="117"/>
      <w:r w:rsidR="00306FCD">
        <w:t>.</w:t>
      </w:r>
    </w:p>
    <w:p w14:paraId="2017F9E7" w14:textId="77777777" w:rsidR="0061727E" w:rsidRPr="00BE50E7" w:rsidRDefault="0061727E" w:rsidP="0061727E">
      <w:pPr>
        <w:tabs>
          <w:tab w:val="left" w:pos="709"/>
          <w:tab w:val="left" w:pos="1134"/>
        </w:tabs>
        <w:ind w:right="-4"/>
        <w:rPr>
          <w:rFonts w:cs="Vrinda"/>
        </w:rPr>
      </w:pPr>
    </w:p>
    <w:p w14:paraId="61DA9EB7" w14:textId="4F4D5175" w:rsidR="0061727E" w:rsidRPr="00E841F7" w:rsidRDefault="00E841F7" w:rsidP="00E841F7">
      <w:pPr>
        <w:rPr>
          <w:rFonts w:cs="Vrinda"/>
          <w:b/>
          <w:i/>
          <w:lang w:val="es-ES"/>
        </w:rPr>
      </w:pPr>
      <w:r w:rsidRPr="00E841F7">
        <w:rPr>
          <w:rFonts w:cs="Vrinda"/>
          <w:b/>
          <w:i/>
          <w:lang w:val="es-ES"/>
        </w:rPr>
        <w:tab/>
      </w:r>
      <w:r w:rsidRPr="00E841F7">
        <w:rPr>
          <w:rFonts w:cs="Vrinda"/>
          <w:b/>
          <w:i/>
          <w:lang w:val="es-ES"/>
        </w:rPr>
        <w:tab/>
      </w:r>
      <w:r w:rsidRPr="00E841F7">
        <w:rPr>
          <w:rFonts w:cs="Vrinda"/>
          <w:b/>
          <w:i/>
          <w:lang w:val="es-ES"/>
        </w:rPr>
        <w:tab/>
      </w:r>
      <w:r w:rsidR="009F5859" w:rsidRPr="00E841F7">
        <w:rPr>
          <w:rFonts w:cs="Vrinda"/>
          <w:b/>
          <w:i/>
          <w:lang w:val="es-ES"/>
        </w:rPr>
        <w:t>B.2.3. Becas de estudio</w:t>
      </w:r>
    </w:p>
    <w:p w14:paraId="69993BE1" w14:textId="77777777" w:rsidR="0061727E" w:rsidRPr="0061727E" w:rsidRDefault="0061727E" w:rsidP="0061727E">
      <w:pPr>
        <w:tabs>
          <w:tab w:val="left" w:pos="709"/>
          <w:tab w:val="left" w:pos="1134"/>
        </w:tabs>
        <w:ind w:right="-4"/>
      </w:pPr>
    </w:p>
    <w:p w14:paraId="3B83D91F" w14:textId="6283B54E" w:rsidR="009F5859" w:rsidRPr="00E841F7" w:rsidRDefault="00E841F7" w:rsidP="00E841F7">
      <w:pPr>
        <w:rPr>
          <w:rFonts w:cs="Vrinda"/>
          <w:b/>
          <w:i/>
          <w:lang w:val="es-ES"/>
        </w:rPr>
      </w:pPr>
      <w:r w:rsidRPr="00E841F7">
        <w:rPr>
          <w:rFonts w:cs="Vrinda"/>
          <w:b/>
          <w:i/>
          <w:lang w:val="es-ES"/>
        </w:rPr>
        <w:tab/>
      </w:r>
      <w:r w:rsidRPr="00E841F7">
        <w:rPr>
          <w:rFonts w:cs="Vrinda"/>
          <w:b/>
          <w:i/>
          <w:lang w:val="es-ES"/>
        </w:rPr>
        <w:tab/>
      </w:r>
      <w:r w:rsidRPr="00E841F7">
        <w:rPr>
          <w:rFonts w:cs="Vrinda"/>
          <w:b/>
          <w:i/>
          <w:lang w:val="es-ES"/>
        </w:rPr>
        <w:tab/>
      </w:r>
      <w:r w:rsidR="009F5859" w:rsidRPr="00E841F7">
        <w:rPr>
          <w:rFonts w:cs="Vrinda"/>
          <w:b/>
          <w:i/>
          <w:lang w:val="es-ES"/>
        </w:rPr>
        <w:t>B.2.3.1. Argumentos de la Comisión y alegatos de las partes</w:t>
      </w:r>
    </w:p>
    <w:p w14:paraId="7B81A0F2" w14:textId="77777777" w:rsidR="0061727E" w:rsidRPr="0061727E" w:rsidRDefault="0061727E" w:rsidP="0061727E">
      <w:pPr>
        <w:tabs>
          <w:tab w:val="left" w:pos="709"/>
          <w:tab w:val="left" w:pos="1134"/>
        </w:tabs>
        <w:ind w:right="-4"/>
      </w:pPr>
    </w:p>
    <w:p w14:paraId="7F65591E" w14:textId="3AB6910F" w:rsidR="009F5859" w:rsidRPr="0061727E" w:rsidRDefault="009F5859" w:rsidP="0061727E">
      <w:pPr>
        <w:numPr>
          <w:ilvl w:val="0"/>
          <w:numId w:val="3"/>
        </w:numPr>
        <w:tabs>
          <w:tab w:val="left" w:pos="709"/>
          <w:tab w:val="left" w:pos="1134"/>
        </w:tabs>
        <w:ind w:left="0" w:right="-4" w:firstLine="0"/>
        <w:rPr>
          <w:rFonts w:cs="Vrinda"/>
          <w:noProof w:val="0"/>
        </w:rPr>
      </w:pPr>
      <w:r w:rsidRPr="0060216C">
        <w:rPr>
          <w:rFonts w:cs="Vrinda"/>
          <w:lang w:val="es-ES"/>
        </w:rPr>
        <w:t>L</w:t>
      </w:r>
      <w:r>
        <w:rPr>
          <w:rFonts w:cs="Vrinda"/>
          <w:lang w:val="es-ES"/>
        </w:rPr>
        <w:t xml:space="preserve">os </w:t>
      </w:r>
      <w:r w:rsidRPr="00063794">
        <w:rPr>
          <w:rFonts w:cs="Vrinda"/>
          <w:b/>
          <w:i/>
          <w:lang w:val="es-ES"/>
        </w:rPr>
        <w:t>representantes</w:t>
      </w:r>
      <w:r>
        <w:rPr>
          <w:rFonts w:cs="Vrinda"/>
          <w:b/>
          <w:i/>
          <w:lang w:val="es-ES"/>
        </w:rPr>
        <w:t xml:space="preserve"> </w:t>
      </w:r>
      <w:r w:rsidRPr="000148F2">
        <w:rPr>
          <w:rFonts w:cs="Vrinda"/>
          <w:lang w:val="es-ES"/>
        </w:rPr>
        <w:t>solicitaron que la Corte ordene al Estado que otorgue una beca de estudios a las víctimas que así lo deseen, la cual deberá cubrir todos los gastos hasta la completa finalización de sus estudios.</w:t>
      </w:r>
      <w:r w:rsidR="00BE50E7">
        <w:rPr>
          <w:rFonts w:cs="Vrinda"/>
          <w:lang w:val="es-ES"/>
        </w:rPr>
        <w:t xml:space="preserve"> </w:t>
      </w:r>
      <w:r w:rsidRPr="00BE50E7">
        <w:rPr>
          <w:rFonts w:eastAsia="Arial" w:cs="Vrinda"/>
          <w:spacing w:val="1"/>
          <w:lang w:val="es-ES"/>
        </w:rPr>
        <w:t xml:space="preserve">Ni el </w:t>
      </w:r>
      <w:r w:rsidRPr="00BE50E7">
        <w:rPr>
          <w:rFonts w:eastAsia="Arial" w:cs="Vrinda"/>
          <w:b/>
          <w:i/>
          <w:spacing w:val="1"/>
          <w:lang w:val="es-ES"/>
        </w:rPr>
        <w:t>Estado</w:t>
      </w:r>
      <w:r w:rsidRPr="00BE50E7">
        <w:rPr>
          <w:rFonts w:eastAsia="Arial" w:cs="Vrinda"/>
          <w:spacing w:val="1"/>
          <w:lang w:val="es-ES"/>
        </w:rPr>
        <w:t xml:space="preserve"> ni la </w:t>
      </w:r>
      <w:r w:rsidRPr="00BE50E7">
        <w:rPr>
          <w:rFonts w:eastAsia="Arial" w:cs="Vrinda"/>
          <w:b/>
          <w:i/>
          <w:spacing w:val="1"/>
          <w:lang w:val="es-ES"/>
        </w:rPr>
        <w:t>Comisión</w:t>
      </w:r>
      <w:r w:rsidRPr="00BE50E7">
        <w:rPr>
          <w:rFonts w:eastAsia="Arial" w:cs="Vrinda"/>
          <w:spacing w:val="1"/>
          <w:lang w:val="es-ES"/>
        </w:rPr>
        <w:t xml:space="preserve"> se refirieron a las solicitudes presentadas.</w:t>
      </w:r>
    </w:p>
    <w:p w14:paraId="575BE0F5" w14:textId="77777777" w:rsidR="0061727E" w:rsidRPr="00BE50E7" w:rsidRDefault="0061727E" w:rsidP="0061727E">
      <w:pPr>
        <w:tabs>
          <w:tab w:val="left" w:pos="709"/>
          <w:tab w:val="left" w:pos="1134"/>
        </w:tabs>
        <w:ind w:right="-4"/>
        <w:rPr>
          <w:rFonts w:cs="Vrinda"/>
          <w:noProof w:val="0"/>
        </w:rPr>
      </w:pPr>
    </w:p>
    <w:p w14:paraId="7B04F09E" w14:textId="5979874F" w:rsidR="0061727E" w:rsidRPr="00E841F7" w:rsidRDefault="00E841F7" w:rsidP="00E841F7">
      <w:pPr>
        <w:rPr>
          <w:rFonts w:cs="Vrinda"/>
          <w:b/>
          <w:i/>
          <w:lang w:val="es-ES"/>
        </w:rPr>
      </w:pPr>
      <w:r>
        <w:rPr>
          <w:rFonts w:cs="Vrinda"/>
          <w:b/>
          <w:i/>
          <w:lang w:val="es-ES"/>
        </w:rPr>
        <w:tab/>
      </w:r>
      <w:r>
        <w:rPr>
          <w:rFonts w:cs="Vrinda"/>
          <w:b/>
          <w:i/>
          <w:lang w:val="es-ES"/>
        </w:rPr>
        <w:tab/>
      </w:r>
      <w:r>
        <w:rPr>
          <w:rFonts w:cs="Vrinda"/>
          <w:b/>
          <w:i/>
          <w:lang w:val="es-ES"/>
        </w:rPr>
        <w:tab/>
      </w:r>
      <w:r w:rsidR="009F5859" w:rsidRPr="00E841F7">
        <w:rPr>
          <w:rFonts w:cs="Vrinda"/>
          <w:b/>
          <w:i/>
          <w:lang w:val="es-ES"/>
        </w:rPr>
        <w:t>B.2.3.2. Consideraciones de la Corte</w:t>
      </w:r>
    </w:p>
    <w:p w14:paraId="48FE2D15" w14:textId="77777777" w:rsidR="0061727E" w:rsidRPr="0061727E" w:rsidRDefault="0061727E" w:rsidP="0061727E">
      <w:pPr>
        <w:tabs>
          <w:tab w:val="left" w:pos="709"/>
          <w:tab w:val="left" w:pos="1134"/>
        </w:tabs>
        <w:ind w:right="-4"/>
      </w:pPr>
    </w:p>
    <w:p w14:paraId="325DF5E7" w14:textId="42C53935" w:rsidR="00F12B1C" w:rsidRPr="0061727E" w:rsidRDefault="00BE50E7" w:rsidP="0061727E">
      <w:pPr>
        <w:numPr>
          <w:ilvl w:val="0"/>
          <w:numId w:val="3"/>
        </w:numPr>
        <w:tabs>
          <w:tab w:val="left" w:pos="709"/>
          <w:tab w:val="left" w:pos="1134"/>
        </w:tabs>
        <w:ind w:left="0" w:right="-4" w:firstLine="0"/>
        <w:rPr>
          <w:rFonts w:cs="Vrinda"/>
        </w:rPr>
      </w:pPr>
      <w:r>
        <w:rPr>
          <w:rFonts w:cs="Vrinda"/>
          <w:lang w:val="es-ES"/>
        </w:rPr>
        <w:t>La Corte ha considerado oportuno ordenar como medida de satisfacción el otorgamiento de becas en instituciones públicas a aquellas víctimas que sufrieron un impacto en su desarrollo personal como resultado de violaciones a sus derechos humanos</w:t>
      </w:r>
      <w:r w:rsidR="00A16156">
        <w:rPr>
          <w:rStyle w:val="Refdenotaalpie"/>
          <w:lang w:val="es-ES"/>
        </w:rPr>
        <w:footnoteReference w:id="251"/>
      </w:r>
      <w:r>
        <w:rPr>
          <w:rFonts w:cs="Vrinda"/>
          <w:lang w:val="es-ES"/>
        </w:rPr>
        <w:t xml:space="preserve">. </w:t>
      </w:r>
      <w:r w:rsidR="009F5859" w:rsidRPr="003E4EBD">
        <w:rPr>
          <w:rFonts w:cs="Vrinda"/>
          <w:lang w:val="es-ES"/>
        </w:rPr>
        <w:t xml:space="preserve">En virtud de la situación económica de las víctimas </w:t>
      </w:r>
      <w:r w:rsidR="009F5859">
        <w:rPr>
          <w:rFonts w:cs="Vrinda"/>
          <w:lang w:val="es-ES"/>
        </w:rPr>
        <w:t>y sus familiares</w:t>
      </w:r>
      <w:r w:rsidR="009F5859" w:rsidRPr="003E4EBD">
        <w:rPr>
          <w:rFonts w:cs="Vrinda"/>
          <w:lang w:val="es-ES"/>
        </w:rPr>
        <w:t xml:space="preserve">, la Corte considera oportuno ordenar al Estado que otorgue </w:t>
      </w:r>
      <w:r w:rsidR="009F5859">
        <w:t>becas para realizar estudios</w:t>
      </w:r>
      <w:r w:rsidR="001F3E7C">
        <w:t xml:space="preserve"> universitarios</w:t>
      </w:r>
      <w:r w:rsidR="009F5859">
        <w:t xml:space="preserve"> en un centro de educación pública en Guatemala a las hijas e hijos de las v</w:t>
      </w:r>
      <w:r w:rsidR="00A16156">
        <w:t>íctimas directas que</w:t>
      </w:r>
      <w:r w:rsidR="001F3E7C">
        <w:t xml:space="preserve"> así lo soliciten</w:t>
      </w:r>
      <w:r w:rsidR="009F5859">
        <w:t xml:space="preserve">. Estas becas </w:t>
      </w:r>
      <w:r w:rsidR="00CC1570">
        <w:t xml:space="preserve">además </w:t>
      </w:r>
      <w:r w:rsidR="009F5859">
        <w:t>deberán cubrir el pago de los materiales necesarios para la realización de sus estudios.</w:t>
      </w:r>
      <w:r w:rsidR="00A16156">
        <w:t xml:space="preserve"> Las víctimas deberán informar en un plazo </w:t>
      </w:r>
      <w:r w:rsidR="00A16156" w:rsidRPr="0060216C">
        <w:rPr>
          <w:lang w:val="es-ES"/>
        </w:rPr>
        <w:t>de tres meses, contado</w:t>
      </w:r>
      <w:r w:rsidR="00A16156" w:rsidRPr="0060216C">
        <w:t xml:space="preserve"> a partir de la notificación de esta Sentencia,</w:t>
      </w:r>
      <w:r w:rsidR="00A16156">
        <w:t xml:space="preserve"> si desean acceder a estas becas.</w:t>
      </w:r>
      <w:r w:rsidR="009F5859">
        <w:t xml:space="preserve"> Esta medida deberá ser cumplida en el plazo de un año, contado a partir de la notificación de la presente Sentencia.</w:t>
      </w:r>
      <w:bookmarkStart w:id="118" w:name="_Toc497737921"/>
    </w:p>
    <w:p w14:paraId="11855B77" w14:textId="77777777" w:rsidR="00E841F7" w:rsidRDefault="00E841F7" w:rsidP="0061727E">
      <w:pPr>
        <w:pStyle w:val="Ttulo3"/>
        <w:spacing w:before="0"/>
        <w:ind w:left="0" w:firstLine="720"/>
        <w:rPr>
          <w:rFonts w:eastAsia="Batang" w:cs="Vrinda"/>
          <w:b w:val="0"/>
          <w:i w:val="0"/>
          <w:noProof/>
          <w:szCs w:val="24"/>
          <w:lang w:val="es-ES_tradnl"/>
        </w:rPr>
      </w:pPr>
    </w:p>
    <w:p w14:paraId="099327B9" w14:textId="6037DB8C" w:rsidR="006F704E"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6F704E" w:rsidRPr="00E841F7">
        <w:rPr>
          <w:rFonts w:eastAsia="Times" w:cs="Arial"/>
          <w:b/>
          <w:szCs w:val="20"/>
          <w:lang w:val="es-MX"/>
        </w:rPr>
        <w:t>B.3</w:t>
      </w:r>
      <w:r w:rsidR="00F63F5C" w:rsidRPr="00E841F7">
        <w:rPr>
          <w:rFonts w:eastAsia="Times" w:cs="Arial"/>
          <w:b/>
          <w:szCs w:val="20"/>
          <w:lang w:val="es-MX"/>
        </w:rPr>
        <w:t>.</w:t>
      </w:r>
      <w:r w:rsidR="006F704E" w:rsidRPr="00E841F7">
        <w:rPr>
          <w:rFonts w:eastAsia="Times" w:cs="Arial"/>
          <w:b/>
          <w:szCs w:val="20"/>
          <w:lang w:val="es-MX"/>
        </w:rPr>
        <w:t xml:space="preserve"> Garantías de no repetición</w:t>
      </w:r>
      <w:bookmarkEnd w:id="118"/>
    </w:p>
    <w:p w14:paraId="427559F1" w14:textId="77777777" w:rsidR="00F12B1C" w:rsidRPr="0061727E" w:rsidRDefault="00F12B1C" w:rsidP="0061727E">
      <w:pPr>
        <w:rPr>
          <w:rFonts w:eastAsiaTheme="minorHAnsi" w:cs="Vrinda"/>
          <w:lang w:val="es-ES"/>
        </w:rPr>
      </w:pPr>
      <w:bookmarkStart w:id="119" w:name="_Toc520238588"/>
    </w:p>
    <w:p w14:paraId="467212D4" w14:textId="6818CAA7" w:rsidR="00F63F5C" w:rsidRDefault="00E841F7" w:rsidP="0061727E">
      <w:pPr>
        <w:rPr>
          <w:rFonts w:eastAsiaTheme="minorHAnsi" w:cs="Vrinda"/>
          <w:b/>
          <w:i/>
          <w:lang w:val="es-ES"/>
        </w:rPr>
      </w:pPr>
      <w:r>
        <w:rPr>
          <w:rFonts w:eastAsiaTheme="minorHAnsi" w:cs="Vrinda"/>
          <w:b/>
          <w:i/>
          <w:lang w:val="es-ES"/>
        </w:rPr>
        <w:tab/>
      </w:r>
      <w:r>
        <w:rPr>
          <w:rFonts w:eastAsiaTheme="minorHAnsi" w:cs="Vrinda"/>
          <w:b/>
          <w:i/>
          <w:lang w:val="es-ES"/>
        </w:rPr>
        <w:tab/>
      </w:r>
      <w:r>
        <w:rPr>
          <w:rFonts w:eastAsiaTheme="minorHAnsi" w:cs="Vrinda"/>
          <w:b/>
          <w:i/>
          <w:lang w:val="es-ES"/>
        </w:rPr>
        <w:tab/>
      </w:r>
      <w:r w:rsidR="00F63F5C">
        <w:rPr>
          <w:rFonts w:eastAsiaTheme="minorHAnsi" w:cs="Vrinda"/>
          <w:b/>
          <w:i/>
          <w:lang w:val="es-ES"/>
        </w:rPr>
        <w:t>B.3.1. Alegatos de la Comisión y de las partes</w:t>
      </w:r>
      <w:bookmarkEnd w:id="119"/>
    </w:p>
    <w:p w14:paraId="68F64C72" w14:textId="77777777" w:rsidR="0061727E" w:rsidRPr="0061727E" w:rsidRDefault="0061727E" w:rsidP="0061727E">
      <w:pPr>
        <w:rPr>
          <w:rFonts w:eastAsiaTheme="minorHAnsi" w:cs="Vrinda"/>
          <w:lang w:val="es-ES"/>
        </w:rPr>
      </w:pPr>
    </w:p>
    <w:p w14:paraId="7158DEB3" w14:textId="3ED35A1C" w:rsidR="006F704E" w:rsidRDefault="006F704E" w:rsidP="0061727E">
      <w:pPr>
        <w:numPr>
          <w:ilvl w:val="0"/>
          <w:numId w:val="3"/>
        </w:numPr>
        <w:tabs>
          <w:tab w:val="left" w:pos="709"/>
          <w:tab w:val="left" w:pos="1134"/>
        </w:tabs>
        <w:ind w:left="0" w:right="-4" w:firstLine="0"/>
        <w:rPr>
          <w:rFonts w:cs="Vrinda"/>
          <w:noProof w:val="0"/>
        </w:rPr>
      </w:pPr>
      <w:r w:rsidRPr="0060216C">
        <w:rPr>
          <w:rFonts w:cs="Vrinda"/>
          <w:lang w:val="es-ES"/>
        </w:rPr>
        <w:t xml:space="preserve">La </w:t>
      </w:r>
      <w:r w:rsidRPr="0060216C">
        <w:rPr>
          <w:rFonts w:cs="Vrinda"/>
          <w:b/>
          <w:i/>
        </w:rPr>
        <w:t>Comisión</w:t>
      </w:r>
      <w:r w:rsidRPr="0060216C">
        <w:rPr>
          <w:rFonts w:cs="Vrinda"/>
        </w:rPr>
        <w:t xml:space="preserve"> solicitó que la Corte ordene al Estado: i) la provisión de tratamiento y atención en salud gratuita, integral e ininterrumpida a las personas </w:t>
      </w:r>
      <w:r w:rsidR="00D92087">
        <w:rPr>
          <w:rFonts w:cs="Vrinda"/>
        </w:rPr>
        <w:t xml:space="preserve">que viven </w:t>
      </w:r>
      <w:r w:rsidRPr="0060216C">
        <w:rPr>
          <w:rFonts w:cs="Vrinda"/>
        </w:rPr>
        <w:t>con</w:t>
      </w:r>
      <w:r w:rsidR="00D92087">
        <w:rPr>
          <w:rFonts w:cs="Vrinda"/>
        </w:rPr>
        <w:t xml:space="preserve"> el</w:t>
      </w:r>
      <w:r w:rsidRPr="0060216C">
        <w:rPr>
          <w:rFonts w:cs="Vrinda"/>
        </w:rPr>
        <w:t xml:space="preserve"> VIH/SIDA que no</w:t>
      </w:r>
      <w:r w:rsidR="00462F6A">
        <w:rPr>
          <w:rFonts w:cs="Vrinda"/>
        </w:rPr>
        <w:t xml:space="preserve"> cuenten con recursos para ello,</w:t>
      </w:r>
      <w:r w:rsidRPr="0060216C">
        <w:rPr>
          <w:rFonts w:cs="Vrinda"/>
        </w:rPr>
        <w:t xml:space="preserve"> ii) la implementación de mecanismos serios y efectivos de supervisión y fiscalización periódica de los hospitales públicos a fin de asegurar que se brinde una atención integral en materia de salud a las personas </w:t>
      </w:r>
      <w:r w:rsidR="00D92087">
        <w:rPr>
          <w:rFonts w:cs="Vrinda"/>
        </w:rPr>
        <w:t xml:space="preserve">que viven </w:t>
      </w:r>
      <w:r w:rsidRPr="0060216C">
        <w:rPr>
          <w:rFonts w:cs="Vrinda"/>
        </w:rPr>
        <w:t>con</w:t>
      </w:r>
      <w:r w:rsidR="00D92087">
        <w:rPr>
          <w:rFonts w:cs="Vrinda"/>
        </w:rPr>
        <w:t xml:space="preserve"> el</w:t>
      </w:r>
      <w:r w:rsidRPr="0060216C">
        <w:rPr>
          <w:rFonts w:cs="Vrinda"/>
        </w:rPr>
        <w:t xml:space="preserve"> VIH/SIDA </w:t>
      </w:r>
      <w:r w:rsidRPr="0060216C">
        <w:rPr>
          <w:rFonts w:cs="Vrinda"/>
        </w:rPr>
        <w:lastRenderedPageBreak/>
        <w:t>que no cuenten con recursos para ello, y iii) la implementación de programas de capacitación al personal de hospitales públicos a fin de asegurar que ejerzan sus labores de manera compatible con los estándares reconocidos internacionalmente y descritos en el Informe de Fondo</w:t>
      </w:r>
      <w:r w:rsidR="0061727E">
        <w:rPr>
          <w:rFonts w:cs="Vrinda"/>
        </w:rPr>
        <w:t>.</w:t>
      </w:r>
    </w:p>
    <w:p w14:paraId="40024603" w14:textId="77777777" w:rsidR="0061727E" w:rsidRPr="0060216C" w:rsidRDefault="0061727E" w:rsidP="0061727E">
      <w:pPr>
        <w:tabs>
          <w:tab w:val="left" w:pos="709"/>
          <w:tab w:val="left" w:pos="1134"/>
        </w:tabs>
        <w:ind w:right="-4"/>
        <w:rPr>
          <w:rFonts w:cs="Vrinda"/>
          <w:noProof w:val="0"/>
        </w:rPr>
      </w:pPr>
    </w:p>
    <w:p w14:paraId="79645D34" w14:textId="7494B89B" w:rsidR="006F704E" w:rsidRPr="0061727E" w:rsidRDefault="006F704E" w:rsidP="0061727E">
      <w:pPr>
        <w:numPr>
          <w:ilvl w:val="0"/>
          <w:numId w:val="3"/>
        </w:numPr>
        <w:tabs>
          <w:tab w:val="left" w:pos="709"/>
          <w:tab w:val="left" w:pos="1134"/>
        </w:tabs>
        <w:ind w:left="0" w:right="-4" w:firstLine="0"/>
        <w:rPr>
          <w:rFonts w:eastAsia="Arial" w:cs="Vrinda"/>
          <w:b/>
          <w:i/>
          <w:lang w:val="es-CR"/>
        </w:rPr>
      </w:pPr>
      <w:r w:rsidRPr="00BE739A">
        <w:rPr>
          <w:rFonts w:cs="Vrinda"/>
          <w:lang w:val="es-ES"/>
        </w:rPr>
        <w:t xml:space="preserve">Por su parte, los </w:t>
      </w:r>
      <w:r w:rsidRPr="00BE739A">
        <w:rPr>
          <w:rFonts w:cs="Vrinda"/>
          <w:b/>
          <w:i/>
          <w:lang w:val="es-ES"/>
        </w:rPr>
        <w:t>representantes</w:t>
      </w:r>
      <w:r w:rsidRPr="00BE739A">
        <w:rPr>
          <w:rFonts w:cs="Vrinda"/>
          <w:lang w:val="es-ES"/>
        </w:rPr>
        <w:t xml:space="preserve"> solicitaron que se ordene al Estado, en primer lugar, que tome medidas para garantizar la atención integral y adecuada a las personas </w:t>
      </w:r>
      <w:r w:rsidR="00D92087">
        <w:rPr>
          <w:rFonts w:cs="Vrinda"/>
          <w:lang w:val="es-ES"/>
        </w:rPr>
        <w:t xml:space="preserve">que viven </w:t>
      </w:r>
      <w:r w:rsidRPr="00BE739A">
        <w:rPr>
          <w:rFonts w:cs="Vrinda"/>
          <w:lang w:val="es-ES"/>
        </w:rPr>
        <w:t>con</w:t>
      </w:r>
      <w:r w:rsidR="00D92087">
        <w:rPr>
          <w:rFonts w:cs="Vrinda"/>
          <w:lang w:val="es-ES"/>
        </w:rPr>
        <w:t xml:space="preserve"> el</w:t>
      </w:r>
      <w:r w:rsidRPr="00BE739A">
        <w:rPr>
          <w:rFonts w:cs="Vrinda"/>
          <w:lang w:val="es-ES"/>
        </w:rPr>
        <w:t xml:space="preserve"> VIH en Guatemala. </w:t>
      </w:r>
      <w:r w:rsidR="000D4FDD">
        <w:rPr>
          <w:rFonts w:cs="Vrinda"/>
          <w:lang w:val="es-ES"/>
        </w:rPr>
        <w:t xml:space="preserve">Estas medidas incluyen: </w:t>
      </w:r>
      <w:r w:rsidRPr="00BE739A">
        <w:rPr>
          <w:rFonts w:cs="Vrinda"/>
          <w:lang w:val="es-ES"/>
        </w:rPr>
        <w:t>i) la creación de una base de datos y sistema de información único sobre la epidemia</w:t>
      </w:r>
      <w:r w:rsidR="00D92087">
        <w:rPr>
          <w:rFonts w:cs="Vrinda"/>
          <w:lang w:val="es-ES"/>
        </w:rPr>
        <w:t xml:space="preserve"> de</w:t>
      </w:r>
      <w:r w:rsidRPr="00BE739A">
        <w:rPr>
          <w:rFonts w:cs="Vrinda"/>
          <w:lang w:val="es-ES"/>
        </w:rPr>
        <w:t xml:space="preserve"> VIH</w:t>
      </w:r>
      <w:r w:rsidR="00462F6A">
        <w:rPr>
          <w:rFonts w:cs="Vrinda"/>
          <w:lang w:val="es-ES"/>
        </w:rPr>
        <w:t>,</w:t>
      </w:r>
      <w:r w:rsidR="000D4FDD">
        <w:rPr>
          <w:rFonts w:cs="Vrinda"/>
          <w:lang w:val="es-ES"/>
        </w:rPr>
        <w:t xml:space="preserve"> </w:t>
      </w:r>
      <w:r w:rsidRPr="00BE739A">
        <w:rPr>
          <w:rFonts w:cs="Vrinda"/>
          <w:lang w:val="es-ES"/>
        </w:rPr>
        <w:t>ii) la elaboración de un diagnóstico sobre las barreras legales y administrativas que impiden el abastecimiento permanente de medicamentos ARV y adopt</w:t>
      </w:r>
      <w:r w:rsidR="00462F6A">
        <w:rPr>
          <w:rFonts w:cs="Vrinda"/>
          <w:lang w:val="es-ES"/>
        </w:rPr>
        <w:t>ar medidas con base en ello,</w:t>
      </w:r>
      <w:r w:rsidR="000D4FDD">
        <w:rPr>
          <w:rFonts w:cs="Vrinda"/>
          <w:lang w:val="es-ES"/>
        </w:rPr>
        <w:t xml:space="preserve"> y </w:t>
      </w:r>
      <w:r w:rsidRPr="00BE739A">
        <w:rPr>
          <w:rFonts w:cs="Vrinda"/>
          <w:lang w:val="es-ES"/>
        </w:rPr>
        <w:t xml:space="preserve">iii) el fortalecimiento de las Unidades de Atención Integral con el fin de que pueda garantizar de manera efectiva el derecho a la salud. Asimismo, solicitaron que se den capacitaciones a los funcionarios de salud en materia de derechos humanos de las personas </w:t>
      </w:r>
      <w:r w:rsidR="00D92087">
        <w:rPr>
          <w:rFonts w:cs="Vrinda"/>
          <w:lang w:val="es-ES"/>
        </w:rPr>
        <w:t xml:space="preserve">que viven </w:t>
      </w:r>
      <w:r w:rsidRPr="00BE739A">
        <w:rPr>
          <w:rFonts w:cs="Vrinda"/>
          <w:lang w:val="es-ES"/>
        </w:rPr>
        <w:t>con</w:t>
      </w:r>
      <w:r w:rsidR="00D92087">
        <w:rPr>
          <w:rFonts w:cs="Vrinda"/>
          <w:lang w:val="es-ES"/>
        </w:rPr>
        <w:t xml:space="preserve"> el</w:t>
      </w:r>
      <w:r w:rsidRPr="00BE739A">
        <w:rPr>
          <w:rFonts w:cs="Vrinda"/>
          <w:lang w:val="es-ES"/>
        </w:rPr>
        <w:t xml:space="preserve"> VIH. Finalmente, solicitaron que el Estado garantice de forma efectiva y universal el diagnóstico temprano de todas las mujeres embarazadas a través de los exámenes para prevenir la transmisión de VIH de madre a hijo. Finalmente, solicitaron que se realice una campaña de sensibilización del VIH/SIDA en los departamentos de donde provienen las víctimas.</w:t>
      </w:r>
    </w:p>
    <w:p w14:paraId="4515EECD" w14:textId="77777777" w:rsidR="0061727E" w:rsidRPr="0061727E" w:rsidRDefault="0061727E" w:rsidP="0061727E">
      <w:pPr>
        <w:tabs>
          <w:tab w:val="left" w:pos="709"/>
          <w:tab w:val="left" w:pos="1134"/>
        </w:tabs>
        <w:ind w:right="-4"/>
        <w:rPr>
          <w:rFonts w:eastAsia="Arial" w:cs="Vrinda"/>
          <w:lang w:val="es-CR"/>
        </w:rPr>
      </w:pPr>
    </w:p>
    <w:p w14:paraId="1A588E8D" w14:textId="50280995" w:rsidR="006F704E" w:rsidRPr="0060216C"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El </w:t>
      </w:r>
      <w:r w:rsidRPr="0060216C">
        <w:rPr>
          <w:rFonts w:cs="Vrinda"/>
          <w:b/>
          <w:i/>
          <w:lang w:val="es-ES"/>
        </w:rPr>
        <w:t>Estado</w:t>
      </w:r>
      <w:r w:rsidR="001E7B6D">
        <w:rPr>
          <w:rFonts w:cs="Vrinda"/>
          <w:lang w:val="es-ES"/>
        </w:rPr>
        <w:t xml:space="preserve"> </w:t>
      </w:r>
      <w:r w:rsidRPr="0060216C">
        <w:rPr>
          <w:rFonts w:cs="Vrinda"/>
          <w:lang w:val="es-ES"/>
        </w:rPr>
        <w:t xml:space="preserve">señaló que, </w:t>
      </w:r>
      <w:r w:rsidRPr="0060216C">
        <w:rPr>
          <w:rFonts w:eastAsia="Times New Roman" w:cs="Vrinda"/>
          <w:spacing w:val="2"/>
          <w:lang w:val="es-ES"/>
        </w:rPr>
        <w:t>e</w:t>
      </w:r>
      <w:r w:rsidRPr="0060216C">
        <w:rPr>
          <w:rFonts w:eastAsia="Times New Roman" w:cs="Vrinda"/>
          <w:lang w:val="es-ES"/>
        </w:rPr>
        <w:t xml:space="preserve">n </w:t>
      </w:r>
      <w:r w:rsidRPr="0060216C">
        <w:rPr>
          <w:rFonts w:eastAsia="Times New Roman" w:cs="Vrinda"/>
          <w:spacing w:val="-2"/>
          <w:lang w:val="es-ES"/>
        </w:rPr>
        <w:t>cas</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lang w:val="es-ES"/>
        </w:rPr>
        <w:t xml:space="preserve">a </w:t>
      </w:r>
      <w:r w:rsidRPr="0060216C">
        <w:rPr>
          <w:rFonts w:eastAsia="Times New Roman" w:cs="Vrinda"/>
          <w:spacing w:val="1"/>
          <w:lang w:val="es-ES"/>
        </w:rPr>
        <w:t>C</w:t>
      </w:r>
      <w:r w:rsidRPr="0060216C">
        <w:rPr>
          <w:rFonts w:eastAsia="Times New Roman" w:cs="Vrinda"/>
          <w:spacing w:val="2"/>
          <w:lang w:val="es-ES"/>
        </w:rPr>
        <w:t>o</w:t>
      </w:r>
      <w:r w:rsidRPr="0060216C">
        <w:rPr>
          <w:rFonts w:eastAsia="Times New Roman" w:cs="Vrinda"/>
          <w:spacing w:val="-1"/>
          <w:lang w:val="es-ES"/>
        </w:rPr>
        <w:t>rt</w:t>
      </w:r>
      <w:r w:rsidRPr="0060216C">
        <w:rPr>
          <w:rFonts w:eastAsia="Times New Roman" w:cs="Vrinda"/>
          <w:lang w:val="es-ES"/>
        </w:rPr>
        <w:t xml:space="preserve">e </w:t>
      </w:r>
      <w:r w:rsidRPr="0060216C">
        <w:rPr>
          <w:rFonts w:eastAsia="Times New Roman" w:cs="Vrinda"/>
          <w:spacing w:val="-1"/>
          <w:lang w:val="es-ES"/>
        </w:rPr>
        <w:t>r</w:t>
      </w:r>
      <w:r w:rsidRPr="0060216C">
        <w:rPr>
          <w:rFonts w:eastAsia="Times New Roman" w:cs="Vrinda"/>
          <w:spacing w:val="-2"/>
          <w:lang w:val="es-ES"/>
        </w:rPr>
        <w:t>esue</w:t>
      </w:r>
      <w:r w:rsidRPr="0060216C">
        <w:rPr>
          <w:rFonts w:eastAsia="Times New Roman" w:cs="Vrinda"/>
          <w:spacing w:val="3"/>
          <w:lang w:val="es-ES"/>
        </w:rPr>
        <w:t>l</w:t>
      </w:r>
      <w:r w:rsidRPr="0060216C">
        <w:rPr>
          <w:rFonts w:eastAsia="Times New Roman" w:cs="Vrinda"/>
          <w:spacing w:val="-2"/>
          <w:lang w:val="es-ES"/>
        </w:rPr>
        <w:t>v</w:t>
      </w:r>
      <w:r w:rsidRPr="0060216C">
        <w:rPr>
          <w:rFonts w:eastAsia="Times New Roman" w:cs="Vrinda"/>
          <w:lang w:val="es-ES"/>
        </w:rPr>
        <w:t xml:space="preserve">a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2"/>
          <w:lang w:val="es-ES"/>
        </w:rPr>
        <w:t>es</w:t>
      </w:r>
      <w:r w:rsidRPr="0060216C">
        <w:rPr>
          <w:rFonts w:eastAsia="Times New Roman" w:cs="Vrinda"/>
          <w:lang w:val="es-ES"/>
        </w:rPr>
        <w:t xml:space="preserve"> </w:t>
      </w:r>
      <w:r w:rsidRPr="0060216C">
        <w:rPr>
          <w:rFonts w:eastAsia="Times New Roman" w:cs="Vrinda"/>
          <w:spacing w:val="-1"/>
          <w:lang w:val="es-ES"/>
        </w:rPr>
        <w:t>r</w:t>
      </w:r>
      <w:r w:rsidRPr="0060216C">
        <w:rPr>
          <w:rFonts w:eastAsia="Times New Roman" w:cs="Vrinda"/>
          <w:spacing w:val="-2"/>
          <w:lang w:val="es-ES"/>
        </w:rPr>
        <w:t>es</w:t>
      </w:r>
      <w:r w:rsidRPr="0060216C">
        <w:rPr>
          <w:rFonts w:eastAsia="Times New Roman" w:cs="Vrinda"/>
          <w:spacing w:val="2"/>
          <w:lang w:val="es-ES"/>
        </w:rPr>
        <w:t>po</w:t>
      </w:r>
      <w:r w:rsidRPr="0060216C">
        <w:rPr>
          <w:rFonts w:eastAsia="Times New Roman" w:cs="Vrinda"/>
          <w:spacing w:val="-2"/>
          <w:lang w:val="es-ES"/>
        </w:rPr>
        <w:t>nsa</w:t>
      </w:r>
      <w:r w:rsidRPr="0060216C">
        <w:rPr>
          <w:rFonts w:eastAsia="Times New Roman" w:cs="Vrinda"/>
          <w:spacing w:val="2"/>
          <w:lang w:val="es-ES"/>
        </w:rPr>
        <w:t>b</w:t>
      </w:r>
      <w:r w:rsidRPr="0060216C">
        <w:rPr>
          <w:rFonts w:eastAsia="Times New Roman" w:cs="Vrinda"/>
          <w:spacing w:val="-1"/>
          <w:lang w:val="es-ES"/>
        </w:rPr>
        <w:t>l</w:t>
      </w:r>
      <w:r w:rsidRPr="0060216C">
        <w:rPr>
          <w:rFonts w:eastAsia="Times New Roman" w:cs="Vrinda"/>
          <w:lang w:val="es-ES"/>
        </w:rPr>
        <w:t xml:space="preserve">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3"/>
          <w:lang w:val="es-ES"/>
        </w:rPr>
        <w:t>t</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2"/>
          <w:lang w:val="es-ES"/>
        </w:rPr>
        <w:t>n</w:t>
      </w:r>
      <w:r w:rsidRPr="0060216C">
        <w:rPr>
          <w:rFonts w:eastAsia="Times New Roman" w:cs="Vrinda"/>
          <w:spacing w:val="-2"/>
          <w:lang w:val="es-ES"/>
        </w:rPr>
        <w:t>a</w:t>
      </w:r>
      <w:r w:rsidRPr="0060216C">
        <w:rPr>
          <w:rFonts w:eastAsia="Times New Roman" w:cs="Vrinda"/>
          <w:spacing w:val="2"/>
          <w:lang w:val="es-ES"/>
        </w:rPr>
        <w:t>c</w:t>
      </w:r>
      <w:r w:rsidRPr="0060216C">
        <w:rPr>
          <w:rFonts w:eastAsia="Times New Roman" w:cs="Vrinda"/>
          <w:spacing w:val="-1"/>
          <w:lang w:val="es-ES"/>
        </w:rPr>
        <w:t>i</w:t>
      </w:r>
      <w:r w:rsidRPr="0060216C">
        <w:rPr>
          <w:rFonts w:eastAsia="Times New Roman" w:cs="Vrinda"/>
          <w:spacing w:val="2"/>
          <w:lang w:val="es-ES"/>
        </w:rPr>
        <w:t>o</w:t>
      </w:r>
      <w:r w:rsidRPr="0060216C">
        <w:rPr>
          <w:rFonts w:eastAsia="Times New Roman" w:cs="Vrinda"/>
          <w:spacing w:val="-2"/>
          <w:lang w:val="es-ES"/>
        </w:rPr>
        <w:t>na</w:t>
      </w:r>
      <w:r w:rsidRPr="0060216C">
        <w:rPr>
          <w:rFonts w:eastAsia="Times New Roman" w:cs="Vrinda"/>
          <w:spacing w:val="-1"/>
          <w:lang w:val="es-ES"/>
        </w:rPr>
        <w:t>l</w:t>
      </w:r>
      <w:r w:rsidRPr="0060216C">
        <w:rPr>
          <w:rFonts w:eastAsia="Times New Roman" w:cs="Vrinda"/>
          <w:spacing w:val="1"/>
          <w:lang w:val="es-ES"/>
        </w:rPr>
        <w:t>m</w:t>
      </w:r>
      <w:r w:rsidRPr="0060216C">
        <w:rPr>
          <w:rFonts w:eastAsia="Times New Roman" w:cs="Vrinda"/>
          <w:spacing w:val="2"/>
          <w:lang w:val="es-ES"/>
        </w:rPr>
        <w:t>e</w:t>
      </w:r>
      <w:r w:rsidRPr="0060216C">
        <w:rPr>
          <w:rFonts w:eastAsia="Times New Roman" w:cs="Vrinda"/>
          <w:spacing w:val="-2"/>
          <w:lang w:val="es-ES"/>
        </w:rPr>
        <w:t>n</w:t>
      </w:r>
      <w:r w:rsidRPr="0060216C">
        <w:rPr>
          <w:rFonts w:eastAsia="Times New Roman" w:cs="Vrinda"/>
          <w:spacing w:val="3"/>
          <w:lang w:val="es-ES"/>
        </w:rPr>
        <w:t>t</w:t>
      </w:r>
      <w:r w:rsidRPr="0060216C">
        <w:rPr>
          <w:rFonts w:eastAsia="Times New Roman" w:cs="Vrinda"/>
          <w:lang w:val="es-ES"/>
        </w:rPr>
        <w:t xml:space="preserve">e </w:t>
      </w:r>
      <w:r w:rsidRPr="0060216C">
        <w:rPr>
          <w:rFonts w:eastAsia="Times New Roman" w:cs="Vrinda"/>
          <w:spacing w:val="2"/>
          <w:lang w:val="es-ES"/>
        </w:rPr>
        <w:t>p</w:t>
      </w:r>
      <w:r w:rsidRPr="0060216C">
        <w:rPr>
          <w:rFonts w:eastAsia="Times New Roman" w:cs="Vrinda"/>
          <w:spacing w:val="-2"/>
          <w:lang w:val="es-ES"/>
        </w:rPr>
        <w:t>o</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n</w:t>
      </w:r>
      <w:r w:rsidRPr="0060216C">
        <w:rPr>
          <w:rFonts w:eastAsia="Times New Roman" w:cs="Vrinda"/>
          <w:lang w:val="es-ES"/>
        </w:rPr>
        <w:t xml:space="preserve">o </w:t>
      </w:r>
      <w:r w:rsidRPr="0060216C">
        <w:rPr>
          <w:rFonts w:eastAsia="Times New Roman" w:cs="Vrinda"/>
          <w:spacing w:val="-2"/>
          <w:lang w:val="es-ES"/>
        </w:rPr>
        <w:t>ga</w:t>
      </w:r>
      <w:r w:rsidRPr="0060216C">
        <w:rPr>
          <w:rFonts w:eastAsia="Times New Roman" w:cs="Vrinda"/>
          <w:spacing w:val="3"/>
          <w:lang w:val="es-ES"/>
        </w:rPr>
        <w:t>r</w:t>
      </w:r>
      <w:r w:rsidRPr="0060216C">
        <w:rPr>
          <w:rFonts w:eastAsia="Times New Roman" w:cs="Vrinda"/>
          <w:spacing w:val="-2"/>
          <w:lang w:val="es-ES"/>
        </w:rPr>
        <w:t>an</w:t>
      </w:r>
      <w:r w:rsidRPr="0060216C">
        <w:rPr>
          <w:rFonts w:eastAsia="Times New Roman" w:cs="Vrinda"/>
          <w:spacing w:val="3"/>
          <w:lang w:val="es-ES"/>
        </w:rPr>
        <w:t>t</w:t>
      </w:r>
      <w:r w:rsidRPr="0060216C">
        <w:rPr>
          <w:rFonts w:eastAsia="Times New Roman" w:cs="Vrinda"/>
          <w:spacing w:val="-1"/>
          <w:lang w:val="es-ES"/>
        </w:rPr>
        <w:t>i</w:t>
      </w:r>
      <w:r w:rsidRPr="0060216C">
        <w:rPr>
          <w:rFonts w:eastAsia="Times New Roman" w:cs="Vrinda"/>
          <w:spacing w:val="2"/>
          <w:lang w:val="es-ES"/>
        </w:rPr>
        <w:t>z</w:t>
      </w:r>
      <w:r w:rsidRPr="0060216C">
        <w:rPr>
          <w:rFonts w:eastAsia="Times New Roman" w:cs="Vrinda"/>
          <w:spacing w:val="-2"/>
          <w:lang w:val="es-ES"/>
        </w:rPr>
        <w:t>a</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a</w:t>
      </w:r>
      <w:r w:rsidRPr="0060216C">
        <w:rPr>
          <w:rFonts w:eastAsia="Times New Roman" w:cs="Vrinda"/>
          <w:spacing w:val="-1"/>
          <w:lang w:val="es-ES"/>
        </w:rPr>
        <w:t>l</w:t>
      </w:r>
      <w:r w:rsidRPr="0060216C">
        <w:rPr>
          <w:rFonts w:eastAsia="Times New Roman" w:cs="Vrinda"/>
          <w:spacing w:val="2"/>
          <w:lang w:val="es-ES"/>
        </w:rPr>
        <w:t>g</w:t>
      </w:r>
      <w:r w:rsidRPr="0060216C">
        <w:rPr>
          <w:rFonts w:eastAsia="Times New Roman" w:cs="Vrinda"/>
          <w:spacing w:val="-2"/>
          <w:lang w:val="es-ES"/>
        </w:rPr>
        <w:t>un</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spacing w:val="2"/>
          <w:lang w:val="es-ES"/>
        </w:rPr>
        <w:t>o</w:t>
      </w:r>
      <w:r w:rsidRPr="0060216C">
        <w:rPr>
          <w:rFonts w:eastAsia="Times New Roman" w:cs="Vrinda"/>
          <w:lang w:val="es-ES"/>
        </w:rPr>
        <w:t xml:space="preserve">s </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ch</w:t>
      </w:r>
      <w:r w:rsidRPr="0060216C">
        <w:rPr>
          <w:rFonts w:eastAsia="Times New Roman" w:cs="Vrinda"/>
          <w:spacing w:val="2"/>
          <w:lang w:val="es-ES"/>
        </w:rPr>
        <w:t>o</w:t>
      </w:r>
      <w:r w:rsidRPr="0060216C">
        <w:rPr>
          <w:rFonts w:eastAsia="Times New Roman" w:cs="Vrinda"/>
          <w:lang w:val="es-ES"/>
        </w:rPr>
        <w:t>s</w:t>
      </w:r>
      <w:r w:rsidRPr="0060216C">
        <w:rPr>
          <w:rFonts w:eastAsia="Times New Roman" w:cs="Vrinda"/>
          <w:spacing w:val="4"/>
          <w:lang w:val="es-ES"/>
        </w:rPr>
        <w:t xml:space="preserve"> </w:t>
      </w:r>
      <w:r w:rsidRPr="0060216C">
        <w:rPr>
          <w:rFonts w:eastAsia="Times New Roman" w:cs="Vrinda"/>
          <w:spacing w:val="-2"/>
          <w:lang w:val="es-ES"/>
        </w:rPr>
        <w:t>reconocidos en la Convención</w:t>
      </w:r>
      <w:r w:rsidRPr="0060216C">
        <w:rPr>
          <w:rFonts w:eastAsia="Times New Roman" w:cs="Vrinda"/>
          <w:lang w:val="es-ES"/>
        </w:rPr>
        <w:t>,</w:t>
      </w:r>
      <w:r w:rsidRPr="0060216C">
        <w:rPr>
          <w:rFonts w:eastAsia="Times New Roman" w:cs="Vrinda"/>
          <w:spacing w:val="3"/>
          <w:lang w:val="es-ES"/>
        </w:rPr>
        <w:t xml:space="preserve"> se tenga en cuenta que, </w:t>
      </w:r>
      <w:r w:rsidRPr="0060216C">
        <w:rPr>
          <w:rFonts w:eastAsia="Times New Roman" w:cs="Vrinda"/>
          <w:lang w:val="es-ES"/>
        </w:rPr>
        <w:t xml:space="preserve">a </w:t>
      </w:r>
      <w:r w:rsidRPr="0060216C">
        <w:rPr>
          <w:rFonts w:eastAsia="Times New Roman" w:cs="Vrinda"/>
          <w:spacing w:val="-2"/>
          <w:lang w:val="es-ES"/>
        </w:rPr>
        <w:t>e</w:t>
      </w:r>
      <w:r w:rsidRPr="0060216C">
        <w:rPr>
          <w:rFonts w:eastAsia="Times New Roman" w:cs="Vrinda"/>
          <w:spacing w:val="2"/>
          <w:lang w:val="es-ES"/>
        </w:rPr>
        <w:t>x</w:t>
      </w:r>
      <w:r w:rsidRPr="0060216C">
        <w:rPr>
          <w:rFonts w:eastAsia="Times New Roman" w:cs="Vrinda"/>
          <w:spacing w:val="-2"/>
          <w:lang w:val="es-ES"/>
        </w:rPr>
        <w:t>ce</w:t>
      </w:r>
      <w:r w:rsidRPr="0060216C">
        <w:rPr>
          <w:rFonts w:eastAsia="Times New Roman" w:cs="Vrinda"/>
          <w:spacing w:val="2"/>
          <w:lang w:val="es-ES"/>
        </w:rPr>
        <w:t>pc</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lang w:val="es-ES"/>
        </w:rPr>
        <w:t xml:space="preserve">n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1"/>
          <w:lang w:val="es-ES"/>
        </w:rPr>
        <w:t>l</w:t>
      </w:r>
      <w:r w:rsidRPr="0060216C">
        <w:rPr>
          <w:rFonts w:eastAsia="Times New Roman" w:cs="Vrinda"/>
          <w:lang w:val="es-ES"/>
        </w:rPr>
        <w:t xml:space="preserve">a </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p</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spacing w:val="2"/>
          <w:lang w:val="es-ES"/>
        </w:rPr>
        <w:t>a</w:t>
      </w:r>
      <w:r w:rsidRPr="0060216C">
        <w:rPr>
          <w:rFonts w:eastAsia="Times New Roman" w:cs="Vrinda"/>
          <w:spacing w:val="-2"/>
          <w:lang w:val="es-ES"/>
        </w:rPr>
        <w:t>c</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lang w:val="es-ES"/>
        </w:rPr>
        <w:t xml:space="preserve">n </w:t>
      </w:r>
      <w:r w:rsidRPr="0060216C">
        <w:rPr>
          <w:rFonts w:eastAsia="Times New Roman" w:cs="Vrinda"/>
          <w:spacing w:val="2"/>
          <w:lang w:val="es-ES"/>
        </w:rPr>
        <w:t>po</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2"/>
          <w:lang w:val="es-ES"/>
        </w:rPr>
        <w:t>d</w:t>
      </w:r>
      <w:r w:rsidRPr="0060216C">
        <w:rPr>
          <w:rFonts w:eastAsia="Times New Roman" w:cs="Vrinda"/>
          <w:spacing w:val="-2"/>
          <w:lang w:val="es-ES"/>
        </w:rPr>
        <w:t>a</w:t>
      </w:r>
      <w:r w:rsidRPr="0060216C">
        <w:rPr>
          <w:rFonts w:eastAsia="Times New Roman" w:cs="Vrinda"/>
          <w:spacing w:val="2"/>
          <w:lang w:val="es-ES"/>
        </w:rPr>
        <w:t>ñ</w:t>
      </w:r>
      <w:r w:rsidRPr="0060216C">
        <w:rPr>
          <w:rFonts w:eastAsia="Times New Roman" w:cs="Vrinda"/>
          <w:lang w:val="es-ES"/>
        </w:rPr>
        <w:t xml:space="preserve">o </w:t>
      </w:r>
      <w:r w:rsidRPr="0060216C">
        <w:rPr>
          <w:rFonts w:eastAsia="Times New Roman" w:cs="Vrinda"/>
          <w:spacing w:val="1"/>
          <w:lang w:val="es-ES"/>
        </w:rPr>
        <w:t>m</w:t>
      </w:r>
      <w:r w:rsidRPr="0060216C">
        <w:rPr>
          <w:rFonts w:eastAsia="Times New Roman" w:cs="Vrinda"/>
          <w:spacing w:val="-2"/>
          <w:lang w:val="es-ES"/>
        </w:rPr>
        <w:t>a</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spacing w:val="-1"/>
          <w:lang w:val="es-ES"/>
        </w:rPr>
        <w:t>ri</w:t>
      </w:r>
      <w:r w:rsidRPr="0060216C">
        <w:rPr>
          <w:rFonts w:eastAsia="Times New Roman" w:cs="Vrinda"/>
          <w:spacing w:val="-2"/>
          <w:lang w:val="es-ES"/>
        </w:rPr>
        <w:t>a</w:t>
      </w:r>
      <w:r w:rsidRPr="0060216C">
        <w:rPr>
          <w:rFonts w:eastAsia="Times New Roman" w:cs="Vrinda"/>
          <w:lang w:val="es-ES"/>
        </w:rPr>
        <w:t>l</w:t>
      </w:r>
      <w:r w:rsidRPr="0060216C">
        <w:rPr>
          <w:rFonts w:eastAsia="Times New Roman" w:cs="Vrinda"/>
          <w:spacing w:val="5"/>
          <w:lang w:val="es-ES"/>
        </w:rPr>
        <w:t xml:space="preserve"> </w:t>
      </w:r>
      <w:r w:rsidRPr="0060216C">
        <w:rPr>
          <w:rFonts w:eastAsia="Times New Roman" w:cs="Vrinda"/>
          <w:lang w:val="es-ES"/>
        </w:rPr>
        <w:t xml:space="preserve">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1"/>
          <w:lang w:val="es-ES"/>
        </w:rPr>
        <w:t>m</w:t>
      </w:r>
      <w:r w:rsidRPr="0060216C">
        <w:rPr>
          <w:rFonts w:eastAsia="Times New Roman" w:cs="Vrinda"/>
          <w:spacing w:val="-2"/>
          <w:lang w:val="es-ES"/>
        </w:rPr>
        <w:t>a</w:t>
      </w:r>
      <w:r w:rsidRPr="0060216C">
        <w:rPr>
          <w:rFonts w:eastAsia="Times New Roman" w:cs="Vrinda"/>
          <w:spacing w:val="3"/>
          <w:lang w:val="es-ES"/>
        </w:rPr>
        <w:t>t</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3"/>
          <w:lang w:val="es-ES"/>
        </w:rPr>
        <w:t>i</w:t>
      </w:r>
      <w:r w:rsidRPr="0060216C">
        <w:rPr>
          <w:rFonts w:eastAsia="Times New Roman" w:cs="Vrinda"/>
          <w:spacing w:val="-2"/>
          <w:lang w:val="es-ES"/>
        </w:rPr>
        <w:t>a</w:t>
      </w:r>
      <w:r w:rsidRPr="0060216C">
        <w:rPr>
          <w:rFonts w:eastAsia="Times New Roman" w:cs="Vrinda"/>
          <w:spacing w:val="-1"/>
          <w:lang w:val="es-ES"/>
        </w:rPr>
        <w:t>l</w:t>
      </w:r>
      <w:r w:rsidRPr="0060216C">
        <w:rPr>
          <w:rFonts w:eastAsia="Times New Roman" w:cs="Vrinda"/>
          <w:lang w:val="es-ES"/>
        </w:rPr>
        <w:t>,</w:t>
      </w:r>
      <w:r w:rsidRPr="0060216C">
        <w:rPr>
          <w:rFonts w:eastAsia="Times New Roman" w:cs="Vrinda"/>
          <w:spacing w:val="7"/>
          <w:lang w:val="es-ES"/>
        </w:rPr>
        <w:t xml:space="preserve"> </w:t>
      </w:r>
      <w:r w:rsidRPr="0060216C">
        <w:rPr>
          <w:rFonts w:eastAsia="Times New Roman" w:cs="Vrinda"/>
          <w:spacing w:val="-2"/>
          <w:lang w:val="es-ES"/>
        </w:rPr>
        <w:t>y</w:t>
      </w:r>
      <w:r w:rsidRPr="0060216C">
        <w:rPr>
          <w:rFonts w:eastAsia="Times New Roman" w:cs="Vrinda"/>
          <w:lang w:val="es-ES"/>
        </w:rPr>
        <w:t xml:space="preserve">a </w:t>
      </w:r>
      <w:r w:rsidRPr="0060216C">
        <w:rPr>
          <w:rFonts w:eastAsia="Times New Roman" w:cs="Vrinda"/>
          <w:spacing w:val="-2"/>
          <w:lang w:val="es-ES"/>
        </w:rPr>
        <w:t>s</w:t>
      </w:r>
      <w:r w:rsidRPr="0060216C">
        <w:rPr>
          <w:rFonts w:eastAsia="Times New Roman" w:cs="Vrinda"/>
          <w:lang w:val="es-ES"/>
        </w:rPr>
        <w:t>e</w:t>
      </w:r>
      <w:r w:rsidRPr="0060216C">
        <w:rPr>
          <w:rFonts w:eastAsia="Times New Roman" w:cs="Vrinda"/>
          <w:spacing w:val="4"/>
          <w:lang w:val="es-ES"/>
        </w:rPr>
        <w:t xml:space="preserve"> </w:t>
      </w:r>
      <w:r w:rsidRPr="0060216C">
        <w:rPr>
          <w:rFonts w:eastAsia="Times New Roman" w:cs="Vrinda"/>
          <w:spacing w:val="-2"/>
          <w:lang w:val="es-ES"/>
        </w:rPr>
        <w:t>ha</w:t>
      </w:r>
      <w:r w:rsidRPr="0060216C">
        <w:rPr>
          <w:rFonts w:eastAsia="Times New Roman" w:cs="Vrinda"/>
          <w:lang w:val="es-ES"/>
        </w:rPr>
        <w:t>n</w:t>
      </w:r>
      <w:r w:rsidRPr="0060216C">
        <w:rPr>
          <w:rFonts w:eastAsia="Times New Roman" w:cs="Vrinda"/>
          <w:spacing w:val="4"/>
          <w:lang w:val="es-ES"/>
        </w:rPr>
        <w:t xml:space="preserve"> </w:t>
      </w:r>
      <w:r w:rsidRPr="0060216C">
        <w:rPr>
          <w:rFonts w:eastAsia="Times New Roman" w:cs="Vrinda"/>
          <w:spacing w:val="-2"/>
          <w:lang w:val="es-ES"/>
        </w:rPr>
        <w:t>a</w:t>
      </w:r>
      <w:r w:rsidRPr="0060216C">
        <w:rPr>
          <w:rFonts w:eastAsia="Times New Roman" w:cs="Vrinda"/>
          <w:spacing w:val="2"/>
          <w:lang w:val="es-ES"/>
        </w:rPr>
        <w:t>dop</w:t>
      </w:r>
      <w:r w:rsidRPr="0060216C">
        <w:rPr>
          <w:rFonts w:eastAsia="Times New Roman" w:cs="Vrinda"/>
          <w:spacing w:val="-1"/>
          <w:lang w:val="es-ES"/>
        </w:rPr>
        <w:t>t</w:t>
      </w:r>
      <w:r w:rsidRPr="0060216C">
        <w:rPr>
          <w:rFonts w:eastAsia="Times New Roman" w:cs="Vrinda"/>
          <w:spacing w:val="-2"/>
          <w:lang w:val="es-ES"/>
        </w:rPr>
        <w:t>a</w:t>
      </w:r>
      <w:r w:rsidRPr="0060216C">
        <w:rPr>
          <w:rFonts w:eastAsia="Times New Roman" w:cs="Vrinda"/>
          <w:spacing w:val="2"/>
          <w:lang w:val="es-ES"/>
        </w:rPr>
        <w:t>d</w:t>
      </w:r>
      <w:r w:rsidRPr="0060216C">
        <w:rPr>
          <w:rFonts w:eastAsia="Times New Roman" w:cs="Vrinda"/>
          <w:lang w:val="es-ES"/>
        </w:rPr>
        <w:t xml:space="preserve">o </w:t>
      </w:r>
      <w:r w:rsidRPr="0060216C">
        <w:rPr>
          <w:rFonts w:eastAsia="Times New Roman" w:cs="Vrinda"/>
          <w:spacing w:val="-1"/>
          <w:lang w:val="es-ES"/>
        </w:rPr>
        <w:t>l</w:t>
      </w:r>
      <w:r w:rsidRPr="0060216C">
        <w:rPr>
          <w:rFonts w:eastAsia="Times New Roman" w:cs="Vrinda"/>
          <w:spacing w:val="-2"/>
          <w:lang w:val="es-ES"/>
        </w:rPr>
        <w:t>a</w:t>
      </w:r>
      <w:r w:rsidRPr="0060216C">
        <w:rPr>
          <w:rFonts w:eastAsia="Times New Roman" w:cs="Vrinda"/>
          <w:lang w:val="es-ES"/>
        </w:rPr>
        <w:t>s</w:t>
      </w:r>
      <w:r w:rsidRPr="0060216C">
        <w:rPr>
          <w:rFonts w:eastAsia="Times New Roman" w:cs="Vrinda"/>
          <w:spacing w:val="1"/>
          <w:lang w:val="es-ES"/>
        </w:rPr>
        <w:t xml:space="preserve"> m</w:t>
      </w:r>
      <w:r w:rsidRPr="0060216C">
        <w:rPr>
          <w:rFonts w:eastAsia="Times New Roman" w:cs="Vrinda"/>
          <w:spacing w:val="-2"/>
          <w:lang w:val="es-ES"/>
        </w:rPr>
        <w:t>e</w:t>
      </w:r>
      <w:r w:rsidRPr="0060216C">
        <w:rPr>
          <w:rFonts w:eastAsia="Times New Roman" w:cs="Vrinda"/>
          <w:spacing w:val="2"/>
          <w:lang w:val="es-ES"/>
        </w:rPr>
        <w:t>d</w:t>
      </w:r>
      <w:r w:rsidRPr="0060216C">
        <w:rPr>
          <w:rFonts w:eastAsia="Times New Roman" w:cs="Vrinda"/>
          <w:spacing w:val="-1"/>
          <w:lang w:val="es-ES"/>
        </w:rPr>
        <w:t>i</w:t>
      </w:r>
      <w:r w:rsidRPr="0060216C">
        <w:rPr>
          <w:rFonts w:eastAsia="Times New Roman" w:cs="Vrinda"/>
          <w:spacing w:val="2"/>
          <w:lang w:val="es-ES"/>
        </w:rPr>
        <w:t>d</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ne</w:t>
      </w:r>
      <w:r w:rsidRPr="0060216C">
        <w:rPr>
          <w:rFonts w:eastAsia="Times New Roman" w:cs="Vrinda"/>
          <w:spacing w:val="2"/>
          <w:lang w:val="es-ES"/>
        </w:rPr>
        <w:t>c</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spacing w:val="3"/>
          <w:lang w:val="es-ES"/>
        </w:rPr>
        <w:t>i</w:t>
      </w:r>
      <w:r w:rsidRPr="0060216C">
        <w:rPr>
          <w:rFonts w:eastAsia="Times New Roman" w:cs="Vrinda"/>
          <w:spacing w:val="-2"/>
          <w:lang w:val="es-ES"/>
        </w:rPr>
        <w:t>a</w:t>
      </w:r>
      <w:r w:rsidRPr="0060216C">
        <w:rPr>
          <w:rFonts w:eastAsia="Times New Roman" w:cs="Vrinda"/>
          <w:lang w:val="es-ES"/>
        </w:rPr>
        <w:t>s</w:t>
      </w:r>
      <w:r w:rsidRPr="0060216C">
        <w:rPr>
          <w:rFonts w:eastAsia="Times New Roman" w:cs="Vrinda"/>
          <w:spacing w:val="4"/>
          <w:lang w:val="es-ES"/>
        </w:rPr>
        <w:t xml:space="preserve"> </w:t>
      </w:r>
      <w:r w:rsidRPr="0060216C">
        <w:rPr>
          <w:rFonts w:eastAsia="Times New Roman" w:cs="Vrinda"/>
          <w:spacing w:val="2"/>
          <w:lang w:val="es-ES"/>
        </w:rPr>
        <w:t>p</w:t>
      </w:r>
      <w:r w:rsidRPr="0060216C">
        <w:rPr>
          <w:rFonts w:eastAsia="Times New Roman" w:cs="Vrinda"/>
          <w:spacing w:val="-2"/>
          <w:lang w:val="es-ES"/>
        </w:rPr>
        <w:t>a</w:t>
      </w:r>
      <w:r w:rsidRPr="0060216C">
        <w:rPr>
          <w:rFonts w:eastAsia="Times New Roman" w:cs="Vrinda"/>
          <w:spacing w:val="-1"/>
          <w:lang w:val="es-ES"/>
        </w:rPr>
        <w:t>r</w:t>
      </w:r>
      <w:r w:rsidRPr="0060216C">
        <w:rPr>
          <w:rFonts w:eastAsia="Times New Roman" w:cs="Vrinda"/>
          <w:lang w:val="es-ES"/>
        </w:rPr>
        <w:t xml:space="preserve">a </w:t>
      </w:r>
      <w:r w:rsidRPr="0060216C">
        <w:rPr>
          <w:rFonts w:eastAsia="Times New Roman" w:cs="Vrinda"/>
          <w:spacing w:val="-2"/>
          <w:lang w:val="es-ES"/>
        </w:rPr>
        <w:t>as</w:t>
      </w:r>
      <w:r w:rsidRPr="0060216C">
        <w:rPr>
          <w:rFonts w:eastAsia="Times New Roman" w:cs="Vrinda"/>
          <w:spacing w:val="2"/>
          <w:lang w:val="es-ES"/>
        </w:rPr>
        <w:t>e</w:t>
      </w:r>
      <w:r w:rsidRPr="0060216C">
        <w:rPr>
          <w:rFonts w:eastAsia="Times New Roman" w:cs="Vrinda"/>
          <w:spacing w:val="-2"/>
          <w:lang w:val="es-ES"/>
        </w:rPr>
        <w:t>g</w:t>
      </w:r>
      <w:r w:rsidRPr="0060216C">
        <w:rPr>
          <w:rFonts w:eastAsia="Times New Roman" w:cs="Vrinda"/>
          <w:spacing w:val="2"/>
          <w:lang w:val="es-ES"/>
        </w:rPr>
        <w:t>u</w:t>
      </w:r>
      <w:r w:rsidRPr="0060216C">
        <w:rPr>
          <w:rFonts w:eastAsia="Times New Roman" w:cs="Vrinda"/>
          <w:spacing w:val="-1"/>
          <w:lang w:val="es-ES"/>
        </w:rPr>
        <w:t>r</w:t>
      </w:r>
      <w:r w:rsidRPr="0060216C">
        <w:rPr>
          <w:rFonts w:eastAsia="Times New Roman" w:cs="Vrinda"/>
          <w:spacing w:val="-2"/>
          <w:lang w:val="es-ES"/>
        </w:rPr>
        <w:t>a</w:t>
      </w:r>
      <w:r w:rsidRPr="0060216C">
        <w:rPr>
          <w:rFonts w:eastAsia="Times New Roman" w:cs="Vrinda"/>
          <w:lang w:val="es-ES"/>
        </w:rPr>
        <w:t>r</w:t>
      </w:r>
      <w:r w:rsidRPr="0060216C">
        <w:rPr>
          <w:rFonts w:eastAsia="Times New Roman" w:cs="Vrinda"/>
          <w:spacing w:val="1"/>
          <w:lang w:val="es-ES"/>
        </w:rPr>
        <w:t xml:space="preserve"> a</w:t>
      </w:r>
      <w:r w:rsidRPr="0060216C">
        <w:rPr>
          <w:rFonts w:eastAsia="Times New Roman" w:cs="Vrinda"/>
          <w:lang w:val="es-ES"/>
        </w:rPr>
        <w:t xml:space="preserve"> </w:t>
      </w:r>
      <w:r w:rsidRPr="0060216C">
        <w:rPr>
          <w:rFonts w:eastAsia="Times New Roman" w:cs="Vrinda"/>
          <w:spacing w:val="-1"/>
          <w:lang w:val="es-ES"/>
        </w:rPr>
        <w:t>t</w:t>
      </w:r>
      <w:r w:rsidRPr="0060216C">
        <w:rPr>
          <w:rFonts w:eastAsia="Times New Roman" w:cs="Vrinda"/>
          <w:spacing w:val="2"/>
          <w:lang w:val="es-ES"/>
        </w:rPr>
        <w:t>od</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1"/>
          <w:lang w:val="es-ES"/>
        </w:rPr>
        <w:t>l</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v</w:t>
      </w:r>
      <w:r w:rsidRPr="0060216C">
        <w:rPr>
          <w:rFonts w:eastAsia="Times New Roman" w:cs="Vrinda"/>
          <w:spacing w:val="3"/>
          <w:lang w:val="es-ES"/>
        </w:rPr>
        <w:t>í</w:t>
      </w:r>
      <w:r w:rsidRPr="0060216C">
        <w:rPr>
          <w:rFonts w:eastAsia="Times New Roman" w:cs="Vrinda"/>
          <w:spacing w:val="-2"/>
          <w:lang w:val="es-ES"/>
        </w:rPr>
        <w:t>c</w:t>
      </w:r>
      <w:r w:rsidRPr="0060216C">
        <w:rPr>
          <w:rFonts w:eastAsia="Times New Roman" w:cs="Vrinda"/>
          <w:spacing w:val="-1"/>
          <w:lang w:val="es-ES"/>
        </w:rPr>
        <w:t>ti</w:t>
      </w:r>
      <w:r w:rsidRPr="0060216C">
        <w:rPr>
          <w:rFonts w:eastAsia="Times New Roman" w:cs="Vrinda"/>
          <w:spacing w:val="5"/>
          <w:lang w:val="es-ES"/>
        </w:rPr>
        <w:t>m</w:t>
      </w:r>
      <w:r w:rsidRPr="0060216C">
        <w:rPr>
          <w:rFonts w:eastAsia="Times New Roman" w:cs="Vrinda"/>
          <w:spacing w:val="-2"/>
          <w:lang w:val="es-ES"/>
        </w:rPr>
        <w:t>a</w:t>
      </w:r>
      <w:r w:rsidRPr="0060216C">
        <w:rPr>
          <w:rFonts w:eastAsia="Times New Roman" w:cs="Vrinda"/>
          <w:lang w:val="es-ES"/>
        </w:rPr>
        <w:t xml:space="preserve">s </w:t>
      </w:r>
      <w:r w:rsidRPr="0060216C">
        <w:rPr>
          <w:rFonts w:eastAsia="Times New Roman" w:cs="Vrinda"/>
          <w:spacing w:val="-2"/>
          <w:lang w:val="es-ES"/>
        </w:rPr>
        <w:t>s</w:t>
      </w:r>
      <w:r w:rsidRPr="0060216C">
        <w:rPr>
          <w:rFonts w:eastAsia="Times New Roman" w:cs="Vrinda"/>
          <w:spacing w:val="2"/>
          <w:lang w:val="es-ES"/>
        </w:rPr>
        <w:t>ob</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v</w:t>
      </w:r>
      <w:r w:rsidRPr="0060216C">
        <w:rPr>
          <w:rFonts w:eastAsia="Times New Roman" w:cs="Vrinda"/>
          <w:spacing w:val="-1"/>
          <w:lang w:val="es-ES"/>
        </w:rPr>
        <w:t>i</w:t>
      </w:r>
      <w:r w:rsidRPr="0060216C">
        <w:rPr>
          <w:rFonts w:eastAsia="Times New Roman" w:cs="Vrinda"/>
          <w:spacing w:val="2"/>
          <w:lang w:val="es-ES"/>
        </w:rPr>
        <w:t>v</w:t>
      </w:r>
      <w:r w:rsidRPr="0060216C">
        <w:rPr>
          <w:rFonts w:eastAsia="Times New Roman" w:cs="Vrinda"/>
          <w:spacing w:val="-1"/>
          <w:lang w:val="es-ES"/>
        </w:rPr>
        <w:t>i</w:t>
      </w:r>
      <w:r w:rsidRPr="0060216C">
        <w:rPr>
          <w:rFonts w:eastAsia="Times New Roman" w:cs="Vrinda"/>
          <w:spacing w:val="2"/>
          <w:lang w:val="es-ES"/>
        </w:rPr>
        <w:t>e</w:t>
      </w:r>
      <w:r w:rsidRPr="0060216C">
        <w:rPr>
          <w:rFonts w:eastAsia="Times New Roman" w:cs="Vrinda"/>
          <w:spacing w:val="-2"/>
          <w:lang w:val="es-ES"/>
        </w:rPr>
        <w:t>n</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lang w:val="es-ES"/>
        </w:rPr>
        <w:t xml:space="preserve">s </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p</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2"/>
          <w:lang w:val="es-ES"/>
        </w:rPr>
        <w:t>en</w:t>
      </w:r>
      <w:r w:rsidRPr="0060216C">
        <w:rPr>
          <w:rFonts w:eastAsia="Times New Roman" w:cs="Vrinda"/>
          <w:spacing w:val="3"/>
          <w:lang w:val="es-ES"/>
        </w:rPr>
        <w:t>t</w:t>
      </w:r>
      <w:r w:rsidRPr="0060216C">
        <w:rPr>
          <w:rFonts w:eastAsia="Times New Roman" w:cs="Vrinda"/>
          <w:lang w:val="es-ES"/>
        </w:rPr>
        <w:t xml:space="preserve">e </w:t>
      </w:r>
      <w:r w:rsidRPr="0060216C">
        <w:rPr>
          <w:rFonts w:eastAsia="Times New Roman" w:cs="Vrinda"/>
          <w:spacing w:val="2"/>
          <w:lang w:val="es-ES"/>
        </w:rPr>
        <w:t>c</w:t>
      </w:r>
      <w:r w:rsidRPr="0060216C">
        <w:rPr>
          <w:rFonts w:eastAsia="Times New Roman" w:cs="Vrinda"/>
          <w:spacing w:val="-2"/>
          <w:lang w:val="es-ES"/>
        </w:rPr>
        <w:t>as</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a</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1"/>
          <w:lang w:val="es-ES"/>
        </w:rPr>
        <w:t>i</w:t>
      </w:r>
      <w:r w:rsidRPr="0060216C">
        <w:rPr>
          <w:rFonts w:eastAsia="Times New Roman" w:cs="Vrinda"/>
          <w:spacing w:val="2"/>
          <w:lang w:val="es-ES"/>
        </w:rPr>
        <w:t>gua</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1"/>
          <w:lang w:val="es-ES"/>
        </w:rPr>
        <w:t xml:space="preserve"> </w:t>
      </w:r>
      <w:r w:rsidRPr="0060216C">
        <w:rPr>
          <w:rFonts w:eastAsia="Times New Roman" w:cs="Vrinda"/>
          <w:spacing w:val="-2"/>
          <w:lang w:val="es-ES"/>
        </w:rPr>
        <w:t>r</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spacing w:val="-1"/>
          <w:lang w:val="es-ES"/>
        </w:rPr>
        <w:t>t</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d</w:t>
      </w:r>
      <w:r w:rsidRPr="0060216C">
        <w:rPr>
          <w:rFonts w:eastAsia="Times New Roman" w:cs="Vrinda"/>
          <w:lang w:val="es-ES"/>
        </w:rPr>
        <w:t>e</w:t>
      </w:r>
      <w:r w:rsidRPr="0060216C">
        <w:rPr>
          <w:rFonts w:eastAsia="Times New Roman" w:cs="Vrinda"/>
          <w:spacing w:val="4"/>
          <w:lang w:val="es-ES"/>
        </w:rPr>
        <w:t xml:space="preserve"> </w:t>
      </w:r>
      <w:r w:rsidRPr="0060216C">
        <w:rPr>
          <w:rFonts w:eastAsia="Times New Roman" w:cs="Vrinda"/>
          <w:spacing w:val="-1"/>
          <w:lang w:val="es-ES"/>
        </w:rPr>
        <w:t>l</w:t>
      </w:r>
      <w:r w:rsidRPr="0060216C">
        <w:rPr>
          <w:rFonts w:eastAsia="Times New Roman" w:cs="Vrinda"/>
          <w:spacing w:val="2"/>
          <w:lang w:val="es-ES"/>
        </w:rPr>
        <w:t>as p</w:t>
      </w:r>
      <w:r w:rsidRPr="0060216C">
        <w:rPr>
          <w:rFonts w:eastAsia="Times New Roman" w:cs="Vrinda"/>
          <w:spacing w:val="-2"/>
          <w:lang w:val="es-ES"/>
        </w:rPr>
        <w:t>ers</w:t>
      </w:r>
      <w:r w:rsidRPr="0060216C">
        <w:rPr>
          <w:rFonts w:eastAsia="Times New Roman" w:cs="Vrinda"/>
          <w:spacing w:val="2"/>
          <w:lang w:val="es-ES"/>
        </w:rPr>
        <w:t>ona</w:t>
      </w:r>
      <w:r w:rsidRPr="0060216C">
        <w:rPr>
          <w:rFonts w:eastAsia="Times New Roman" w:cs="Vrinda"/>
          <w:lang w:val="es-ES"/>
        </w:rPr>
        <w:t>s</w:t>
      </w:r>
      <w:r w:rsidRPr="0060216C">
        <w:rPr>
          <w:rFonts w:eastAsia="Times New Roman" w:cs="Vrinda"/>
          <w:spacing w:val="2"/>
          <w:lang w:val="es-ES"/>
        </w:rPr>
        <w:t xml:space="preserve"> </w:t>
      </w:r>
      <w:r w:rsidRPr="0060216C">
        <w:rPr>
          <w:rFonts w:eastAsia="Times New Roman" w:cs="Vrinda"/>
          <w:spacing w:val="-1"/>
          <w:lang w:val="es-ES"/>
        </w:rPr>
        <w:t>i</w:t>
      </w:r>
      <w:r w:rsidRPr="0060216C">
        <w:rPr>
          <w:rFonts w:eastAsia="Times New Roman" w:cs="Vrinda"/>
          <w:spacing w:val="2"/>
          <w:lang w:val="es-ES"/>
        </w:rPr>
        <w:t>n</w:t>
      </w:r>
      <w:r w:rsidRPr="0060216C">
        <w:rPr>
          <w:rFonts w:eastAsia="Times New Roman" w:cs="Vrinda"/>
          <w:spacing w:val="-1"/>
          <w:lang w:val="es-ES"/>
        </w:rPr>
        <w:t>f</w:t>
      </w:r>
      <w:r w:rsidRPr="0060216C">
        <w:rPr>
          <w:rFonts w:eastAsia="Times New Roman" w:cs="Vrinda"/>
          <w:spacing w:val="-2"/>
          <w:lang w:val="es-ES"/>
        </w:rPr>
        <w:t>ec</w:t>
      </w:r>
      <w:r w:rsidRPr="0060216C">
        <w:rPr>
          <w:rFonts w:eastAsia="Times New Roman" w:cs="Vrinda"/>
          <w:spacing w:val="-1"/>
          <w:lang w:val="es-ES"/>
        </w:rPr>
        <w:t>t</w:t>
      </w:r>
      <w:r w:rsidRPr="0060216C">
        <w:rPr>
          <w:rFonts w:eastAsia="Times New Roman" w:cs="Vrinda"/>
          <w:spacing w:val="2"/>
          <w:lang w:val="es-ES"/>
        </w:rPr>
        <w:t>ada</w:t>
      </w:r>
      <w:r w:rsidRPr="0060216C">
        <w:rPr>
          <w:rFonts w:eastAsia="Times New Roman" w:cs="Vrinda"/>
          <w:lang w:val="es-ES"/>
        </w:rPr>
        <w:t>s</w:t>
      </w:r>
      <w:r w:rsidRPr="0060216C">
        <w:rPr>
          <w:rFonts w:eastAsia="Times New Roman" w:cs="Vrinda"/>
          <w:spacing w:val="2"/>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e</w:t>
      </w:r>
      <w:r w:rsidRPr="0060216C">
        <w:rPr>
          <w:rFonts w:eastAsia="Times New Roman" w:cs="Vrinda"/>
          <w:spacing w:val="1"/>
          <w:lang w:val="es-ES"/>
        </w:rPr>
        <w:t xml:space="preserve"> </w:t>
      </w:r>
      <w:r w:rsidRPr="0060216C">
        <w:rPr>
          <w:rFonts w:eastAsia="Times New Roman" w:cs="Vrinda"/>
          <w:spacing w:val="-2"/>
          <w:lang w:val="es-ES"/>
        </w:rPr>
        <w:t>res</w:t>
      </w:r>
      <w:r w:rsidRPr="0060216C">
        <w:rPr>
          <w:rFonts w:eastAsia="Times New Roman" w:cs="Vrinda"/>
          <w:spacing w:val="-1"/>
          <w:lang w:val="es-ES"/>
        </w:rPr>
        <w:t>i</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lang w:val="es-ES"/>
        </w:rPr>
        <w:t>n</w:t>
      </w:r>
      <w:r w:rsidRPr="0060216C">
        <w:rPr>
          <w:rFonts w:eastAsia="Times New Roman" w:cs="Vrinda"/>
          <w:spacing w:val="5"/>
          <w:lang w:val="es-ES"/>
        </w:rPr>
        <w:t xml:space="preserve"> </w:t>
      </w:r>
      <w:r w:rsidRPr="0060216C">
        <w:rPr>
          <w:rFonts w:eastAsia="Times New Roman" w:cs="Vrinda"/>
          <w:spacing w:val="-2"/>
          <w:lang w:val="es-ES"/>
        </w:rPr>
        <w:t>e</w:t>
      </w:r>
      <w:r w:rsidRPr="0060216C">
        <w:rPr>
          <w:rFonts w:eastAsia="Times New Roman" w:cs="Vrinda"/>
          <w:lang w:val="es-ES"/>
        </w:rPr>
        <w:t>n</w:t>
      </w:r>
      <w:r w:rsidRPr="0060216C">
        <w:rPr>
          <w:rFonts w:eastAsia="Times New Roman" w:cs="Vrinda"/>
          <w:spacing w:val="5"/>
          <w:lang w:val="es-ES"/>
        </w:rPr>
        <w:t xml:space="preserve"> </w:t>
      </w:r>
      <w:r w:rsidRPr="0060216C">
        <w:rPr>
          <w:rFonts w:eastAsia="Times New Roman" w:cs="Vrinda"/>
          <w:spacing w:val="-2"/>
          <w:lang w:val="es-ES"/>
        </w:rPr>
        <w:t>e</w:t>
      </w:r>
      <w:r w:rsidRPr="0060216C">
        <w:rPr>
          <w:rFonts w:eastAsia="Times New Roman" w:cs="Vrinda"/>
          <w:lang w:val="es-ES"/>
        </w:rPr>
        <w:t>l</w:t>
      </w:r>
      <w:r w:rsidRPr="0060216C">
        <w:rPr>
          <w:rFonts w:eastAsia="Times New Roman" w:cs="Vrinda"/>
          <w:spacing w:val="2"/>
          <w:lang w:val="es-ES"/>
        </w:rPr>
        <w:t xml:space="preserve"> pa</w:t>
      </w:r>
      <w:r w:rsidRPr="0060216C">
        <w:rPr>
          <w:rFonts w:eastAsia="Times New Roman" w:cs="Vrinda"/>
          <w:spacing w:val="-1"/>
          <w:lang w:val="es-ES"/>
        </w:rPr>
        <w:t>í</w:t>
      </w:r>
      <w:r w:rsidRPr="0060216C">
        <w:rPr>
          <w:rFonts w:eastAsia="Times New Roman" w:cs="Vrinda"/>
          <w:lang w:val="es-ES"/>
        </w:rPr>
        <w:t>s, y</w:t>
      </w:r>
      <w:r w:rsidRPr="0060216C">
        <w:rPr>
          <w:rFonts w:eastAsia="Times New Roman" w:cs="Vrinda"/>
          <w:spacing w:val="1"/>
          <w:lang w:val="es-ES"/>
        </w:rPr>
        <w:t xml:space="preserve">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e</w:t>
      </w:r>
      <w:r w:rsidRPr="0060216C">
        <w:rPr>
          <w:rFonts w:eastAsia="Times New Roman" w:cs="Vrinda"/>
          <w:spacing w:val="1"/>
          <w:lang w:val="es-ES"/>
        </w:rPr>
        <w:t xml:space="preserve"> </w:t>
      </w:r>
      <w:r w:rsidRPr="0060216C">
        <w:rPr>
          <w:rFonts w:eastAsia="Times New Roman" w:cs="Vrinda"/>
          <w:spacing w:val="-2"/>
          <w:lang w:val="es-ES"/>
        </w:rPr>
        <w:t>y</w:t>
      </w:r>
      <w:r w:rsidRPr="0060216C">
        <w:rPr>
          <w:rFonts w:eastAsia="Times New Roman" w:cs="Vrinda"/>
          <w:lang w:val="es-ES"/>
        </w:rPr>
        <w:t>a</w:t>
      </w:r>
      <w:r w:rsidRPr="0060216C">
        <w:rPr>
          <w:rFonts w:eastAsia="Times New Roman" w:cs="Vrinda"/>
          <w:spacing w:val="1"/>
          <w:lang w:val="es-ES"/>
        </w:rPr>
        <w:t xml:space="preserve"> </w:t>
      </w:r>
      <w:r w:rsidRPr="0060216C">
        <w:rPr>
          <w:rFonts w:eastAsia="Times New Roman" w:cs="Vrinda"/>
          <w:spacing w:val="2"/>
          <w:lang w:val="es-ES"/>
        </w:rPr>
        <w:t>s</w:t>
      </w:r>
      <w:r w:rsidRPr="0060216C">
        <w:rPr>
          <w:rFonts w:eastAsia="Times New Roman" w:cs="Vrinda"/>
          <w:lang w:val="es-ES"/>
        </w:rPr>
        <w:t>e</w:t>
      </w:r>
      <w:r w:rsidRPr="0060216C">
        <w:rPr>
          <w:rFonts w:eastAsia="Times New Roman" w:cs="Vrinda"/>
          <w:spacing w:val="1"/>
          <w:lang w:val="es-ES"/>
        </w:rPr>
        <w:t xml:space="preserve"> </w:t>
      </w:r>
      <w:r w:rsidRPr="0060216C">
        <w:rPr>
          <w:rFonts w:eastAsia="Times New Roman" w:cs="Vrinda"/>
          <w:spacing w:val="-2"/>
          <w:lang w:val="es-ES"/>
        </w:rPr>
        <w:t>h</w:t>
      </w:r>
      <w:r w:rsidRPr="0060216C">
        <w:rPr>
          <w:rFonts w:eastAsia="Times New Roman" w:cs="Vrinda"/>
          <w:spacing w:val="2"/>
          <w:lang w:val="es-ES"/>
        </w:rPr>
        <w:t>a</w:t>
      </w:r>
      <w:r w:rsidRPr="0060216C">
        <w:rPr>
          <w:rFonts w:eastAsia="Times New Roman" w:cs="Vrinda"/>
          <w:lang w:val="es-ES"/>
        </w:rPr>
        <w:t>n</w:t>
      </w:r>
      <w:r w:rsidRPr="0060216C">
        <w:rPr>
          <w:rFonts w:eastAsia="Times New Roman" w:cs="Vrinda"/>
          <w:spacing w:val="1"/>
          <w:lang w:val="es-ES"/>
        </w:rPr>
        <w:t xml:space="preserve"> </w:t>
      </w:r>
      <w:r w:rsidRPr="0060216C">
        <w:rPr>
          <w:rFonts w:eastAsia="Times New Roman" w:cs="Vrinda"/>
          <w:spacing w:val="-1"/>
          <w:lang w:val="es-ES"/>
        </w:rPr>
        <w:t>i</w:t>
      </w:r>
      <w:r w:rsidRPr="0060216C">
        <w:rPr>
          <w:rFonts w:eastAsia="Times New Roman" w:cs="Vrinda"/>
          <w:spacing w:val="1"/>
          <w:lang w:val="es-ES"/>
        </w:rPr>
        <w:t>m</w:t>
      </w:r>
      <w:r w:rsidRPr="0060216C">
        <w:rPr>
          <w:rFonts w:eastAsia="Times New Roman" w:cs="Vrinda"/>
          <w:spacing w:val="2"/>
          <w:lang w:val="es-ES"/>
        </w:rPr>
        <w:t>p</w:t>
      </w:r>
      <w:r w:rsidRPr="0060216C">
        <w:rPr>
          <w:rFonts w:eastAsia="Times New Roman" w:cs="Vrinda"/>
          <w:spacing w:val="-1"/>
          <w:lang w:val="es-ES"/>
        </w:rPr>
        <w:t>l</w:t>
      </w:r>
      <w:r w:rsidRPr="0060216C">
        <w:rPr>
          <w:rFonts w:eastAsia="Times New Roman" w:cs="Vrinda"/>
          <w:spacing w:val="-2"/>
          <w:lang w:val="es-ES"/>
        </w:rPr>
        <w:t>e</w:t>
      </w:r>
      <w:r w:rsidRPr="0060216C">
        <w:rPr>
          <w:rFonts w:eastAsia="Times New Roman" w:cs="Vrinda"/>
          <w:spacing w:val="1"/>
          <w:lang w:val="es-ES"/>
        </w:rPr>
        <w:t>m</w:t>
      </w:r>
      <w:r w:rsidRPr="0060216C">
        <w:rPr>
          <w:rFonts w:eastAsia="Times New Roman" w:cs="Vrinda"/>
          <w:spacing w:val="-2"/>
          <w:lang w:val="es-ES"/>
        </w:rPr>
        <w:t>e</w:t>
      </w:r>
      <w:r w:rsidRPr="0060216C">
        <w:rPr>
          <w:rFonts w:eastAsia="Times New Roman" w:cs="Vrinda"/>
          <w:spacing w:val="2"/>
          <w:lang w:val="es-ES"/>
        </w:rPr>
        <w:t>n</w:t>
      </w:r>
      <w:r w:rsidRPr="0060216C">
        <w:rPr>
          <w:rFonts w:eastAsia="Times New Roman" w:cs="Vrinda"/>
          <w:spacing w:val="-1"/>
          <w:lang w:val="es-ES"/>
        </w:rPr>
        <w:t>t</w:t>
      </w:r>
      <w:r w:rsidRPr="0060216C">
        <w:rPr>
          <w:rFonts w:eastAsia="Times New Roman" w:cs="Vrinda"/>
          <w:spacing w:val="-2"/>
          <w:lang w:val="es-ES"/>
        </w:rPr>
        <w:t>a</w:t>
      </w:r>
      <w:r w:rsidRPr="0060216C">
        <w:rPr>
          <w:rFonts w:eastAsia="Times New Roman" w:cs="Vrinda"/>
          <w:spacing w:val="2"/>
          <w:lang w:val="es-ES"/>
        </w:rPr>
        <w:t>d</w:t>
      </w:r>
      <w:r w:rsidRPr="0060216C">
        <w:rPr>
          <w:rFonts w:eastAsia="Times New Roman" w:cs="Vrinda"/>
          <w:lang w:val="es-ES"/>
        </w:rPr>
        <w:t>o</w:t>
      </w:r>
      <w:r w:rsidRPr="0060216C">
        <w:rPr>
          <w:rFonts w:eastAsia="Times New Roman" w:cs="Vrinda"/>
          <w:spacing w:val="5"/>
          <w:lang w:val="es-ES"/>
        </w:rPr>
        <w:t xml:space="preserve"> </w:t>
      </w:r>
      <w:r w:rsidRPr="0060216C">
        <w:rPr>
          <w:rFonts w:eastAsia="Times New Roman" w:cs="Vrinda"/>
          <w:spacing w:val="-1"/>
          <w:lang w:val="es-ES"/>
        </w:rPr>
        <w:t>l</w:t>
      </w:r>
      <w:r w:rsidRPr="0060216C">
        <w:rPr>
          <w:rFonts w:eastAsia="Times New Roman" w:cs="Vrinda"/>
          <w:spacing w:val="2"/>
          <w:lang w:val="es-ES"/>
        </w:rPr>
        <w:t>o</w:t>
      </w:r>
      <w:r w:rsidRPr="0060216C">
        <w:rPr>
          <w:rFonts w:eastAsia="Times New Roman" w:cs="Vrinda"/>
          <w:lang w:val="es-ES"/>
        </w:rPr>
        <w:t>s</w:t>
      </w:r>
      <w:r w:rsidRPr="0060216C">
        <w:rPr>
          <w:rFonts w:eastAsia="Times New Roman" w:cs="Vrinda"/>
          <w:spacing w:val="2"/>
          <w:lang w:val="es-ES"/>
        </w:rPr>
        <w:t xml:space="preserve"> </w:t>
      </w:r>
      <w:r w:rsidRPr="0060216C">
        <w:rPr>
          <w:rFonts w:eastAsia="Times New Roman" w:cs="Vrinda"/>
          <w:spacing w:val="1"/>
          <w:lang w:val="es-ES"/>
        </w:rPr>
        <w:t>m</w:t>
      </w:r>
      <w:r w:rsidRPr="0060216C">
        <w:rPr>
          <w:rFonts w:eastAsia="Times New Roman" w:cs="Vrinda"/>
          <w:spacing w:val="-2"/>
          <w:lang w:val="es-ES"/>
        </w:rPr>
        <w:t>ecan</w:t>
      </w:r>
      <w:r w:rsidRPr="0060216C">
        <w:rPr>
          <w:rFonts w:eastAsia="Times New Roman" w:cs="Vrinda"/>
          <w:spacing w:val="3"/>
          <w:lang w:val="es-ES"/>
        </w:rPr>
        <w:t>i</w:t>
      </w:r>
      <w:r w:rsidRPr="0060216C">
        <w:rPr>
          <w:rFonts w:eastAsia="Times New Roman" w:cs="Vrinda"/>
          <w:spacing w:val="-2"/>
          <w:lang w:val="es-ES"/>
        </w:rPr>
        <w:t>s</w:t>
      </w:r>
      <w:r w:rsidRPr="0060216C">
        <w:rPr>
          <w:rFonts w:eastAsia="Times New Roman" w:cs="Vrinda"/>
          <w:spacing w:val="1"/>
          <w:lang w:val="es-ES"/>
        </w:rPr>
        <w:t>m</w:t>
      </w:r>
      <w:r w:rsidRPr="0060216C">
        <w:rPr>
          <w:rFonts w:eastAsia="Times New Roman" w:cs="Vrinda"/>
          <w:spacing w:val="2"/>
          <w:lang w:val="es-ES"/>
        </w:rPr>
        <w:t>o</w:t>
      </w:r>
      <w:r w:rsidRPr="0060216C">
        <w:rPr>
          <w:rFonts w:eastAsia="Times New Roman" w:cs="Vrinda"/>
          <w:lang w:val="es-ES"/>
        </w:rPr>
        <w:t>s</w:t>
      </w:r>
      <w:r w:rsidRPr="0060216C">
        <w:rPr>
          <w:rFonts w:eastAsia="Times New Roman" w:cs="Vrinda"/>
          <w:spacing w:val="1"/>
          <w:lang w:val="es-ES"/>
        </w:rPr>
        <w:t xml:space="preserve">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2"/>
          <w:lang w:val="es-ES"/>
        </w:rPr>
        <w:t>n</w:t>
      </w:r>
      <w:r w:rsidRPr="0060216C">
        <w:rPr>
          <w:rFonts w:eastAsia="Times New Roman" w:cs="Vrinda"/>
          <w:lang w:val="es-ES"/>
        </w:rPr>
        <w:t>o</w:t>
      </w:r>
      <w:r w:rsidRPr="0060216C">
        <w:rPr>
          <w:rFonts w:eastAsia="Times New Roman" w:cs="Vrinda"/>
          <w:spacing w:val="3"/>
          <w:lang w:val="es-ES"/>
        </w:rPr>
        <w:t xml:space="preserve"> </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2"/>
          <w:lang w:val="es-ES"/>
        </w:rPr>
        <w:t>p</w:t>
      </w:r>
      <w:r w:rsidRPr="0060216C">
        <w:rPr>
          <w:rFonts w:eastAsia="Times New Roman" w:cs="Vrinda"/>
          <w:spacing w:val="-2"/>
          <w:lang w:val="es-ES"/>
        </w:rPr>
        <w:t>e</w:t>
      </w:r>
      <w:r w:rsidRPr="0060216C">
        <w:rPr>
          <w:rFonts w:eastAsia="Times New Roman" w:cs="Vrinda"/>
          <w:spacing w:val="-1"/>
          <w:lang w:val="es-ES"/>
        </w:rPr>
        <w:t>ti</w:t>
      </w:r>
      <w:r w:rsidRPr="0060216C">
        <w:rPr>
          <w:rFonts w:eastAsia="Times New Roman" w:cs="Vrinda"/>
          <w:spacing w:val="2"/>
          <w:lang w:val="es-ES"/>
        </w:rPr>
        <w:t>c</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spacing w:val="-2"/>
          <w:lang w:val="es-ES"/>
        </w:rPr>
        <w:t>n</w:t>
      </w:r>
      <w:r w:rsidR="00057D28" w:rsidRPr="00306FCD">
        <w:rPr>
          <w:rFonts w:eastAsia="Times New Roman" w:cs="Vrinda"/>
          <w:lang w:val="es-ES"/>
        </w:rPr>
        <w:t>.</w:t>
      </w:r>
    </w:p>
    <w:p w14:paraId="255375A0" w14:textId="17E45210" w:rsidR="00F12B1C" w:rsidRPr="0061727E" w:rsidRDefault="00F12B1C" w:rsidP="0061727E">
      <w:pPr>
        <w:rPr>
          <w:rFonts w:eastAsiaTheme="minorHAnsi" w:cs="Vrinda"/>
          <w:lang w:val="es-ES"/>
        </w:rPr>
      </w:pPr>
    </w:p>
    <w:p w14:paraId="5F0DD75B" w14:textId="253B594B" w:rsidR="00F63F5C" w:rsidRDefault="00E841F7" w:rsidP="0061727E">
      <w:pPr>
        <w:rPr>
          <w:rFonts w:eastAsiaTheme="minorHAnsi" w:cs="Vrinda"/>
          <w:b/>
          <w:i/>
          <w:lang w:val="es-ES"/>
        </w:rPr>
      </w:pPr>
      <w:r>
        <w:rPr>
          <w:rFonts w:eastAsiaTheme="minorHAnsi" w:cs="Vrinda"/>
          <w:b/>
          <w:i/>
          <w:lang w:val="es-ES"/>
        </w:rPr>
        <w:tab/>
      </w:r>
      <w:r>
        <w:rPr>
          <w:rFonts w:eastAsiaTheme="minorHAnsi" w:cs="Vrinda"/>
          <w:b/>
          <w:i/>
          <w:lang w:val="es-ES"/>
        </w:rPr>
        <w:tab/>
      </w:r>
      <w:r>
        <w:rPr>
          <w:rFonts w:eastAsiaTheme="minorHAnsi" w:cs="Vrinda"/>
          <w:b/>
          <w:i/>
          <w:lang w:val="es-ES"/>
        </w:rPr>
        <w:tab/>
      </w:r>
      <w:r w:rsidR="00F63F5C" w:rsidRPr="0086240C">
        <w:rPr>
          <w:rFonts w:eastAsiaTheme="minorHAnsi" w:cs="Vrinda"/>
          <w:b/>
          <w:i/>
          <w:lang w:val="es-ES"/>
        </w:rPr>
        <w:t>B.3.1. Consideraciones de la Corte</w:t>
      </w:r>
    </w:p>
    <w:p w14:paraId="673BB65F" w14:textId="77777777" w:rsidR="0061727E" w:rsidRPr="0086240C" w:rsidRDefault="0061727E" w:rsidP="0061727E">
      <w:pPr>
        <w:rPr>
          <w:rFonts w:cs="Vrinda"/>
        </w:rPr>
      </w:pPr>
    </w:p>
    <w:p w14:paraId="0B928F5B" w14:textId="297BD1A4" w:rsidR="009F5859" w:rsidRPr="00E44260" w:rsidRDefault="001B63C4" w:rsidP="0061727E">
      <w:pPr>
        <w:numPr>
          <w:ilvl w:val="0"/>
          <w:numId w:val="3"/>
        </w:numPr>
        <w:tabs>
          <w:tab w:val="left" w:pos="709"/>
          <w:tab w:val="left" w:pos="1134"/>
        </w:tabs>
        <w:ind w:left="0" w:right="-4" w:firstLine="0"/>
        <w:rPr>
          <w:rFonts w:cs="Vrinda"/>
        </w:rPr>
      </w:pPr>
      <w:r w:rsidRPr="00E44260">
        <w:rPr>
          <w:rFonts w:cs="Vrinda"/>
        </w:rPr>
        <w:t>La Corte toma nota y valora positivamente las medidas legislativas y de política pública que han sido adoptadas por el Estado para combatir la epidemia del VIH en Guatemala. Sin perjuicio de ello, y tomando en consideración las violaciones ocurridas en el presente caso,  la información disponible respecto a la falta de tratamiento médico de una parte de la población que vive con el VIH en Guatemala, y los objetivos y metas a los que se comprometieron los Estados en la Agenda 2030 (</w:t>
      </w:r>
      <w:r w:rsidRPr="00E44260">
        <w:rPr>
          <w:rFonts w:cs="Vrinda"/>
          <w:i/>
        </w:rPr>
        <w:t xml:space="preserve">supra </w:t>
      </w:r>
      <w:r w:rsidRPr="00E44260">
        <w:rPr>
          <w:rFonts w:cs="Vrinda"/>
        </w:rPr>
        <w:t>párr. 109), el Tribunal considera pertinente ordenar las siguientes medidas de reparación como garantías de no repetición</w:t>
      </w:r>
      <w:r w:rsidRPr="00E44260">
        <w:rPr>
          <w:rStyle w:val="Refdenotaalpie"/>
          <w:shd w:val="clear" w:color="auto" w:fill="FFFFFF"/>
        </w:rPr>
        <w:footnoteReference w:id="252"/>
      </w:r>
      <w:r w:rsidRPr="00E44260">
        <w:rPr>
          <w:rFonts w:eastAsia="Times New Roman" w:cs="Arial"/>
          <w:shd w:val="clear" w:color="auto" w:fill="FFFFFF"/>
        </w:rPr>
        <w:t>.</w:t>
      </w:r>
    </w:p>
    <w:p w14:paraId="748DF29D" w14:textId="77777777" w:rsidR="0061727E" w:rsidRPr="0086240C" w:rsidRDefault="0061727E" w:rsidP="0061727E">
      <w:pPr>
        <w:tabs>
          <w:tab w:val="left" w:pos="709"/>
          <w:tab w:val="left" w:pos="1134"/>
        </w:tabs>
        <w:ind w:right="-4"/>
        <w:rPr>
          <w:rFonts w:cs="Vrinda"/>
        </w:rPr>
      </w:pPr>
    </w:p>
    <w:p w14:paraId="4F4524E4" w14:textId="3B8125CE" w:rsidR="009919EA" w:rsidRPr="0061727E" w:rsidRDefault="005172AD" w:rsidP="0061727E">
      <w:pPr>
        <w:numPr>
          <w:ilvl w:val="0"/>
          <w:numId w:val="3"/>
        </w:numPr>
        <w:tabs>
          <w:tab w:val="left" w:pos="709"/>
          <w:tab w:val="left" w:pos="1134"/>
        </w:tabs>
        <w:ind w:left="0" w:right="-4" w:firstLine="0"/>
        <w:rPr>
          <w:rFonts w:cs="Vrinda"/>
          <w:b/>
          <w:lang w:val="es-CO"/>
        </w:rPr>
      </w:pPr>
      <w:r w:rsidRPr="0086240C">
        <w:rPr>
          <w:rFonts w:cs="Vrinda"/>
        </w:rPr>
        <w:t xml:space="preserve">En </w:t>
      </w:r>
      <w:r w:rsidR="00BF5B6C" w:rsidRPr="0086240C">
        <w:rPr>
          <w:rFonts w:cs="Vrinda"/>
        </w:rPr>
        <w:t>primer</w:t>
      </w:r>
      <w:r w:rsidRPr="0086240C">
        <w:rPr>
          <w:rFonts w:cs="Vrinda"/>
        </w:rPr>
        <w:t xml:space="preserve"> lugar, </w:t>
      </w:r>
      <w:r w:rsidR="00800315" w:rsidRPr="0086240C">
        <w:rPr>
          <w:rFonts w:cs="Vrinda"/>
        </w:rPr>
        <w:t xml:space="preserve">la Corte considera que el Estado debe implementar mecanismos efectivos de fiscalización y supervisión periódica de los hospitales públicos a fin de asegurar que se brinde una atención integral en materia de salud para personas </w:t>
      </w:r>
      <w:r w:rsidR="00306FCD">
        <w:rPr>
          <w:rFonts w:cs="Vrinda"/>
        </w:rPr>
        <w:t xml:space="preserve">que viven </w:t>
      </w:r>
      <w:r w:rsidR="00800315" w:rsidRPr="0086240C">
        <w:rPr>
          <w:rFonts w:cs="Vrinda"/>
        </w:rPr>
        <w:t xml:space="preserve">con </w:t>
      </w:r>
      <w:r w:rsidR="00306FCD">
        <w:rPr>
          <w:rFonts w:cs="Vrinda"/>
        </w:rPr>
        <w:t xml:space="preserve">el </w:t>
      </w:r>
      <w:r w:rsidR="00800315" w:rsidRPr="0086240C">
        <w:rPr>
          <w:rFonts w:cs="Vrinda"/>
        </w:rPr>
        <w:t>VIH</w:t>
      </w:r>
      <w:r w:rsidR="00D459C8" w:rsidRPr="0086240C">
        <w:rPr>
          <w:rFonts w:cs="Vrinda"/>
        </w:rPr>
        <w:t>,</w:t>
      </w:r>
      <w:r w:rsidR="00800315" w:rsidRPr="0086240C">
        <w:rPr>
          <w:rFonts w:cs="Vrinda"/>
        </w:rPr>
        <w:t xml:space="preserve"> acorde a</w:t>
      </w:r>
      <w:r w:rsidR="00D459C8" w:rsidRPr="0086240C">
        <w:rPr>
          <w:rFonts w:cs="Vrinda"/>
        </w:rPr>
        <w:t xml:space="preserve"> la legislación interna y a</w:t>
      </w:r>
      <w:r w:rsidR="00800315" w:rsidRPr="0086240C">
        <w:rPr>
          <w:rFonts w:cs="Vrinda"/>
        </w:rPr>
        <w:t xml:space="preserve"> </w:t>
      </w:r>
      <w:r w:rsidR="00556ACD" w:rsidRPr="0086240C">
        <w:rPr>
          <w:rFonts w:cs="Vrinda"/>
        </w:rPr>
        <w:t>lo establecido en la</w:t>
      </w:r>
      <w:r w:rsidR="009106EF">
        <w:rPr>
          <w:rFonts w:cs="Vrinda"/>
        </w:rPr>
        <w:t xml:space="preserve"> presente sentencia (</w:t>
      </w:r>
      <w:r w:rsidR="009106EF" w:rsidRPr="009106EF">
        <w:rPr>
          <w:rFonts w:cs="Vrinda"/>
          <w:i/>
        </w:rPr>
        <w:t>supra</w:t>
      </w:r>
      <w:r w:rsidR="009106EF">
        <w:rPr>
          <w:rFonts w:cs="Vrinda"/>
        </w:rPr>
        <w:t xml:space="preserve"> párrs. 103 a 114</w:t>
      </w:r>
      <w:r w:rsidR="00556ACD" w:rsidRPr="0086240C">
        <w:rPr>
          <w:rFonts w:cs="Vrinda"/>
        </w:rPr>
        <w:t>)</w:t>
      </w:r>
      <w:r w:rsidR="00800315" w:rsidRPr="0086240C">
        <w:rPr>
          <w:rFonts w:cs="Vrinda"/>
        </w:rPr>
        <w:t>. Para ello, el Estado deber</w:t>
      </w:r>
      <w:r w:rsidR="00E316B6" w:rsidRPr="0086240C">
        <w:rPr>
          <w:rFonts w:cs="Vrinda"/>
        </w:rPr>
        <w:t>á</w:t>
      </w:r>
      <w:r w:rsidR="00800315" w:rsidRPr="0086240C">
        <w:rPr>
          <w:rFonts w:cs="Vrinda"/>
        </w:rPr>
        <w:t xml:space="preserve"> instaurar un sistema de información sobre el alcance de la epidemia del VIH en el país</w:t>
      </w:r>
      <w:r w:rsidR="00E316B6" w:rsidRPr="0086240C">
        <w:rPr>
          <w:rFonts w:cs="Vrinda"/>
        </w:rPr>
        <w:t xml:space="preserve">, </w:t>
      </w:r>
      <w:r w:rsidR="00D459C8" w:rsidRPr="0086240C">
        <w:rPr>
          <w:rFonts w:cs="Vrinda"/>
        </w:rPr>
        <w:t>el</w:t>
      </w:r>
      <w:r w:rsidR="00E316B6" w:rsidRPr="0086240C">
        <w:rPr>
          <w:rFonts w:cs="Vrinda"/>
        </w:rPr>
        <w:t xml:space="preserve"> cual deberá contener información estadística de las personas atendidas por el sistema de salud público, así como información estadística sobre el sexo, </w:t>
      </w:r>
      <w:r w:rsidR="00E316B6" w:rsidRPr="0086240C">
        <w:rPr>
          <w:rFonts w:cs="Vrinda"/>
        </w:rPr>
        <w:lastRenderedPageBreak/>
        <w:t>edad, etnia, lengua y condición socioeconómica de los pacientes.</w:t>
      </w:r>
      <w:r w:rsidR="00556ACD" w:rsidRPr="0086240C">
        <w:rPr>
          <w:rFonts w:cs="Vrinda"/>
        </w:rPr>
        <w:t xml:space="preserve"> </w:t>
      </w:r>
      <w:r w:rsidR="00B642C9" w:rsidRPr="0086240C">
        <w:rPr>
          <w:rFonts w:cs="Vrinda"/>
        </w:rPr>
        <w:t>Igualmente debe instaurar un sistema que le permita hacer un diagnóstico de la atención prestada a la población</w:t>
      </w:r>
      <w:r w:rsidR="009106EF">
        <w:rPr>
          <w:rFonts w:cs="Vrinda"/>
        </w:rPr>
        <w:t xml:space="preserve"> que vive</w:t>
      </w:r>
      <w:r w:rsidR="00B642C9" w:rsidRPr="0086240C">
        <w:rPr>
          <w:rFonts w:cs="Vrinda"/>
        </w:rPr>
        <w:t xml:space="preserve"> con</w:t>
      </w:r>
      <w:r w:rsidR="009106EF">
        <w:rPr>
          <w:rFonts w:cs="Vrinda"/>
        </w:rPr>
        <w:t xml:space="preserve"> el</w:t>
      </w:r>
      <w:r w:rsidR="007F51DE">
        <w:rPr>
          <w:rFonts w:cs="Vrinda"/>
        </w:rPr>
        <w:t xml:space="preserve"> VIH, para lo cual deberá</w:t>
      </w:r>
      <w:r w:rsidR="00B642C9" w:rsidRPr="0086240C">
        <w:rPr>
          <w:rFonts w:cs="Vrinda"/>
        </w:rPr>
        <w:t xml:space="preserve"> establecer el número de establecimientos que atienden a esta población, su ubicación geográfica </w:t>
      </w:r>
      <w:r w:rsidR="00BA2FDE" w:rsidRPr="0086240C">
        <w:rPr>
          <w:rFonts w:cs="Vrinda"/>
        </w:rPr>
        <w:t>e</w:t>
      </w:r>
      <w:r w:rsidR="00B642C9" w:rsidRPr="0086240C">
        <w:rPr>
          <w:rFonts w:cs="Vrinda"/>
        </w:rPr>
        <w:t xml:space="preserve"> infraestructura. Este diagnóst</w:t>
      </w:r>
      <w:r w:rsidR="00BA2FDE" w:rsidRPr="0086240C">
        <w:rPr>
          <w:rFonts w:cs="Vrinda"/>
        </w:rPr>
        <w:t>i</w:t>
      </w:r>
      <w:r w:rsidR="00B642C9" w:rsidRPr="0086240C">
        <w:rPr>
          <w:rFonts w:cs="Vrinda"/>
        </w:rPr>
        <w:t xml:space="preserve">co servirá de base para </w:t>
      </w:r>
      <w:r w:rsidR="00BA2FDE" w:rsidRPr="0086240C">
        <w:rPr>
          <w:rFonts w:cs="Vrinda"/>
        </w:rPr>
        <w:t>la elaboración</w:t>
      </w:r>
      <w:r w:rsidR="00B642C9" w:rsidRPr="0086240C">
        <w:rPr>
          <w:rFonts w:cs="Vrinda"/>
        </w:rPr>
        <w:t xml:space="preserve"> </w:t>
      </w:r>
      <w:r w:rsidR="00BA2FDE" w:rsidRPr="0086240C">
        <w:rPr>
          <w:rFonts w:cs="Vrinda"/>
        </w:rPr>
        <w:t>d</w:t>
      </w:r>
      <w:r w:rsidR="00B642C9" w:rsidRPr="0086240C">
        <w:rPr>
          <w:rFonts w:cs="Vrinda"/>
        </w:rPr>
        <w:t>el mecanismo de mejoramiento de accesibilidad, disponibilidad y calidad de las prestaciones en materia de salud para la población</w:t>
      </w:r>
      <w:r w:rsidR="00306FCD">
        <w:rPr>
          <w:rFonts w:cs="Vrinda"/>
        </w:rPr>
        <w:t xml:space="preserve"> que vive</w:t>
      </w:r>
      <w:r w:rsidR="00B642C9" w:rsidRPr="0086240C">
        <w:rPr>
          <w:rFonts w:cs="Vrinda"/>
        </w:rPr>
        <w:t xml:space="preserve"> con</w:t>
      </w:r>
      <w:r w:rsidR="00306FCD">
        <w:rPr>
          <w:rFonts w:cs="Vrinda"/>
        </w:rPr>
        <w:t xml:space="preserve"> el</w:t>
      </w:r>
      <w:r w:rsidR="00B642C9" w:rsidRPr="0086240C">
        <w:rPr>
          <w:rFonts w:cs="Vrinda"/>
        </w:rPr>
        <w:t xml:space="preserve"> VIH a que se refiere el párrafo siguiente.</w:t>
      </w:r>
    </w:p>
    <w:p w14:paraId="41A81A0F" w14:textId="77777777" w:rsidR="0061727E" w:rsidRPr="0086240C" w:rsidRDefault="0061727E" w:rsidP="0061727E">
      <w:pPr>
        <w:tabs>
          <w:tab w:val="left" w:pos="709"/>
          <w:tab w:val="left" w:pos="1134"/>
        </w:tabs>
        <w:ind w:right="-4"/>
        <w:rPr>
          <w:rFonts w:cs="Vrinda"/>
          <w:b/>
          <w:lang w:val="es-CO"/>
        </w:rPr>
      </w:pPr>
    </w:p>
    <w:p w14:paraId="080D6722" w14:textId="77D81511" w:rsidR="00D044EE" w:rsidRPr="0061727E" w:rsidRDefault="009919EA" w:rsidP="0061727E">
      <w:pPr>
        <w:numPr>
          <w:ilvl w:val="0"/>
          <w:numId w:val="3"/>
        </w:numPr>
        <w:tabs>
          <w:tab w:val="left" w:pos="709"/>
          <w:tab w:val="left" w:pos="1134"/>
        </w:tabs>
        <w:ind w:left="0" w:right="-4" w:firstLine="0"/>
        <w:rPr>
          <w:rFonts w:cs="Vrinda"/>
          <w:b/>
          <w:lang w:val="es-CO"/>
        </w:rPr>
      </w:pPr>
      <w:r w:rsidRPr="0086240C">
        <w:rPr>
          <w:rFonts w:cs="Vrinda"/>
          <w:lang w:val="es-CO"/>
        </w:rPr>
        <w:t xml:space="preserve">El Estado debe diseñar un mecanismo para </w:t>
      </w:r>
      <w:r w:rsidR="00BD0EDF" w:rsidRPr="001D26A2">
        <w:rPr>
          <w:rFonts w:cs="Vrinda"/>
          <w:lang w:val="es-CO"/>
        </w:rPr>
        <w:t>garantizar</w:t>
      </w:r>
      <w:r w:rsidRPr="001D26A2">
        <w:rPr>
          <w:rFonts w:cs="Vrinda"/>
          <w:lang w:val="es-CO"/>
        </w:rPr>
        <w:t xml:space="preserve"> la accesibilidad, disponibilidad y calidad de l</w:t>
      </w:r>
      <w:r w:rsidR="00BD0EDF" w:rsidRPr="001D26A2">
        <w:rPr>
          <w:rFonts w:cs="Vrinda"/>
          <w:lang w:val="es-CO"/>
        </w:rPr>
        <w:t>os antrirretrovirales, los exámenes diagnósticos y la</w:t>
      </w:r>
      <w:r w:rsidRPr="001D26A2">
        <w:rPr>
          <w:rFonts w:cs="Vrinda"/>
          <w:lang w:val="es-CO"/>
        </w:rPr>
        <w:t xml:space="preserve">s prestaciones en salud </w:t>
      </w:r>
      <w:r w:rsidRPr="0086240C">
        <w:rPr>
          <w:rFonts w:cs="Vrinda"/>
          <w:lang w:val="es-CO"/>
        </w:rPr>
        <w:t xml:space="preserve">para la población con </w:t>
      </w:r>
      <w:r w:rsidR="00306FCD">
        <w:rPr>
          <w:rFonts w:cs="Vrinda"/>
          <w:lang w:val="es-CO"/>
        </w:rPr>
        <w:t xml:space="preserve">el </w:t>
      </w:r>
      <w:r w:rsidRPr="0086240C">
        <w:rPr>
          <w:rFonts w:cs="Vrinda"/>
          <w:lang w:val="es-CO"/>
        </w:rPr>
        <w:t xml:space="preserve">VIH. </w:t>
      </w:r>
      <w:r w:rsidR="00044000" w:rsidRPr="0086240C">
        <w:rPr>
          <w:rFonts w:cs="Vrinda"/>
        </w:rPr>
        <w:t xml:space="preserve">Este </w:t>
      </w:r>
      <w:r w:rsidRPr="0086240C">
        <w:rPr>
          <w:rFonts w:cs="Vrinda"/>
        </w:rPr>
        <w:t xml:space="preserve">mecanismo </w:t>
      </w:r>
      <w:r w:rsidR="00044000" w:rsidRPr="0086240C">
        <w:rPr>
          <w:rFonts w:cs="Vrinda"/>
        </w:rPr>
        <w:t xml:space="preserve">debe cumplir </w:t>
      </w:r>
      <w:r w:rsidR="00044000" w:rsidRPr="0086240C">
        <w:rPr>
          <w:rFonts w:cs="Vrinda"/>
          <w:lang w:val="es-CO"/>
        </w:rPr>
        <w:t>los siguientes objetivos mínimos, los cuales deberán ser cumplidos por medio de las acciones que establezcan las entidades estatales, y cuyas metas serán medidas</w:t>
      </w:r>
      <w:r w:rsidR="00B642C9" w:rsidRPr="0086240C">
        <w:rPr>
          <w:rFonts w:cs="Vrinda"/>
          <w:lang w:val="es-CO"/>
        </w:rPr>
        <w:t xml:space="preserve"> de acuerdo con los indicadores que se establezcan en el marco de una política pública participativa</w:t>
      </w:r>
      <w:r w:rsidR="00044000" w:rsidRPr="0086240C">
        <w:rPr>
          <w:rFonts w:cs="Vrinda"/>
          <w:lang w:val="es-CO"/>
        </w:rPr>
        <w:t xml:space="preserve">: </w:t>
      </w:r>
      <w:r w:rsidR="00D35892">
        <w:rPr>
          <w:rFonts w:cs="Vrinda"/>
        </w:rPr>
        <w:t>i</w:t>
      </w:r>
      <w:r w:rsidR="00044000" w:rsidRPr="0086240C">
        <w:rPr>
          <w:rFonts w:cs="Vrinda"/>
          <w:lang w:val="es-CO"/>
        </w:rPr>
        <w:t>) aumentar la disponibilidad, accesibilidad y calidad de medicamentos antirretrovirales</w:t>
      </w:r>
      <w:r w:rsidRPr="0086240C">
        <w:rPr>
          <w:rFonts w:cs="Vrinda"/>
          <w:lang w:val="es-CO"/>
        </w:rPr>
        <w:t>, de pruebas diagnósticas para la detección del VIH y para el diagnóstico y tratamiento de enfermedades oportunistas</w:t>
      </w:r>
      <w:r w:rsidR="00D35892">
        <w:rPr>
          <w:rFonts w:cs="Vrinda"/>
          <w:lang w:val="es-CO"/>
        </w:rPr>
        <w:t>, ii</w:t>
      </w:r>
      <w:r w:rsidR="00044000" w:rsidRPr="0086240C">
        <w:rPr>
          <w:rFonts w:cs="Vrinda"/>
          <w:lang w:val="es-CO"/>
        </w:rPr>
        <w:t xml:space="preserve">) mejorar los programas de atención a </w:t>
      </w:r>
      <w:r w:rsidRPr="0086240C">
        <w:rPr>
          <w:rFonts w:cs="Vrinda"/>
          <w:lang w:val="es-CO"/>
        </w:rPr>
        <w:t xml:space="preserve">la </w:t>
      </w:r>
      <w:r w:rsidR="00044000" w:rsidRPr="0086240C">
        <w:rPr>
          <w:rFonts w:cs="Vrinda"/>
          <w:lang w:val="es-CO"/>
        </w:rPr>
        <w:t xml:space="preserve">población </w:t>
      </w:r>
      <w:r w:rsidR="00D92087">
        <w:rPr>
          <w:rFonts w:cs="Vrinda"/>
          <w:lang w:val="es-CO"/>
        </w:rPr>
        <w:t xml:space="preserve">que vive </w:t>
      </w:r>
      <w:r w:rsidR="00044000" w:rsidRPr="0086240C">
        <w:rPr>
          <w:rFonts w:cs="Vrinda"/>
          <w:lang w:val="es-CO"/>
        </w:rPr>
        <w:t>con</w:t>
      </w:r>
      <w:r w:rsidR="00D92087">
        <w:rPr>
          <w:rFonts w:cs="Vrinda"/>
          <w:lang w:val="es-CO"/>
        </w:rPr>
        <w:t xml:space="preserve"> el</w:t>
      </w:r>
      <w:r w:rsidR="00044000" w:rsidRPr="0086240C">
        <w:rPr>
          <w:rFonts w:cs="Vrinda"/>
          <w:lang w:val="es-CO"/>
        </w:rPr>
        <w:t xml:space="preserve"> VIH y aumen</w:t>
      </w:r>
      <w:r w:rsidR="00D35892">
        <w:rPr>
          <w:rFonts w:cs="Vrinda"/>
          <w:lang w:val="es-CO"/>
        </w:rPr>
        <w:t>tar la cobertura de atención, iii</w:t>
      </w:r>
      <w:r w:rsidR="00044000" w:rsidRPr="0086240C">
        <w:rPr>
          <w:rFonts w:cs="Vrinda"/>
          <w:lang w:val="es-CO"/>
        </w:rPr>
        <w:t>) aumentar y mejorar las medidas inmediatas y urgentes en materia de atención en salud</w:t>
      </w:r>
      <w:r w:rsidRPr="0086240C">
        <w:rPr>
          <w:rFonts w:cs="Vrinda"/>
          <w:lang w:val="es-CO"/>
        </w:rPr>
        <w:t xml:space="preserve"> </w:t>
      </w:r>
      <w:r w:rsidR="00044000" w:rsidRPr="0086240C">
        <w:rPr>
          <w:rFonts w:cs="Vrinda"/>
          <w:lang w:val="es-CO"/>
        </w:rPr>
        <w:t xml:space="preserve">a la población con VIH, </w:t>
      </w:r>
      <w:r w:rsidR="00D35892">
        <w:rPr>
          <w:rFonts w:cs="Vrinda"/>
          <w:lang w:val="es-CO"/>
        </w:rPr>
        <w:t>iv</w:t>
      </w:r>
      <w:r w:rsidR="00044000" w:rsidRPr="0086240C">
        <w:rPr>
          <w:rFonts w:cs="Vrinda"/>
          <w:lang w:val="es-CO"/>
        </w:rPr>
        <w:t xml:space="preserve">) mejorar la información disponible para la toma de decisiones por todas las autoridades competentes. </w:t>
      </w:r>
      <w:r w:rsidRPr="0086240C">
        <w:rPr>
          <w:rFonts w:cs="Vrinda"/>
        </w:rPr>
        <w:t xml:space="preserve">Asimismo, para que el </w:t>
      </w:r>
      <w:r w:rsidR="00BA2FDE" w:rsidRPr="0086240C">
        <w:rPr>
          <w:rFonts w:cs="Vrinda"/>
        </w:rPr>
        <w:t xml:space="preserve">diseño e implementación de este </w:t>
      </w:r>
      <w:r w:rsidRPr="0086240C">
        <w:rPr>
          <w:rFonts w:cs="Vrinda"/>
        </w:rPr>
        <w:t>mecanismo sea efectivo, el Estado deberá convocar la participación de la comunidad médica, de personas</w:t>
      </w:r>
      <w:r w:rsidR="00B44112">
        <w:rPr>
          <w:rFonts w:cs="Vrinda"/>
        </w:rPr>
        <w:t xml:space="preserve"> que viven</w:t>
      </w:r>
      <w:r w:rsidRPr="0086240C">
        <w:rPr>
          <w:rFonts w:cs="Vrinda"/>
        </w:rPr>
        <w:t xml:space="preserve"> con</w:t>
      </w:r>
      <w:r w:rsidR="00B44112">
        <w:rPr>
          <w:rFonts w:cs="Vrinda"/>
        </w:rPr>
        <w:t xml:space="preserve"> el</w:t>
      </w:r>
      <w:r w:rsidRPr="0086240C">
        <w:rPr>
          <w:rFonts w:cs="Vrinda"/>
        </w:rPr>
        <w:t xml:space="preserve"> VIH que sean usuarios del sistema de salud,</w:t>
      </w:r>
      <w:r w:rsidR="009F0CB9">
        <w:rPr>
          <w:rFonts w:cs="Vrinda"/>
        </w:rPr>
        <w:t xml:space="preserve"> </w:t>
      </w:r>
      <w:r w:rsidRPr="0086240C">
        <w:rPr>
          <w:rFonts w:cs="Vrinda"/>
        </w:rPr>
        <w:t xml:space="preserve">y de organizaciones que los representen, </w:t>
      </w:r>
      <w:r w:rsidR="009F0CB9" w:rsidRPr="001D26A2">
        <w:rPr>
          <w:rFonts w:cs="Vrinda"/>
        </w:rPr>
        <w:t>y de la Procuraduría de los Derechos Humanos de Guatemala</w:t>
      </w:r>
      <w:r w:rsidR="009F0CB9">
        <w:rPr>
          <w:rFonts w:cs="Vrinda"/>
        </w:rPr>
        <w:t xml:space="preserve"> </w:t>
      </w:r>
      <w:r w:rsidRPr="0086240C">
        <w:rPr>
          <w:rFonts w:cs="Vrinda"/>
        </w:rPr>
        <w:t>en lo que respecta a la fijación de prioridades de atención, la adopción de decisiones, la planificación y la evaluación de estrategias para la mejor atención de la</w:t>
      </w:r>
      <w:r w:rsidR="0061727E">
        <w:rPr>
          <w:rFonts w:cs="Vrinda"/>
        </w:rPr>
        <w:t xml:space="preserve"> salud.</w:t>
      </w:r>
    </w:p>
    <w:p w14:paraId="0DDEB65A" w14:textId="77777777" w:rsidR="0061727E" w:rsidRPr="0086240C" w:rsidRDefault="0061727E" w:rsidP="0061727E">
      <w:pPr>
        <w:tabs>
          <w:tab w:val="left" w:pos="709"/>
          <w:tab w:val="left" w:pos="1134"/>
        </w:tabs>
        <w:ind w:right="-4"/>
        <w:rPr>
          <w:rFonts w:cs="Vrinda"/>
          <w:b/>
          <w:lang w:val="es-CO"/>
        </w:rPr>
      </w:pPr>
    </w:p>
    <w:p w14:paraId="1E117121" w14:textId="7BDA5F13" w:rsidR="007B109F" w:rsidRDefault="007B109F" w:rsidP="0061727E">
      <w:pPr>
        <w:numPr>
          <w:ilvl w:val="0"/>
          <w:numId w:val="3"/>
        </w:numPr>
        <w:tabs>
          <w:tab w:val="left" w:pos="709"/>
          <w:tab w:val="left" w:pos="1134"/>
        </w:tabs>
        <w:ind w:left="0" w:right="-4" w:firstLine="0"/>
        <w:rPr>
          <w:rFonts w:cs="Vrinda"/>
        </w:rPr>
      </w:pPr>
      <w:r w:rsidRPr="0086240C">
        <w:rPr>
          <w:rFonts w:cs="Vrinda"/>
        </w:rPr>
        <w:t xml:space="preserve">En </w:t>
      </w:r>
      <w:r w:rsidR="0086240C" w:rsidRPr="0086240C">
        <w:rPr>
          <w:rFonts w:cs="Vrinda"/>
        </w:rPr>
        <w:t>segundo</w:t>
      </w:r>
      <w:r w:rsidR="00872472" w:rsidRPr="0086240C">
        <w:rPr>
          <w:rFonts w:cs="Vrinda"/>
        </w:rPr>
        <w:t xml:space="preserve"> lugar, </w:t>
      </w:r>
      <w:r w:rsidRPr="0086240C">
        <w:rPr>
          <w:rFonts w:cs="Vrinda"/>
        </w:rPr>
        <w:t>el Tribunal estima necesario que el Estado implemente un programa de capacitación para funcionarios del sistema de salud</w:t>
      </w:r>
      <w:r w:rsidR="00710D2D" w:rsidRPr="0086240C">
        <w:rPr>
          <w:rFonts w:cs="Vrinda"/>
        </w:rPr>
        <w:t>,</w:t>
      </w:r>
      <w:r w:rsidR="00BF5B6C" w:rsidRPr="0086240C">
        <w:rPr>
          <w:rFonts w:cs="Vrinda"/>
        </w:rPr>
        <w:t xml:space="preserve"> que laboren en hospitales y unidades de atención médica que atiendan personas con VIH en Guatemala,</w:t>
      </w:r>
      <w:r w:rsidRPr="0086240C">
        <w:rPr>
          <w:rFonts w:cs="Vrinda"/>
        </w:rPr>
        <w:t xml:space="preserve"> </w:t>
      </w:r>
      <w:r w:rsidR="00BF5B6C" w:rsidRPr="0086240C">
        <w:rPr>
          <w:rFonts w:cs="Vrinda"/>
        </w:rPr>
        <w:t>acerca de</w:t>
      </w:r>
      <w:r w:rsidRPr="0086240C">
        <w:rPr>
          <w:rFonts w:cs="Vrinda"/>
        </w:rPr>
        <w:t xml:space="preserve"> los estándares internacionales y la legislación nacional en materia de tratamiento integral para personas </w:t>
      </w:r>
      <w:r w:rsidR="00306FCD">
        <w:rPr>
          <w:rFonts w:cs="Vrinda"/>
        </w:rPr>
        <w:t xml:space="preserve">que viven </w:t>
      </w:r>
      <w:r w:rsidRPr="0086240C">
        <w:rPr>
          <w:rFonts w:cs="Vrinda"/>
        </w:rPr>
        <w:t>con</w:t>
      </w:r>
      <w:r w:rsidR="00306FCD">
        <w:rPr>
          <w:rFonts w:cs="Vrinda"/>
        </w:rPr>
        <w:t xml:space="preserve"> el</w:t>
      </w:r>
      <w:r w:rsidRPr="0086240C">
        <w:rPr>
          <w:rFonts w:cs="Vrinda"/>
        </w:rPr>
        <w:t xml:space="preserve"> VIH. Estas capacitaciones deberán</w:t>
      </w:r>
      <w:r w:rsidR="007E1F03" w:rsidRPr="0086240C">
        <w:rPr>
          <w:rFonts w:cs="Vrinda"/>
        </w:rPr>
        <w:t xml:space="preserve"> incluir información acerca de las</w:t>
      </w:r>
      <w:r w:rsidR="00710D2D" w:rsidRPr="0086240C">
        <w:rPr>
          <w:rFonts w:cs="Vrinda"/>
        </w:rPr>
        <w:t xml:space="preserve"> mejores prácticas de atención,</w:t>
      </w:r>
      <w:r w:rsidR="007E1F03" w:rsidRPr="0086240C">
        <w:rPr>
          <w:rFonts w:cs="Vrinda"/>
        </w:rPr>
        <w:t xml:space="preserve"> sobre los derechos de los pacientes</w:t>
      </w:r>
      <w:r w:rsidR="00710D2D" w:rsidRPr="0086240C">
        <w:rPr>
          <w:rFonts w:cs="Vrinda"/>
        </w:rPr>
        <w:t xml:space="preserve"> y las obligaciones de las autoridades</w:t>
      </w:r>
      <w:r w:rsidR="007E1F03" w:rsidRPr="0086240C">
        <w:rPr>
          <w:rFonts w:cs="Vrinda"/>
        </w:rPr>
        <w:t xml:space="preserve">. Asimismo, </w:t>
      </w:r>
      <w:r w:rsidR="00710D2D" w:rsidRPr="0086240C">
        <w:rPr>
          <w:rFonts w:cs="Vrinda"/>
        </w:rPr>
        <w:t xml:space="preserve">estas capacitaciones </w:t>
      </w:r>
      <w:r w:rsidR="007E1F03" w:rsidRPr="0086240C">
        <w:rPr>
          <w:rFonts w:cs="Vrinda"/>
        </w:rPr>
        <w:t>deberán</w:t>
      </w:r>
      <w:r w:rsidRPr="0086240C">
        <w:rPr>
          <w:rFonts w:cs="Vrinda"/>
        </w:rPr>
        <w:t xml:space="preserve"> </w:t>
      </w:r>
      <w:r w:rsidR="00872472" w:rsidRPr="0086240C">
        <w:rPr>
          <w:rFonts w:cs="Vrinda"/>
        </w:rPr>
        <w:t>ser imp</w:t>
      </w:r>
      <w:r w:rsidR="00710D2D" w:rsidRPr="0086240C">
        <w:rPr>
          <w:rFonts w:cs="Vrinda"/>
        </w:rPr>
        <w:t>artidas,</w:t>
      </w:r>
      <w:r w:rsidR="00872472" w:rsidRPr="0086240C">
        <w:rPr>
          <w:rFonts w:cs="Vrinda"/>
        </w:rPr>
        <w:t xml:space="preserve"> durante un tiempo razonable,</w:t>
      </w:r>
      <w:r w:rsidR="00170EB6" w:rsidRPr="0086240C">
        <w:rPr>
          <w:rFonts w:cs="Vrinda"/>
        </w:rPr>
        <w:t xml:space="preserve"> por personal médico y jurídico especializado en la materia</w:t>
      </w:r>
      <w:r w:rsidR="00872472" w:rsidRPr="0086240C">
        <w:rPr>
          <w:rFonts w:cs="Vrinda"/>
        </w:rPr>
        <w:t>,</w:t>
      </w:r>
      <w:r w:rsidR="007E1F03" w:rsidRPr="0086240C">
        <w:rPr>
          <w:rFonts w:cs="Vrinda"/>
        </w:rPr>
        <w:t xml:space="preserve"> y deberán ser realizada</w:t>
      </w:r>
      <w:r w:rsidR="00170EB6" w:rsidRPr="0086240C">
        <w:rPr>
          <w:rFonts w:cs="Vrinda"/>
        </w:rPr>
        <w:t>s con perspectiva de género.</w:t>
      </w:r>
    </w:p>
    <w:p w14:paraId="7BFB5D58" w14:textId="77777777" w:rsidR="0061727E" w:rsidRPr="0086240C" w:rsidRDefault="0061727E" w:rsidP="0061727E">
      <w:pPr>
        <w:tabs>
          <w:tab w:val="left" w:pos="709"/>
          <w:tab w:val="left" w:pos="1134"/>
        </w:tabs>
        <w:ind w:right="-4"/>
        <w:rPr>
          <w:rFonts w:cs="Vrinda"/>
        </w:rPr>
      </w:pPr>
    </w:p>
    <w:p w14:paraId="02BC5061" w14:textId="307ED982" w:rsidR="00170EB6" w:rsidRDefault="00170EB6" w:rsidP="0061727E">
      <w:pPr>
        <w:numPr>
          <w:ilvl w:val="0"/>
          <w:numId w:val="3"/>
        </w:numPr>
        <w:tabs>
          <w:tab w:val="left" w:pos="709"/>
          <w:tab w:val="left" w:pos="1134"/>
        </w:tabs>
        <w:ind w:left="0" w:right="-4" w:firstLine="0"/>
        <w:rPr>
          <w:rFonts w:cs="Vrinda"/>
        </w:rPr>
      </w:pPr>
      <w:r w:rsidRPr="0086240C">
        <w:rPr>
          <w:rFonts w:cs="Vrinda"/>
        </w:rPr>
        <w:t xml:space="preserve">En </w:t>
      </w:r>
      <w:r w:rsidR="0086240C" w:rsidRPr="0086240C">
        <w:rPr>
          <w:rFonts w:cs="Vrinda"/>
        </w:rPr>
        <w:t>tercer</w:t>
      </w:r>
      <w:r w:rsidRPr="0086240C">
        <w:rPr>
          <w:rFonts w:cs="Vrinda"/>
        </w:rPr>
        <w:t xml:space="preserve"> lugar, el Estado deber</w:t>
      </w:r>
      <w:r w:rsidR="00BF5B6C" w:rsidRPr="0086240C">
        <w:rPr>
          <w:rFonts w:cs="Vrinda"/>
        </w:rPr>
        <w:t>á garantizar que las mujeres embarazadas tengan acceso a una prueba de VIH, y que les sea practicada si así lo desean.</w:t>
      </w:r>
      <w:r w:rsidRPr="0086240C">
        <w:rPr>
          <w:rFonts w:cs="Vrinda"/>
        </w:rPr>
        <w:t xml:space="preserve"> </w:t>
      </w:r>
      <w:r w:rsidR="00BF5B6C" w:rsidRPr="0086240C">
        <w:rPr>
          <w:rFonts w:cs="Vrinda"/>
        </w:rPr>
        <w:t>El Estado deberá</w:t>
      </w:r>
      <w:r w:rsidRPr="0086240C">
        <w:rPr>
          <w:rFonts w:cs="Vrinda"/>
        </w:rPr>
        <w:t xml:space="preserve"> dar seguimiento periódico a aquellas mujeres embarazadas </w:t>
      </w:r>
      <w:r w:rsidR="00306FCD">
        <w:rPr>
          <w:rFonts w:cs="Vrinda"/>
        </w:rPr>
        <w:t xml:space="preserve">que viven </w:t>
      </w:r>
      <w:r w:rsidRPr="0086240C">
        <w:rPr>
          <w:rFonts w:cs="Vrinda"/>
        </w:rPr>
        <w:t>con</w:t>
      </w:r>
      <w:r w:rsidR="00306FCD">
        <w:rPr>
          <w:rFonts w:cs="Vrinda"/>
        </w:rPr>
        <w:t xml:space="preserve"> el</w:t>
      </w:r>
      <w:r w:rsidRPr="0086240C">
        <w:rPr>
          <w:rFonts w:cs="Vrinda"/>
        </w:rPr>
        <w:t xml:space="preserve"> VIH</w:t>
      </w:r>
      <w:r w:rsidR="003B65D2" w:rsidRPr="0086240C">
        <w:rPr>
          <w:rFonts w:cs="Vrinda"/>
        </w:rPr>
        <w:t>,</w:t>
      </w:r>
      <w:r w:rsidR="00BF5B6C" w:rsidRPr="0086240C">
        <w:rPr>
          <w:rFonts w:cs="Vrinda"/>
        </w:rPr>
        <w:t xml:space="preserve"> y </w:t>
      </w:r>
      <w:r w:rsidR="003B65D2" w:rsidRPr="0086240C">
        <w:rPr>
          <w:rFonts w:cs="Vrinda"/>
        </w:rPr>
        <w:t xml:space="preserve">deberá </w:t>
      </w:r>
      <w:r w:rsidR="00BF5B6C" w:rsidRPr="0086240C">
        <w:rPr>
          <w:rFonts w:cs="Vrinda"/>
        </w:rPr>
        <w:t>proveer el tratamiento médico adecuado para</w:t>
      </w:r>
      <w:r w:rsidRPr="0086240C">
        <w:rPr>
          <w:rFonts w:cs="Vrinda"/>
        </w:rPr>
        <w:t xml:space="preserve"> evitar la transmisión vertical del virus</w:t>
      </w:r>
      <w:r w:rsidR="00BD0EDF">
        <w:rPr>
          <w:rFonts w:cs="Vrinda"/>
        </w:rPr>
        <w:t xml:space="preserve">, </w:t>
      </w:r>
      <w:r w:rsidR="00BD0EDF" w:rsidRPr="001D26A2">
        <w:rPr>
          <w:rFonts w:cs="Vrinda"/>
        </w:rPr>
        <w:t xml:space="preserve">sin perjuicio de lo establecido en el párrafo </w:t>
      </w:r>
      <w:r w:rsidR="007F51DE">
        <w:rPr>
          <w:rFonts w:cs="Vrinda"/>
        </w:rPr>
        <w:t>226</w:t>
      </w:r>
      <w:r w:rsidR="001D26A2" w:rsidRPr="001D26A2">
        <w:rPr>
          <w:rFonts w:cs="Vrinda"/>
        </w:rPr>
        <w:t xml:space="preserve"> de la presente Sentencia</w:t>
      </w:r>
      <w:r w:rsidRPr="0086240C">
        <w:rPr>
          <w:rFonts w:cs="Vrinda"/>
        </w:rPr>
        <w:t xml:space="preserve">. </w:t>
      </w:r>
      <w:r w:rsidR="00A61B87" w:rsidRPr="0086240C">
        <w:rPr>
          <w:rFonts w:cs="Vrinda"/>
        </w:rPr>
        <w:t>Para este fin, como lo ha hecho en otros casos, la Corte ordena al</w:t>
      </w:r>
      <w:r w:rsidRPr="0086240C">
        <w:rPr>
          <w:rFonts w:cs="Vrinda"/>
        </w:rPr>
        <w:t xml:space="preserve"> Estado </w:t>
      </w:r>
      <w:r w:rsidR="00D044EE" w:rsidRPr="0086240C">
        <w:rPr>
          <w:rFonts w:cs="Vrinda"/>
        </w:rPr>
        <w:t xml:space="preserve">diseñar una publicación o cartilla en forma sintética, clara y accesible </w:t>
      </w:r>
      <w:r w:rsidR="00A61B87" w:rsidRPr="0086240C">
        <w:rPr>
          <w:rFonts w:cs="Vrinda"/>
        </w:rPr>
        <w:t>sobre los medios de prevención de la transimisión del VIH y sobre el riesgo de transmisión vertical de éste, así como los recursos disponibles para minimizar ese riesgo. Dicha publicación deberá estar disponible en todos los hospitales públicos y privados de Guatemala, tanto para los pacientes como para el personal médico. Asimismo</w:t>
      </w:r>
      <w:r w:rsidR="00A14018">
        <w:rPr>
          <w:rFonts w:cs="Vrinda"/>
        </w:rPr>
        <w:t>,</w:t>
      </w:r>
      <w:r w:rsidR="00A61B87" w:rsidRPr="0086240C">
        <w:rPr>
          <w:rFonts w:cs="Vrinda"/>
        </w:rPr>
        <w:t xml:space="preserve"> debe darse acceso a dicha cartilla o publicación a través de los organismos de la soc</w:t>
      </w:r>
      <w:r w:rsidR="0061727E">
        <w:rPr>
          <w:rFonts w:cs="Vrinda"/>
        </w:rPr>
        <w:t>iedad civil vinculados al tema.</w:t>
      </w:r>
    </w:p>
    <w:p w14:paraId="633F4F92" w14:textId="77777777" w:rsidR="0061727E" w:rsidRPr="0086240C" w:rsidRDefault="0061727E" w:rsidP="0061727E">
      <w:pPr>
        <w:tabs>
          <w:tab w:val="left" w:pos="709"/>
          <w:tab w:val="left" w:pos="1134"/>
        </w:tabs>
        <w:ind w:right="-4"/>
        <w:rPr>
          <w:rFonts w:cs="Vrinda"/>
        </w:rPr>
      </w:pPr>
    </w:p>
    <w:p w14:paraId="5C4655C9" w14:textId="2E4F08FF" w:rsidR="00530D76" w:rsidRPr="0061727E" w:rsidRDefault="00D044EE" w:rsidP="0061727E">
      <w:pPr>
        <w:numPr>
          <w:ilvl w:val="0"/>
          <w:numId w:val="3"/>
        </w:numPr>
        <w:tabs>
          <w:tab w:val="left" w:pos="709"/>
          <w:tab w:val="left" w:pos="1134"/>
        </w:tabs>
        <w:ind w:left="0" w:right="-4" w:firstLine="0"/>
        <w:rPr>
          <w:rFonts w:cs="Vrinda"/>
        </w:rPr>
      </w:pPr>
      <w:r w:rsidRPr="0086240C">
        <w:rPr>
          <w:rFonts w:cs="Vrinda"/>
        </w:rPr>
        <w:t xml:space="preserve">En </w:t>
      </w:r>
      <w:r w:rsidR="00A14018">
        <w:rPr>
          <w:rFonts w:cs="Vrinda"/>
        </w:rPr>
        <w:t>cuarto</w:t>
      </w:r>
      <w:r w:rsidRPr="0086240C">
        <w:rPr>
          <w:rFonts w:cs="Vrinda"/>
        </w:rPr>
        <w:t xml:space="preserve"> lugar, </w:t>
      </w:r>
      <w:r w:rsidR="00530D76" w:rsidRPr="0086240C">
        <w:t xml:space="preserve">como una forma de contribuir a que hechos como los del presente caso no se repitan, la Corte estima conveniente ordenar al Estado la realización de una campaña nacional de concientización y sensibilización, dirigida a personas </w:t>
      </w:r>
      <w:r w:rsidR="00A14018">
        <w:t xml:space="preserve">que viven </w:t>
      </w:r>
      <w:r w:rsidR="00530D76" w:rsidRPr="0086240C">
        <w:t xml:space="preserve">con </w:t>
      </w:r>
      <w:r w:rsidR="00A14018">
        <w:t xml:space="preserve">el </w:t>
      </w:r>
      <w:r w:rsidR="00530D76" w:rsidRPr="0086240C">
        <w:t>VIH, funcionarios públicos, y la población general, sobre los derechos de las personas</w:t>
      </w:r>
      <w:r w:rsidR="00A14018">
        <w:t xml:space="preserve"> que </w:t>
      </w:r>
      <w:r w:rsidR="00A14018">
        <w:lastRenderedPageBreak/>
        <w:t>viven</w:t>
      </w:r>
      <w:r w:rsidR="00530D76" w:rsidRPr="0086240C">
        <w:t xml:space="preserve"> con</w:t>
      </w:r>
      <w:r w:rsidR="00D92087">
        <w:t xml:space="preserve"> el</w:t>
      </w:r>
      <w:r w:rsidR="00530D76" w:rsidRPr="0086240C">
        <w:t xml:space="preserve"> VIH, </w:t>
      </w:r>
      <w:r w:rsidR="00C55185" w:rsidRPr="0086240C">
        <w:t xml:space="preserve">sobre </w:t>
      </w:r>
      <w:r w:rsidR="00530D76" w:rsidRPr="0086240C">
        <w:t>las obligaciones que las autoridades tienen en su atenci</w:t>
      </w:r>
      <w:r w:rsidR="00C55185" w:rsidRPr="0086240C">
        <w:t xml:space="preserve">ón, y sobre la necesidad de respetar a las personas que viven con </w:t>
      </w:r>
      <w:r w:rsidR="00710D2D" w:rsidRPr="0086240C">
        <w:t>esta condición</w:t>
      </w:r>
      <w:r w:rsidR="00530D76" w:rsidRPr="0086240C">
        <w:t>.</w:t>
      </w:r>
      <w:r w:rsidR="00C55185" w:rsidRPr="0086240C">
        <w:t xml:space="preserve"> Esta campaña deberá estar dirigida a combati</w:t>
      </w:r>
      <w:r w:rsidR="00710D2D" w:rsidRPr="0086240C">
        <w:t>r el estigma y la falta de info</w:t>
      </w:r>
      <w:r w:rsidR="00C55185" w:rsidRPr="0086240C">
        <w:t xml:space="preserve">rmación sobre las causas y consecuencias para la salud de las personas </w:t>
      </w:r>
      <w:r w:rsidR="00A14018">
        <w:t xml:space="preserve">que viven </w:t>
      </w:r>
      <w:r w:rsidR="00C55185" w:rsidRPr="0086240C">
        <w:t xml:space="preserve">con </w:t>
      </w:r>
      <w:r w:rsidR="00D92087">
        <w:t xml:space="preserve">el </w:t>
      </w:r>
      <w:r w:rsidR="00C55185" w:rsidRPr="0086240C">
        <w:t>VIH.</w:t>
      </w:r>
      <w:r w:rsidR="00530D76" w:rsidRPr="0086240C">
        <w:t xml:space="preserve"> </w:t>
      </w:r>
      <w:r w:rsidR="00710D2D" w:rsidRPr="0086240C">
        <w:t>Asimismo, la campaña deberá tener perspectiva de género y deberá ser comprensible para toda la población.</w:t>
      </w:r>
    </w:p>
    <w:p w14:paraId="5DC4C180" w14:textId="77777777" w:rsidR="0061727E" w:rsidRPr="0086240C" w:rsidRDefault="0061727E" w:rsidP="0061727E">
      <w:pPr>
        <w:tabs>
          <w:tab w:val="left" w:pos="709"/>
          <w:tab w:val="left" w:pos="1134"/>
        </w:tabs>
        <w:ind w:right="-4"/>
        <w:rPr>
          <w:rFonts w:cs="Vrinda"/>
        </w:rPr>
      </w:pPr>
    </w:p>
    <w:p w14:paraId="045234CB" w14:textId="2582043D" w:rsidR="003B65D2" w:rsidRDefault="00E316B6" w:rsidP="0061727E">
      <w:pPr>
        <w:numPr>
          <w:ilvl w:val="0"/>
          <w:numId w:val="3"/>
        </w:numPr>
        <w:tabs>
          <w:tab w:val="left" w:pos="709"/>
          <w:tab w:val="left" w:pos="1134"/>
        </w:tabs>
        <w:ind w:left="0" w:right="-4" w:firstLine="0"/>
        <w:rPr>
          <w:rFonts w:cs="Vrinda"/>
        </w:rPr>
      </w:pPr>
      <w:r w:rsidRPr="0086240C">
        <w:rPr>
          <w:rFonts w:cs="Vrinda"/>
        </w:rPr>
        <w:t>El Estado deberá informar anualmente sobre los avances de las garantías de no repetición antes mencionadas (</w:t>
      </w:r>
      <w:r w:rsidRPr="009106EF">
        <w:rPr>
          <w:rFonts w:cs="Vrinda"/>
          <w:i/>
        </w:rPr>
        <w:t>supra</w:t>
      </w:r>
      <w:r w:rsidRPr="0086240C">
        <w:rPr>
          <w:rFonts w:cs="Vrinda"/>
        </w:rPr>
        <w:t xml:space="preserve"> párr</w:t>
      </w:r>
      <w:r w:rsidR="009106EF">
        <w:rPr>
          <w:rFonts w:cs="Vrinda"/>
        </w:rPr>
        <w:t>s</w:t>
      </w:r>
      <w:r w:rsidRPr="0086240C">
        <w:rPr>
          <w:rFonts w:cs="Vrinda"/>
        </w:rPr>
        <w:t>.</w:t>
      </w:r>
      <w:r w:rsidR="009106EF">
        <w:rPr>
          <w:rFonts w:cs="Vrinda"/>
        </w:rPr>
        <w:t xml:space="preserve"> 22</w:t>
      </w:r>
      <w:r w:rsidR="007F51DE">
        <w:rPr>
          <w:rFonts w:cs="Vrinda"/>
        </w:rPr>
        <w:t>5 a 229</w:t>
      </w:r>
      <w:r w:rsidRPr="0086240C">
        <w:rPr>
          <w:rFonts w:cs="Vrinda"/>
        </w:rPr>
        <w:t>) por un periodo</w:t>
      </w:r>
      <w:r w:rsidR="00A14018">
        <w:rPr>
          <w:rFonts w:cs="Vrinda"/>
        </w:rPr>
        <w:t xml:space="preserve"> de tres años. La Corte valorará</w:t>
      </w:r>
      <w:r w:rsidRPr="0086240C">
        <w:rPr>
          <w:rFonts w:cs="Vrinda"/>
        </w:rPr>
        <w:t xml:space="preserve"> esta información en su supervisión y se pronunciará al respecto.</w:t>
      </w:r>
    </w:p>
    <w:p w14:paraId="1C497149" w14:textId="77777777" w:rsidR="0061727E" w:rsidRPr="001D26A2" w:rsidRDefault="0061727E" w:rsidP="0061727E">
      <w:pPr>
        <w:tabs>
          <w:tab w:val="left" w:pos="709"/>
          <w:tab w:val="left" w:pos="1134"/>
        </w:tabs>
        <w:ind w:right="-4"/>
        <w:rPr>
          <w:rFonts w:cs="Vrinda"/>
        </w:rPr>
      </w:pPr>
    </w:p>
    <w:p w14:paraId="25541FC4" w14:textId="0FE3E156" w:rsidR="0061727E" w:rsidRDefault="006F704E" w:rsidP="0061727E">
      <w:pPr>
        <w:pStyle w:val="Ttulo2"/>
        <w:spacing w:before="0" w:after="0"/>
      </w:pPr>
      <w:bookmarkStart w:id="120" w:name="_Toc510690642"/>
      <w:bookmarkStart w:id="121" w:name="_Toc508792680"/>
      <w:bookmarkStart w:id="122" w:name="_Toc486842968"/>
      <w:bookmarkStart w:id="123" w:name="_Toc486842834"/>
      <w:bookmarkStart w:id="124" w:name="_Toc486693414"/>
      <w:bookmarkStart w:id="125" w:name="_Toc527466503"/>
      <w:r w:rsidRPr="008A483A">
        <w:t>Indemnizaciones Compensatorias</w:t>
      </w:r>
      <w:bookmarkEnd w:id="120"/>
      <w:bookmarkEnd w:id="121"/>
      <w:bookmarkEnd w:id="122"/>
      <w:bookmarkEnd w:id="123"/>
      <w:bookmarkEnd w:id="124"/>
      <w:bookmarkEnd w:id="125"/>
    </w:p>
    <w:p w14:paraId="3D87D3E7" w14:textId="77777777" w:rsidR="0061727E" w:rsidRPr="0061727E" w:rsidRDefault="0061727E" w:rsidP="0061727E">
      <w:pPr>
        <w:rPr>
          <w:lang w:val="es-CR"/>
        </w:rPr>
      </w:pPr>
    </w:p>
    <w:p w14:paraId="27803DE7" w14:textId="120ABB79" w:rsidR="006F704E"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6F704E" w:rsidRPr="00E841F7">
        <w:rPr>
          <w:rFonts w:eastAsia="Times" w:cs="Arial"/>
          <w:b/>
          <w:szCs w:val="20"/>
          <w:lang w:val="es-MX"/>
        </w:rPr>
        <w:t>C.1</w:t>
      </w:r>
      <w:r w:rsidR="008A483A" w:rsidRPr="00E841F7">
        <w:rPr>
          <w:rFonts w:eastAsia="Times" w:cs="Arial"/>
          <w:b/>
          <w:szCs w:val="20"/>
          <w:lang w:val="es-MX"/>
        </w:rPr>
        <w:t>.</w:t>
      </w:r>
      <w:r w:rsidR="006F704E" w:rsidRPr="00E841F7">
        <w:rPr>
          <w:rFonts w:eastAsia="Times" w:cs="Arial"/>
          <w:b/>
          <w:szCs w:val="20"/>
          <w:lang w:val="es-MX"/>
        </w:rPr>
        <w:t xml:space="preserve"> Daño material</w:t>
      </w:r>
    </w:p>
    <w:p w14:paraId="2EE6F4DA" w14:textId="77777777" w:rsidR="00F12B1C" w:rsidRPr="0061727E" w:rsidRDefault="00F12B1C" w:rsidP="0061727E">
      <w:pPr>
        <w:rPr>
          <w:rFonts w:cs="Vrinda"/>
          <w:lang w:val="es-ES"/>
        </w:rPr>
      </w:pPr>
    </w:p>
    <w:p w14:paraId="496F1860" w14:textId="12B0653D" w:rsidR="008A483A" w:rsidRDefault="00E841F7" w:rsidP="0061727E">
      <w:pPr>
        <w:rPr>
          <w:rFonts w:cs="Vrinda"/>
          <w:b/>
          <w:i/>
          <w:lang w:val="es-ES"/>
        </w:rPr>
      </w:pPr>
      <w:r>
        <w:rPr>
          <w:rFonts w:cs="Vrinda"/>
          <w:b/>
          <w:i/>
          <w:lang w:val="es-ES"/>
        </w:rPr>
        <w:tab/>
      </w:r>
      <w:r>
        <w:rPr>
          <w:rFonts w:cs="Vrinda"/>
          <w:b/>
          <w:i/>
          <w:lang w:val="es-ES"/>
        </w:rPr>
        <w:tab/>
      </w:r>
      <w:r>
        <w:rPr>
          <w:rFonts w:cs="Vrinda"/>
          <w:b/>
          <w:i/>
          <w:lang w:val="es-ES"/>
        </w:rPr>
        <w:tab/>
      </w:r>
      <w:r w:rsidR="008A483A">
        <w:rPr>
          <w:rFonts w:cs="Vrinda"/>
          <w:b/>
          <w:i/>
          <w:lang w:val="es-ES"/>
        </w:rPr>
        <w:t>C.1.1. Alegatos de la Comisión y de las partes</w:t>
      </w:r>
    </w:p>
    <w:p w14:paraId="40AFD8A6" w14:textId="77777777" w:rsidR="0061727E" w:rsidRPr="0061727E" w:rsidRDefault="0061727E" w:rsidP="0061727E">
      <w:pPr>
        <w:rPr>
          <w:rFonts w:cs="Vrinda"/>
          <w:lang w:val="es-ES"/>
        </w:rPr>
      </w:pPr>
    </w:p>
    <w:p w14:paraId="3A43EA3A" w14:textId="0A75A3FD" w:rsidR="006F704E" w:rsidRPr="0061727E" w:rsidRDefault="006F704E" w:rsidP="0061727E">
      <w:pPr>
        <w:numPr>
          <w:ilvl w:val="0"/>
          <w:numId w:val="3"/>
        </w:numPr>
        <w:tabs>
          <w:tab w:val="left" w:pos="709"/>
          <w:tab w:val="left" w:pos="1134"/>
        </w:tabs>
        <w:ind w:left="0" w:right="-4" w:firstLine="0"/>
        <w:rPr>
          <w:rFonts w:cs="Vrinda"/>
          <w:noProof w:val="0"/>
        </w:rPr>
      </w:pPr>
      <w:r w:rsidRPr="0060216C">
        <w:rPr>
          <w:rFonts w:cs="Vrinda"/>
        </w:rPr>
        <w:t xml:space="preserve">La </w:t>
      </w:r>
      <w:r w:rsidRPr="0060216C">
        <w:rPr>
          <w:rFonts w:cs="Vrinda"/>
          <w:b/>
          <w:i/>
        </w:rPr>
        <w:t>Comisión</w:t>
      </w:r>
      <w:r w:rsidRPr="0060216C">
        <w:rPr>
          <w:rFonts w:cs="Vrinda"/>
        </w:rPr>
        <w:t xml:space="preserve"> solicitó a la Corte que ordene al Estado reparar integralmente a las víctimas sobrevivientes y a los familiares y seres queridos, </w:t>
      </w:r>
      <w:r w:rsidR="00A14018">
        <w:rPr>
          <w:rFonts w:cs="Vrinda"/>
        </w:rPr>
        <w:t>incluyendo el aspecto material.</w:t>
      </w:r>
    </w:p>
    <w:p w14:paraId="48CDB9CD" w14:textId="77777777" w:rsidR="0061727E" w:rsidRPr="0060216C" w:rsidRDefault="0061727E" w:rsidP="0061727E">
      <w:pPr>
        <w:tabs>
          <w:tab w:val="left" w:pos="709"/>
          <w:tab w:val="left" w:pos="1134"/>
        </w:tabs>
        <w:ind w:right="-4"/>
        <w:rPr>
          <w:rFonts w:cs="Vrinda"/>
          <w:noProof w:val="0"/>
        </w:rPr>
      </w:pPr>
    </w:p>
    <w:p w14:paraId="5A7D8E68" w14:textId="673BB996" w:rsidR="006F704E" w:rsidRPr="0061727E"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Los </w:t>
      </w:r>
      <w:r w:rsidRPr="0060216C">
        <w:rPr>
          <w:rFonts w:cs="Vrinda"/>
          <w:b/>
          <w:i/>
          <w:lang w:val="es-ES"/>
        </w:rPr>
        <w:t>representantes</w:t>
      </w:r>
      <w:r w:rsidRPr="0060216C">
        <w:rPr>
          <w:rFonts w:cs="Vrinda"/>
          <w:lang w:val="es-ES"/>
        </w:rPr>
        <w:t xml:space="preserve"> solicitaron que, al ordenar el pago del daño material, la Corte tome en cuenta</w:t>
      </w:r>
      <w:r w:rsidR="00A14018">
        <w:rPr>
          <w:rFonts w:cs="Vrinda"/>
          <w:lang w:val="es-ES"/>
        </w:rPr>
        <w:t>:</w:t>
      </w:r>
      <w:r w:rsidRPr="0060216C">
        <w:rPr>
          <w:rFonts w:cs="Vrinda"/>
          <w:lang w:val="es-ES"/>
        </w:rPr>
        <w:t xml:space="preserve"> i) el tiempo transcurrido desde que las víctimas fueron diagnosticadas, y ii) que la mayoría de ellas se encuentran en una precaria situación económica, por lo que los gastos en que incurrieron significaron importantes erogaciones económicas</w:t>
      </w:r>
      <w:r w:rsidRPr="0060216C">
        <w:rPr>
          <w:rStyle w:val="Refdenotaalpie"/>
          <w:rFonts w:cs="Vrinda"/>
          <w:lang w:val="es-ES"/>
        </w:rPr>
        <w:footnoteReference w:id="253"/>
      </w:r>
      <w:r w:rsidRPr="0060216C">
        <w:rPr>
          <w:rFonts w:cs="Vrinda"/>
          <w:lang w:val="es-ES"/>
        </w:rPr>
        <w:t>, siendo que en algunos casos las víctimas tuvieron que contraer deudas para poder costearlos y en otros se vieron imposibilitadas de acceder al tratamiento por no contar con los recursos necesarios para ello. Asimismo, alegaron que las mujeres que tuvieron hijos e hijas en esa época incurrieron en el gasto adicional de comprar la leche de fórmula para que sus bebés no resultasen contagiados con la enfermedad, pues esta no fue proporcionada o fue insuficiente para asegurar la alimentación de los recién nacidos. Por último, los representantes señalaron que, debido al transcurso del tiempo, las víctimas no cuentan con los comprobantes de los gastos antes mencionados, por lo que solicitaron a la Corte que determine en equidad la cantidad correspondiente al daño material que deberá ser entregada a cada una de ellas.</w:t>
      </w:r>
    </w:p>
    <w:p w14:paraId="73CEB5A5" w14:textId="77777777" w:rsidR="0061727E" w:rsidRPr="0060216C" w:rsidRDefault="0061727E" w:rsidP="0061727E">
      <w:pPr>
        <w:tabs>
          <w:tab w:val="left" w:pos="709"/>
          <w:tab w:val="left" w:pos="1134"/>
        </w:tabs>
        <w:ind w:right="-4"/>
        <w:rPr>
          <w:rFonts w:cs="Vrinda"/>
        </w:rPr>
      </w:pPr>
    </w:p>
    <w:p w14:paraId="1DCD15BB" w14:textId="680B5812" w:rsidR="006F704E" w:rsidRDefault="006F704E" w:rsidP="0061727E">
      <w:pPr>
        <w:numPr>
          <w:ilvl w:val="0"/>
          <w:numId w:val="3"/>
        </w:numPr>
        <w:tabs>
          <w:tab w:val="left" w:pos="709"/>
          <w:tab w:val="left" w:pos="1134"/>
        </w:tabs>
        <w:ind w:left="0" w:right="-4" w:firstLine="0"/>
        <w:rPr>
          <w:rFonts w:cs="Vrinda"/>
        </w:rPr>
      </w:pPr>
      <w:r w:rsidRPr="0060216C">
        <w:rPr>
          <w:rFonts w:cs="Vrinda"/>
        </w:rPr>
        <w:t xml:space="preserve">El </w:t>
      </w:r>
      <w:r w:rsidRPr="0060216C">
        <w:rPr>
          <w:rFonts w:cs="Vrinda"/>
          <w:b/>
          <w:i/>
        </w:rPr>
        <w:t>Estado</w:t>
      </w:r>
      <w:r w:rsidRPr="0060216C">
        <w:rPr>
          <w:rFonts w:cs="Vrinda"/>
        </w:rPr>
        <w:t xml:space="preserve"> señaló que, respecto a la reparación por daño material, presentaría una propuesta basada en un estudio actuarial. Sin embargo, la misma no fue presentada a la Corte.</w:t>
      </w:r>
    </w:p>
    <w:p w14:paraId="58EE5A90" w14:textId="77777777" w:rsidR="0061727E" w:rsidRDefault="0061727E" w:rsidP="0061727E">
      <w:pPr>
        <w:tabs>
          <w:tab w:val="left" w:pos="709"/>
          <w:tab w:val="left" w:pos="1134"/>
        </w:tabs>
        <w:ind w:right="-4"/>
        <w:rPr>
          <w:rFonts w:cs="Vrinda"/>
        </w:rPr>
      </w:pPr>
    </w:p>
    <w:p w14:paraId="128DCAFD" w14:textId="5E1252B3" w:rsidR="0061727E" w:rsidRDefault="00E841F7" w:rsidP="0061727E">
      <w:pPr>
        <w:tabs>
          <w:tab w:val="left" w:pos="709"/>
          <w:tab w:val="left" w:pos="1134"/>
        </w:tabs>
        <w:ind w:right="-4"/>
        <w:rPr>
          <w:rFonts w:cs="Vrinda"/>
          <w:b/>
          <w:i/>
          <w:lang w:val="es-ES"/>
        </w:rPr>
      </w:pPr>
      <w:r>
        <w:rPr>
          <w:rFonts w:cs="Vrinda"/>
          <w:b/>
          <w:i/>
          <w:lang w:val="es-ES"/>
        </w:rPr>
        <w:tab/>
      </w:r>
      <w:r>
        <w:rPr>
          <w:rFonts w:cs="Vrinda"/>
          <w:b/>
          <w:i/>
          <w:lang w:val="es-ES"/>
        </w:rPr>
        <w:tab/>
      </w:r>
      <w:r>
        <w:rPr>
          <w:rFonts w:cs="Vrinda"/>
          <w:b/>
          <w:i/>
          <w:lang w:val="es-ES"/>
        </w:rPr>
        <w:tab/>
      </w:r>
      <w:r w:rsidR="00BA27B4">
        <w:rPr>
          <w:rFonts w:cs="Vrinda"/>
          <w:b/>
          <w:i/>
          <w:lang w:val="es-ES"/>
        </w:rPr>
        <w:t>C.1.2. Consideraciones de la Corte</w:t>
      </w:r>
    </w:p>
    <w:p w14:paraId="44A66954" w14:textId="77777777" w:rsidR="0061727E" w:rsidRPr="0061727E" w:rsidRDefault="0061727E" w:rsidP="0061727E">
      <w:pPr>
        <w:tabs>
          <w:tab w:val="left" w:pos="709"/>
          <w:tab w:val="left" w:pos="1134"/>
        </w:tabs>
        <w:ind w:right="-4"/>
        <w:rPr>
          <w:rFonts w:cs="Vrinda"/>
          <w:b/>
          <w:i/>
          <w:lang w:val="es-ES"/>
        </w:rPr>
      </w:pPr>
    </w:p>
    <w:p w14:paraId="1472BC20" w14:textId="589DE332" w:rsidR="00F0239E" w:rsidRPr="0061727E" w:rsidRDefault="006F704E" w:rsidP="0061727E">
      <w:pPr>
        <w:numPr>
          <w:ilvl w:val="0"/>
          <w:numId w:val="3"/>
        </w:numPr>
        <w:tabs>
          <w:tab w:val="left" w:pos="709"/>
          <w:tab w:val="left" w:pos="1134"/>
        </w:tabs>
        <w:ind w:left="0" w:right="-4" w:firstLine="0"/>
        <w:rPr>
          <w:rFonts w:cs="Vrinda"/>
        </w:rPr>
      </w:pPr>
      <w:r w:rsidRPr="0060216C">
        <w:t xml:space="preserve">Este Tribunal ha desarrollado en su jurisprudencia que el daño material supone “la pérdida o detrimento de los ingresos de las víctimas, los gastos efectuados con motivo de los hechos y las consecuencias de carácter pecuniario que tengan un nexo causal con los hechos </w:t>
      </w:r>
      <w:r w:rsidRPr="0060216C">
        <w:lastRenderedPageBreak/>
        <w:t>del caso”</w:t>
      </w:r>
      <w:r w:rsidRPr="0060216C">
        <w:rPr>
          <w:rStyle w:val="Refdenotaalpie"/>
        </w:rPr>
        <w:footnoteReference w:id="254"/>
      </w:r>
      <w:r w:rsidRPr="0060216C">
        <w:t>.</w:t>
      </w:r>
      <w:r w:rsidR="00BE739A">
        <w:rPr>
          <w:rFonts w:cs="Vrinda"/>
        </w:rPr>
        <w:t xml:space="preserve"> Al respecto, </w:t>
      </w:r>
      <w:r w:rsidR="00BE739A">
        <w:t>l</w:t>
      </w:r>
      <w:r w:rsidRPr="0060216C">
        <w:t xml:space="preserve">a Corte observa que, a falta de respaldo probatorio, no puede cuantificar con precisión los montos que las víctimas habrían erogado con motivo de los hechos. No obstante, este Tribunal reconoce que las víctimas han incurrido en diversos gastos por el tratamiento médico y cuidados producto de su condición de salud, por lo que fija en equidad la suma de US $5,000.00 (cinco mil dólares de los Estados Unidos de América) para cada una de las </w:t>
      </w:r>
      <w:r w:rsidR="00A54C2A">
        <w:t xml:space="preserve">49 </w:t>
      </w:r>
      <w:r w:rsidRPr="0060216C">
        <w:t>víctimas</w:t>
      </w:r>
      <w:r w:rsidR="00A54C2A">
        <w:t xml:space="preserve"> directas</w:t>
      </w:r>
      <w:r w:rsidR="00BD0EDF">
        <w:t xml:space="preserve"> </w:t>
      </w:r>
      <w:r w:rsidR="00BD0EDF" w:rsidRPr="001D26A2">
        <w:t>señaladas en el Anexo 2</w:t>
      </w:r>
      <w:r w:rsidR="00FE0773">
        <w:t xml:space="preserve"> de la presente Sentencia</w:t>
      </w:r>
      <w:r w:rsidRPr="0060216C">
        <w:t>, por concepto de daño material.</w:t>
      </w:r>
    </w:p>
    <w:p w14:paraId="643D4D19" w14:textId="77777777" w:rsidR="00E841F7" w:rsidRDefault="00E841F7" w:rsidP="0061727E">
      <w:pPr>
        <w:pStyle w:val="Ttulo3"/>
        <w:spacing w:before="0"/>
        <w:rPr>
          <w:rFonts w:eastAsia="Batang" w:cs="Vrinda"/>
          <w:b w:val="0"/>
          <w:i w:val="0"/>
          <w:noProof/>
          <w:szCs w:val="24"/>
          <w:lang w:val="es-ES_tradnl"/>
        </w:rPr>
      </w:pPr>
    </w:p>
    <w:p w14:paraId="6E6DBED7" w14:textId="144A5C00" w:rsidR="006F704E"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6F704E" w:rsidRPr="00E841F7">
        <w:rPr>
          <w:rFonts w:eastAsia="Times" w:cs="Arial"/>
          <w:b/>
          <w:szCs w:val="20"/>
          <w:lang w:val="es-MX"/>
        </w:rPr>
        <w:t>C.2</w:t>
      </w:r>
      <w:r w:rsidR="00BA27B4" w:rsidRPr="00E841F7">
        <w:rPr>
          <w:rFonts w:eastAsia="Times" w:cs="Arial"/>
          <w:b/>
          <w:szCs w:val="20"/>
          <w:lang w:val="es-MX"/>
        </w:rPr>
        <w:t>.</w:t>
      </w:r>
      <w:r w:rsidR="006F704E" w:rsidRPr="00E841F7">
        <w:rPr>
          <w:rFonts w:eastAsia="Times" w:cs="Arial"/>
          <w:b/>
          <w:szCs w:val="20"/>
          <w:lang w:val="es-MX"/>
        </w:rPr>
        <w:t xml:space="preserve"> Daño inmaterial o moral</w:t>
      </w:r>
    </w:p>
    <w:p w14:paraId="3D8ADB90" w14:textId="77777777" w:rsidR="00E841F7" w:rsidRDefault="00E841F7" w:rsidP="0061727E">
      <w:pPr>
        <w:ind w:firstLine="720"/>
        <w:rPr>
          <w:lang w:val="es-CR"/>
        </w:rPr>
      </w:pPr>
    </w:p>
    <w:p w14:paraId="6E1DAA88" w14:textId="7A644CC6" w:rsidR="00BA27B4" w:rsidRDefault="00E841F7" w:rsidP="00E841F7">
      <w:pPr>
        <w:rPr>
          <w:rFonts w:cs="Vrinda"/>
          <w:b/>
          <w:i/>
          <w:lang w:val="es-ES"/>
        </w:rPr>
      </w:pPr>
      <w:r>
        <w:rPr>
          <w:rFonts w:cs="Vrinda"/>
          <w:b/>
          <w:i/>
          <w:lang w:val="es-ES"/>
        </w:rPr>
        <w:tab/>
      </w:r>
      <w:r>
        <w:rPr>
          <w:rFonts w:cs="Vrinda"/>
          <w:b/>
          <w:i/>
          <w:lang w:val="es-ES"/>
        </w:rPr>
        <w:tab/>
      </w:r>
      <w:r>
        <w:rPr>
          <w:rFonts w:cs="Vrinda"/>
          <w:b/>
          <w:i/>
          <w:lang w:val="es-ES"/>
        </w:rPr>
        <w:tab/>
      </w:r>
      <w:r w:rsidR="00BA27B4">
        <w:rPr>
          <w:rFonts w:cs="Vrinda"/>
          <w:b/>
          <w:i/>
          <w:lang w:val="es-ES"/>
        </w:rPr>
        <w:t>C.2.1. Alegatos de la Comisión y de las partes</w:t>
      </w:r>
    </w:p>
    <w:p w14:paraId="6973EE21" w14:textId="77777777" w:rsidR="0061727E" w:rsidRPr="0061727E" w:rsidRDefault="0061727E" w:rsidP="0061727E">
      <w:pPr>
        <w:rPr>
          <w:rFonts w:cs="Vrinda"/>
          <w:lang w:val="es-ES"/>
        </w:rPr>
      </w:pPr>
    </w:p>
    <w:p w14:paraId="2AE77E3A" w14:textId="08398137" w:rsidR="006F704E" w:rsidRPr="0061727E" w:rsidRDefault="006F704E" w:rsidP="0061727E">
      <w:pPr>
        <w:numPr>
          <w:ilvl w:val="0"/>
          <w:numId w:val="3"/>
        </w:numPr>
        <w:tabs>
          <w:tab w:val="left" w:pos="709"/>
          <w:tab w:val="left" w:pos="1134"/>
        </w:tabs>
        <w:ind w:left="0" w:right="-4" w:firstLine="0"/>
        <w:rPr>
          <w:rFonts w:cs="Vrinda"/>
          <w:noProof w:val="0"/>
        </w:rPr>
      </w:pPr>
      <w:r w:rsidRPr="0060216C">
        <w:rPr>
          <w:rFonts w:cs="Vrinda"/>
        </w:rPr>
        <w:t xml:space="preserve">La </w:t>
      </w:r>
      <w:r w:rsidRPr="0060216C">
        <w:rPr>
          <w:rFonts w:cs="Vrinda"/>
          <w:b/>
          <w:i/>
        </w:rPr>
        <w:t>Comisión</w:t>
      </w:r>
      <w:r w:rsidRPr="0060216C">
        <w:rPr>
          <w:rFonts w:cs="Vrinda"/>
        </w:rPr>
        <w:t xml:space="preserve"> solicitó a la Corte que ordene al Estado reparar integralmente a las víctimas sobrevivientes y a los familiares y seres queridos, incluyendo el aspecto material. Asimismo, solicitó que la Corte tome en cuenta que</w:t>
      </w:r>
      <w:r w:rsidR="00A54C2A">
        <w:rPr>
          <w:rFonts w:cs="Vrinda"/>
        </w:rPr>
        <w:t>:</w:t>
      </w:r>
      <w:r w:rsidRPr="0060216C">
        <w:rPr>
          <w:rFonts w:cs="Vrinda"/>
        </w:rPr>
        <w:t xml:space="preserve"> i) las afectaciones ocasionadas a las víctimas alcanzan los proyectos de vida t</w:t>
      </w:r>
      <w:r w:rsidR="007F51DE">
        <w:rPr>
          <w:rFonts w:cs="Vrinda"/>
        </w:rPr>
        <w:t>anto personales como familiares,</w:t>
      </w:r>
      <w:r w:rsidRPr="0060216C">
        <w:rPr>
          <w:rFonts w:cs="Vrinda"/>
        </w:rPr>
        <w:t xml:space="preserve"> ii) los hechos de este caso han dejado familias desintegradas, niños y niñas sin padre o madre, proyectos educativos y profesionales truncados, todos ellos producto del grave impacto ocasionado como consecuencia de las</w:t>
      </w:r>
      <w:r w:rsidR="007F51DE">
        <w:rPr>
          <w:rFonts w:cs="Vrinda"/>
        </w:rPr>
        <w:t xml:space="preserve"> acciones y omisiones estatales,</w:t>
      </w:r>
      <w:r w:rsidRPr="0060216C">
        <w:rPr>
          <w:rFonts w:cs="Vrinda"/>
        </w:rPr>
        <w:t xml:space="preserve"> y iii) la mayoría de víctimas se mantienen actualmente en condicione</w:t>
      </w:r>
      <w:r w:rsidR="00A54C2A">
        <w:rPr>
          <w:rFonts w:cs="Vrinda"/>
        </w:rPr>
        <w:t>s de pobreza y pobreza extrema.</w:t>
      </w:r>
    </w:p>
    <w:p w14:paraId="1F4F9814" w14:textId="77777777" w:rsidR="0061727E" w:rsidRPr="0060216C" w:rsidRDefault="0061727E" w:rsidP="0061727E">
      <w:pPr>
        <w:tabs>
          <w:tab w:val="left" w:pos="709"/>
          <w:tab w:val="left" w:pos="1134"/>
        </w:tabs>
        <w:ind w:right="-4"/>
        <w:rPr>
          <w:rFonts w:cs="Vrinda"/>
          <w:noProof w:val="0"/>
        </w:rPr>
      </w:pPr>
    </w:p>
    <w:p w14:paraId="0DE2351E" w14:textId="0A6ED89F" w:rsidR="006F704E" w:rsidRPr="0061727E" w:rsidRDefault="006F704E" w:rsidP="0061727E">
      <w:pPr>
        <w:numPr>
          <w:ilvl w:val="0"/>
          <w:numId w:val="3"/>
        </w:numPr>
        <w:tabs>
          <w:tab w:val="left" w:pos="709"/>
          <w:tab w:val="left" w:pos="1134"/>
        </w:tabs>
        <w:ind w:left="0" w:right="-4" w:firstLine="0"/>
        <w:rPr>
          <w:rFonts w:cs="Vrinda"/>
        </w:rPr>
      </w:pPr>
      <w:r w:rsidRPr="0060216C">
        <w:rPr>
          <w:rFonts w:cs="Vrinda"/>
          <w:lang w:val="es-ES"/>
        </w:rPr>
        <w:t xml:space="preserve">Los </w:t>
      </w:r>
      <w:r w:rsidRPr="0060216C">
        <w:rPr>
          <w:rFonts w:cs="Vrinda"/>
          <w:b/>
          <w:i/>
          <w:lang w:val="es-ES"/>
        </w:rPr>
        <w:t>representantes</w:t>
      </w:r>
      <w:r w:rsidRPr="0060216C">
        <w:rPr>
          <w:rFonts w:cs="Vrinda"/>
          <w:lang w:val="es-ES"/>
        </w:rPr>
        <w:t xml:space="preserve"> solicitaron a la Corte que, en atención a los elementos de hecho del presente caso, las violaciones cometidas, los sufrimientos ocasionados, la afectación a los proyectos de vida así como las restantes consecuencias de orden inmaterial sufridas por las víctimas del presente caso, ordene al Estado el pago por concepto de daño inmaterial, el cual deb</w:t>
      </w:r>
      <w:r w:rsidR="00682450">
        <w:rPr>
          <w:rFonts w:cs="Vrinda"/>
          <w:lang w:val="es-ES"/>
        </w:rPr>
        <w:t>erá ser determinado en equidad.</w:t>
      </w:r>
    </w:p>
    <w:p w14:paraId="04348F5F" w14:textId="77777777" w:rsidR="0061727E" w:rsidRPr="0060216C" w:rsidRDefault="0061727E" w:rsidP="0061727E">
      <w:pPr>
        <w:tabs>
          <w:tab w:val="left" w:pos="709"/>
          <w:tab w:val="left" w:pos="1134"/>
        </w:tabs>
        <w:ind w:right="-4"/>
        <w:rPr>
          <w:rFonts w:cs="Vrinda"/>
        </w:rPr>
      </w:pPr>
    </w:p>
    <w:p w14:paraId="3A1C734D" w14:textId="1FD58476" w:rsidR="006F704E" w:rsidRPr="0061727E" w:rsidRDefault="006F704E" w:rsidP="0061727E">
      <w:pPr>
        <w:numPr>
          <w:ilvl w:val="0"/>
          <w:numId w:val="3"/>
        </w:numPr>
        <w:tabs>
          <w:tab w:val="left" w:pos="709"/>
          <w:tab w:val="left" w:pos="1134"/>
        </w:tabs>
        <w:ind w:left="0" w:right="-4" w:firstLine="0"/>
        <w:rPr>
          <w:rFonts w:cs="Vrinda"/>
        </w:rPr>
      </w:pPr>
      <w:r w:rsidRPr="0060216C">
        <w:rPr>
          <w:rFonts w:cs="Vrinda"/>
        </w:rPr>
        <w:t xml:space="preserve">El </w:t>
      </w:r>
      <w:r w:rsidRPr="0060216C">
        <w:rPr>
          <w:rFonts w:cs="Vrinda"/>
          <w:b/>
          <w:i/>
        </w:rPr>
        <w:t>Estado</w:t>
      </w:r>
      <w:r w:rsidRPr="0060216C">
        <w:rPr>
          <w:rFonts w:cs="Vrinda"/>
        </w:rPr>
        <w:t xml:space="preserve"> señaló que, respecto a la reparación por daño inmaterial, presentaría una propuesta basada en un estudio actuarial. Sin embargo, </w:t>
      </w:r>
      <w:r w:rsidR="00682450">
        <w:rPr>
          <w:rFonts w:cs="Vrinda"/>
        </w:rPr>
        <w:t>dicha propuesta</w:t>
      </w:r>
      <w:r w:rsidRPr="0060216C">
        <w:rPr>
          <w:rFonts w:cs="Vrinda"/>
        </w:rPr>
        <w:t xml:space="preserve"> no fue presentada a la Corte.</w:t>
      </w:r>
    </w:p>
    <w:p w14:paraId="68A9E701" w14:textId="77777777" w:rsidR="0061727E" w:rsidRPr="00BA27B4" w:rsidRDefault="0061727E" w:rsidP="0061727E">
      <w:pPr>
        <w:tabs>
          <w:tab w:val="left" w:pos="709"/>
          <w:tab w:val="left" w:pos="1134"/>
        </w:tabs>
        <w:ind w:right="-4"/>
        <w:rPr>
          <w:rFonts w:cs="Vrinda"/>
        </w:rPr>
      </w:pPr>
    </w:p>
    <w:p w14:paraId="197E880D" w14:textId="021BE829" w:rsidR="00BA27B4" w:rsidRDefault="00E841F7" w:rsidP="00E841F7">
      <w:pPr>
        <w:rPr>
          <w:rFonts w:cs="Vrinda"/>
          <w:b/>
          <w:i/>
          <w:lang w:val="es-ES"/>
        </w:rPr>
      </w:pPr>
      <w:r>
        <w:rPr>
          <w:rFonts w:cs="Vrinda"/>
          <w:b/>
          <w:i/>
          <w:lang w:val="es-ES"/>
        </w:rPr>
        <w:tab/>
      </w:r>
      <w:r>
        <w:rPr>
          <w:rFonts w:cs="Vrinda"/>
          <w:b/>
          <w:i/>
          <w:lang w:val="es-ES"/>
        </w:rPr>
        <w:tab/>
      </w:r>
      <w:r>
        <w:rPr>
          <w:rFonts w:cs="Vrinda"/>
          <w:b/>
          <w:i/>
          <w:lang w:val="es-ES"/>
        </w:rPr>
        <w:tab/>
      </w:r>
      <w:r w:rsidR="00BA27B4" w:rsidRPr="00BA27B4">
        <w:rPr>
          <w:rFonts w:cs="Vrinda"/>
          <w:b/>
          <w:i/>
          <w:lang w:val="es-ES"/>
        </w:rPr>
        <w:t xml:space="preserve">C.2.1. </w:t>
      </w:r>
      <w:r w:rsidR="00BA27B4">
        <w:rPr>
          <w:rFonts w:cs="Vrinda"/>
          <w:b/>
          <w:i/>
          <w:lang w:val="es-ES"/>
        </w:rPr>
        <w:t>Consideraciones de la Corte</w:t>
      </w:r>
    </w:p>
    <w:p w14:paraId="4B061769" w14:textId="77777777" w:rsidR="0061727E" w:rsidRPr="00BA27B4" w:rsidRDefault="0061727E" w:rsidP="0061727E">
      <w:pPr>
        <w:rPr>
          <w:lang w:val="es-ES"/>
        </w:rPr>
      </w:pPr>
    </w:p>
    <w:p w14:paraId="70801BAC" w14:textId="3DB4D2F4" w:rsidR="006F704E" w:rsidRPr="0061727E" w:rsidRDefault="006F704E" w:rsidP="0061727E">
      <w:pPr>
        <w:numPr>
          <w:ilvl w:val="0"/>
          <w:numId w:val="3"/>
        </w:numPr>
        <w:tabs>
          <w:tab w:val="left" w:pos="709"/>
          <w:tab w:val="left" w:pos="1134"/>
        </w:tabs>
        <w:ind w:left="0" w:right="-4" w:firstLine="0"/>
        <w:rPr>
          <w:rFonts w:cs="Vrinda"/>
        </w:rPr>
      </w:pPr>
      <w:r w:rsidRPr="0060216C">
        <w:t xml:space="preserve">La jurisprudencia internacional ha establecido que la sentencia constituye </w:t>
      </w:r>
      <w:r w:rsidRPr="0060216C">
        <w:rPr>
          <w:i/>
        </w:rPr>
        <w:t xml:space="preserve">per se </w:t>
      </w:r>
      <w:r w:rsidRPr="0060216C">
        <w:t>una forma de reparación</w:t>
      </w:r>
      <w:r w:rsidRPr="0060216C">
        <w:rPr>
          <w:vertAlign w:val="superscript"/>
        </w:rPr>
        <w:footnoteReference w:id="255"/>
      </w:r>
      <w:r w:rsidRPr="0060216C">
        <w:t>. No obstante, este Tribunal ha desarrollado el concepto de daño inmate</w:t>
      </w:r>
      <w:r w:rsidR="0086124E">
        <w:t xml:space="preserve">rial y ha establecido que este </w:t>
      </w:r>
      <w:r w:rsidRPr="0060216C">
        <w:t>puede comprender tanto los sufrim</w:t>
      </w:r>
      <w:r w:rsidR="00682450">
        <w:t>ientos y las aflicciones causado</w:t>
      </w:r>
      <w:r w:rsidRPr="0060216C">
        <w:t>s a la</w:t>
      </w:r>
      <w:r w:rsidR="0086124E">
        <w:t>s</w:t>
      </w:r>
      <w:r w:rsidRPr="0060216C">
        <w:t xml:space="preserve"> víctima</w:t>
      </w:r>
      <w:r w:rsidR="0086124E">
        <w:t>s</w:t>
      </w:r>
      <w:r w:rsidRPr="0060216C">
        <w:t xml:space="preserve"> directa</w:t>
      </w:r>
      <w:r w:rsidR="0086124E">
        <w:t>s</w:t>
      </w:r>
      <w:r w:rsidRPr="0060216C">
        <w:t xml:space="preserve"> y a sus allegados, el menoscabo de valores muy significativos para las personas, así como las alteraciones, de carácter no pecuniario, en las condiciones de existencia de la</w:t>
      </w:r>
      <w:r w:rsidR="0086124E">
        <w:t>s</w:t>
      </w:r>
      <w:r w:rsidRPr="0060216C">
        <w:t xml:space="preserve"> víctima</w:t>
      </w:r>
      <w:r w:rsidR="0086124E">
        <w:t>s</w:t>
      </w:r>
      <w:r w:rsidRPr="0060216C">
        <w:t xml:space="preserve"> o su</w:t>
      </w:r>
      <w:r w:rsidR="0086124E">
        <w:t>s</w:t>
      </w:r>
      <w:r w:rsidRPr="0060216C">
        <w:t xml:space="preserve"> familia</w:t>
      </w:r>
      <w:r w:rsidR="0086124E">
        <w:t>res</w:t>
      </w:r>
      <w:r w:rsidRPr="0060216C">
        <w:rPr>
          <w:vertAlign w:val="superscript"/>
          <w:lang w:val="es-MX"/>
        </w:rPr>
        <w:footnoteReference w:id="256"/>
      </w:r>
      <w:r w:rsidRPr="0060216C">
        <w:t>.</w:t>
      </w:r>
    </w:p>
    <w:p w14:paraId="1F1BFB4A" w14:textId="77777777" w:rsidR="0061727E" w:rsidRPr="0060216C" w:rsidRDefault="0061727E" w:rsidP="0061727E">
      <w:pPr>
        <w:tabs>
          <w:tab w:val="left" w:pos="709"/>
          <w:tab w:val="left" w:pos="1134"/>
        </w:tabs>
        <w:ind w:right="-4"/>
        <w:rPr>
          <w:rFonts w:cs="Vrinda"/>
        </w:rPr>
      </w:pPr>
    </w:p>
    <w:p w14:paraId="1129EC4F" w14:textId="0E7F75A8" w:rsidR="005B5677" w:rsidRPr="0061727E" w:rsidRDefault="006F704E" w:rsidP="0061727E">
      <w:pPr>
        <w:numPr>
          <w:ilvl w:val="0"/>
          <w:numId w:val="3"/>
        </w:numPr>
        <w:tabs>
          <w:tab w:val="left" w:pos="709"/>
          <w:tab w:val="left" w:pos="1134"/>
        </w:tabs>
        <w:ind w:left="0" w:right="-4" w:firstLine="0"/>
        <w:rPr>
          <w:rFonts w:cs="Vrinda"/>
        </w:rPr>
      </w:pPr>
      <w:r w:rsidRPr="0060216C">
        <w:t xml:space="preserve">Por ello, considerando las circunstancias del presente caso, los sufrimientos que las violaciones cometidas causaron a las víctimas, así como las restantes consecuencias de orden inmaterial que éstas sufrieron, la Corte estima pertinente fijar en equidad, por concepto de </w:t>
      </w:r>
      <w:r w:rsidRPr="0060216C">
        <w:lastRenderedPageBreak/>
        <w:t xml:space="preserve">daño inmaterial, una indemnización equivalente a US </w:t>
      </w:r>
      <w:r w:rsidRPr="001D26A2">
        <w:t>$</w:t>
      </w:r>
      <w:r w:rsidR="00BD0EDF" w:rsidRPr="001D26A2">
        <w:t>60.000</w:t>
      </w:r>
      <w:r w:rsidRPr="001D26A2">
        <w:t xml:space="preserve"> (</w:t>
      </w:r>
      <w:r w:rsidR="00BD0EDF" w:rsidRPr="001D26A2">
        <w:t>sesenta mil</w:t>
      </w:r>
      <w:r w:rsidRPr="001D26A2">
        <w:t xml:space="preserve"> </w:t>
      </w:r>
      <w:r w:rsidRPr="0060216C">
        <w:t>dólares de los Estados Unidos de América) a favor de cada víctima</w:t>
      </w:r>
      <w:r w:rsidR="00BE739A">
        <w:t xml:space="preserve"> fallecida</w:t>
      </w:r>
      <w:r w:rsidRPr="0060216C">
        <w:t>,</w:t>
      </w:r>
      <w:r w:rsidR="00BE739A">
        <w:t xml:space="preserve"> de </w:t>
      </w:r>
      <w:r w:rsidR="00BE739A" w:rsidRPr="0060216C">
        <w:t>US $</w:t>
      </w:r>
      <w:r w:rsidR="00BD0EDF" w:rsidRPr="001D26A2">
        <w:t>30.000</w:t>
      </w:r>
      <w:r w:rsidR="00BE739A" w:rsidRPr="001D26A2">
        <w:t xml:space="preserve"> (</w:t>
      </w:r>
      <w:r w:rsidR="00BD0EDF" w:rsidRPr="001D26A2">
        <w:t>treinta mil</w:t>
      </w:r>
      <w:r w:rsidR="00BE739A" w:rsidRPr="001D26A2">
        <w:t xml:space="preserve"> </w:t>
      </w:r>
      <w:r w:rsidR="00BE739A" w:rsidRPr="0060216C">
        <w:t>dólares de los Estados Unidos de América) a favor de cada víctima</w:t>
      </w:r>
      <w:r w:rsidR="00BE739A">
        <w:t xml:space="preserve"> </w:t>
      </w:r>
      <w:r w:rsidR="005B2E8C">
        <w:t>sobreviviente,</w:t>
      </w:r>
      <w:r w:rsidRPr="0060216C">
        <w:t xml:space="preserve"> y de US $</w:t>
      </w:r>
      <w:r w:rsidR="00BD0EDF" w:rsidRPr="001D26A2">
        <w:t xml:space="preserve">10.000 </w:t>
      </w:r>
      <w:r w:rsidRPr="001D26A2">
        <w:t>(</w:t>
      </w:r>
      <w:r w:rsidR="00BD0EDF" w:rsidRPr="001D26A2">
        <w:t>diez mil</w:t>
      </w:r>
      <w:r w:rsidR="00BD0EDF">
        <w:t xml:space="preserve"> </w:t>
      </w:r>
      <w:r w:rsidRPr="0060216C">
        <w:t>dólares de los Estados Unidos de América) a favor de</w:t>
      </w:r>
      <w:r w:rsidR="005B2E8C">
        <w:t xml:space="preserve"> cada uno de</w:t>
      </w:r>
      <w:r w:rsidRPr="0060216C">
        <w:t xml:space="preserve"> los familiares declarados como víctimas en el presente caso.</w:t>
      </w:r>
      <w:bookmarkStart w:id="126" w:name="_Toc405857939"/>
      <w:bookmarkStart w:id="127" w:name="_Toc486693415"/>
      <w:bookmarkStart w:id="128" w:name="_Toc486842835"/>
      <w:bookmarkStart w:id="129" w:name="_Toc486842969"/>
      <w:bookmarkStart w:id="130" w:name="_Toc508792683"/>
      <w:bookmarkStart w:id="131" w:name="_Toc510690643"/>
    </w:p>
    <w:p w14:paraId="7E84DABB" w14:textId="77777777" w:rsidR="0061727E" w:rsidRPr="00BE739A" w:rsidRDefault="0061727E" w:rsidP="0061727E">
      <w:pPr>
        <w:tabs>
          <w:tab w:val="left" w:pos="709"/>
          <w:tab w:val="left" w:pos="1134"/>
        </w:tabs>
        <w:ind w:right="-4"/>
        <w:rPr>
          <w:rFonts w:cs="Vrinda"/>
        </w:rPr>
      </w:pPr>
    </w:p>
    <w:p w14:paraId="47B22C46" w14:textId="564C8B69" w:rsidR="006F704E" w:rsidRPr="00E841F7" w:rsidRDefault="00E841F7" w:rsidP="00E841F7">
      <w:pPr>
        <w:pStyle w:val="Estilo1"/>
        <w:tabs>
          <w:tab w:val="left" w:pos="709"/>
          <w:tab w:val="left" w:pos="1134"/>
        </w:tabs>
        <w:spacing w:after="0"/>
        <w:ind w:left="0" w:right="-4" w:firstLine="0"/>
        <w:rPr>
          <w:rFonts w:eastAsia="Times" w:cs="Arial"/>
          <w:b/>
          <w:szCs w:val="20"/>
          <w:lang w:val="es-MX"/>
        </w:rPr>
      </w:pPr>
      <w:r>
        <w:rPr>
          <w:rFonts w:eastAsia="Times" w:cs="Arial"/>
          <w:b/>
          <w:szCs w:val="20"/>
          <w:lang w:val="es-MX"/>
        </w:rPr>
        <w:tab/>
      </w:r>
      <w:r>
        <w:rPr>
          <w:rFonts w:eastAsia="Times" w:cs="Arial"/>
          <w:b/>
          <w:szCs w:val="20"/>
          <w:lang w:val="es-MX"/>
        </w:rPr>
        <w:tab/>
      </w:r>
      <w:r w:rsidR="00BA27B4" w:rsidRPr="00E841F7">
        <w:rPr>
          <w:rFonts w:eastAsia="Times" w:cs="Arial"/>
          <w:b/>
          <w:szCs w:val="20"/>
          <w:lang w:val="es-MX"/>
        </w:rPr>
        <w:t xml:space="preserve">C.3. </w:t>
      </w:r>
      <w:r w:rsidR="006F704E" w:rsidRPr="00E841F7">
        <w:rPr>
          <w:rFonts w:eastAsia="Times" w:cs="Arial"/>
          <w:b/>
          <w:szCs w:val="20"/>
          <w:lang w:val="es-MX"/>
        </w:rPr>
        <w:t>Costas y Gastos</w:t>
      </w:r>
      <w:bookmarkEnd w:id="126"/>
      <w:bookmarkEnd w:id="127"/>
      <w:bookmarkEnd w:id="128"/>
      <w:bookmarkEnd w:id="129"/>
      <w:bookmarkEnd w:id="130"/>
      <w:bookmarkEnd w:id="131"/>
    </w:p>
    <w:p w14:paraId="0FE32CCD" w14:textId="77777777" w:rsidR="00F12B1C" w:rsidRDefault="00F12B1C" w:rsidP="0061727E">
      <w:pPr>
        <w:rPr>
          <w:rFonts w:cs="Vrinda"/>
          <w:b/>
          <w:bCs/>
          <w:i/>
        </w:rPr>
      </w:pPr>
      <w:bookmarkStart w:id="132" w:name="_Toc520238593"/>
      <w:r>
        <w:rPr>
          <w:rFonts w:cs="Vrinda"/>
          <w:b/>
          <w:bCs/>
          <w:i/>
        </w:rPr>
        <w:tab/>
      </w:r>
    </w:p>
    <w:p w14:paraId="11C5B0B2" w14:textId="7EC21B06" w:rsidR="0061727E" w:rsidRDefault="00E841F7" w:rsidP="0061727E">
      <w:pPr>
        <w:rPr>
          <w:rFonts w:cs="Vrinda"/>
          <w:b/>
          <w:bCs/>
          <w:i/>
        </w:rPr>
      </w:pPr>
      <w:r>
        <w:rPr>
          <w:rFonts w:cs="Vrinda"/>
          <w:b/>
          <w:bCs/>
          <w:i/>
        </w:rPr>
        <w:tab/>
      </w:r>
      <w:r>
        <w:rPr>
          <w:rFonts w:cs="Vrinda"/>
          <w:b/>
          <w:bCs/>
          <w:i/>
        </w:rPr>
        <w:tab/>
      </w:r>
      <w:r>
        <w:rPr>
          <w:rFonts w:cs="Vrinda"/>
          <w:b/>
          <w:bCs/>
          <w:i/>
        </w:rPr>
        <w:tab/>
      </w:r>
      <w:r w:rsidR="00BA27B4">
        <w:rPr>
          <w:rFonts w:cs="Vrinda"/>
          <w:b/>
          <w:bCs/>
          <w:i/>
        </w:rPr>
        <w:t>C.3</w:t>
      </w:r>
      <w:r w:rsidR="006F704E" w:rsidRPr="0060216C">
        <w:rPr>
          <w:rFonts w:cs="Vrinda"/>
          <w:b/>
          <w:bCs/>
          <w:i/>
        </w:rPr>
        <w:t>.</w:t>
      </w:r>
      <w:r w:rsidR="00BA27B4">
        <w:rPr>
          <w:rFonts w:cs="Vrinda"/>
          <w:b/>
          <w:bCs/>
          <w:i/>
        </w:rPr>
        <w:t>1. Alegatos de la Comisión y de las partes</w:t>
      </w:r>
      <w:bookmarkEnd w:id="132"/>
    </w:p>
    <w:p w14:paraId="228D0472" w14:textId="77777777" w:rsidR="0061727E" w:rsidRPr="0061727E" w:rsidRDefault="0061727E" w:rsidP="0061727E">
      <w:pPr>
        <w:rPr>
          <w:rFonts w:cs="Vrinda"/>
          <w:bCs/>
        </w:rPr>
      </w:pPr>
    </w:p>
    <w:p w14:paraId="1149E1D9" w14:textId="606634EC" w:rsidR="006F704E" w:rsidRDefault="006F704E" w:rsidP="0061727E">
      <w:pPr>
        <w:numPr>
          <w:ilvl w:val="0"/>
          <w:numId w:val="3"/>
        </w:numPr>
        <w:tabs>
          <w:tab w:val="left" w:pos="709"/>
          <w:tab w:val="left" w:pos="1134"/>
        </w:tabs>
        <w:ind w:left="0" w:right="-4" w:firstLine="0"/>
        <w:rPr>
          <w:rFonts w:eastAsia="Arial" w:cs="Vrinda"/>
          <w:lang w:val="es-ES"/>
        </w:rPr>
      </w:pPr>
      <w:r w:rsidRPr="0060216C">
        <w:rPr>
          <w:rFonts w:cs="Vrinda"/>
          <w:lang w:val="es-ES"/>
        </w:rPr>
        <w:t xml:space="preserve">Los </w:t>
      </w:r>
      <w:r w:rsidRPr="0060216C">
        <w:rPr>
          <w:rFonts w:cs="Vrinda"/>
          <w:b/>
          <w:lang w:val="es-ES"/>
        </w:rPr>
        <w:t>representantes</w:t>
      </w:r>
      <w:r w:rsidRPr="0060216C">
        <w:rPr>
          <w:rFonts w:cs="Vrinda"/>
          <w:lang w:val="es-ES"/>
        </w:rPr>
        <w:t xml:space="preserve"> solicitaron que se pague la cantidad </w:t>
      </w:r>
      <w:r w:rsidR="005662A8">
        <w:rPr>
          <w:rFonts w:eastAsia="Arial" w:cs="Vrinda"/>
          <w:bCs/>
          <w:lang w:val="es-ES"/>
        </w:rPr>
        <w:t>US</w:t>
      </w:r>
      <w:r w:rsidRPr="0060216C">
        <w:rPr>
          <w:rFonts w:eastAsia="Arial" w:cs="Vrinda"/>
          <w:bCs/>
          <w:lang w:val="es-ES"/>
        </w:rPr>
        <w:t xml:space="preserve"> </w:t>
      </w:r>
      <w:r w:rsidR="005662A8">
        <w:rPr>
          <w:rFonts w:eastAsia="Arial" w:cs="Vrinda"/>
          <w:bCs/>
          <w:lang w:val="es-ES"/>
        </w:rPr>
        <w:t>$</w:t>
      </w:r>
      <w:r w:rsidRPr="0060216C">
        <w:rPr>
          <w:rFonts w:eastAsia="Arial" w:cs="Vrinda"/>
          <w:bCs/>
          <w:spacing w:val="1"/>
          <w:lang w:val="es-ES"/>
        </w:rPr>
        <w:t>2</w:t>
      </w:r>
      <w:r w:rsidRPr="0060216C">
        <w:rPr>
          <w:rFonts w:eastAsia="Arial" w:cs="Vrinda"/>
          <w:bCs/>
          <w:lang w:val="es-ES"/>
        </w:rPr>
        <w:t>,</w:t>
      </w:r>
      <w:r w:rsidRPr="0060216C">
        <w:rPr>
          <w:rFonts w:eastAsia="Arial" w:cs="Vrinda"/>
          <w:bCs/>
          <w:spacing w:val="1"/>
          <w:lang w:val="es-ES"/>
        </w:rPr>
        <w:t>7</w:t>
      </w:r>
      <w:r w:rsidRPr="0060216C">
        <w:rPr>
          <w:rFonts w:eastAsia="Arial" w:cs="Vrinda"/>
          <w:bCs/>
          <w:spacing w:val="-1"/>
          <w:lang w:val="es-ES"/>
        </w:rPr>
        <w:t>9</w:t>
      </w:r>
      <w:r w:rsidRPr="0060216C">
        <w:rPr>
          <w:rFonts w:eastAsia="Arial" w:cs="Vrinda"/>
          <w:bCs/>
          <w:spacing w:val="1"/>
          <w:lang w:val="es-ES"/>
        </w:rPr>
        <w:t>4</w:t>
      </w:r>
      <w:r w:rsidRPr="0060216C">
        <w:rPr>
          <w:rFonts w:eastAsia="Arial" w:cs="Vrinda"/>
          <w:bCs/>
          <w:spacing w:val="2"/>
          <w:lang w:val="es-ES"/>
        </w:rPr>
        <w:t>.</w:t>
      </w:r>
      <w:r w:rsidRPr="0060216C">
        <w:rPr>
          <w:rFonts w:eastAsia="Arial" w:cs="Vrinda"/>
          <w:bCs/>
          <w:spacing w:val="-1"/>
          <w:lang w:val="es-ES"/>
        </w:rPr>
        <w:t>44</w:t>
      </w:r>
      <w:r w:rsidRPr="0060216C">
        <w:rPr>
          <w:rFonts w:eastAsia="Arial" w:cs="Vrinda"/>
          <w:b/>
          <w:bCs/>
          <w:spacing w:val="-1"/>
          <w:lang w:val="es-ES"/>
        </w:rPr>
        <w:t xml:space="preserve"> </w:t>
      </w:r>
      <w:r w:rsidRPr="0060216C">
        <w:rPr>
          <w:rFonts w:eastAsia="Arial" w:cs="Vrinda"/>
          <w:bCs/>
          <w:spacing w:val="-1"/>
          <w:lang w:val="es-ES"/>
        </w:rPr>
        <w:t>por concepto de los servicios prestados por la Dra. María Cristina Calderón a fin de realizar seguimiento a la situación de las víctimas en el presente caso, cubriendo de esta forma los gastos de los viajes realizados entre diciembre de 2016 a la fecha. A su vez, solicitaron que se determine en equidad el valor de 14 viajes adicionales que realizó la Dra. Calderón desde el año 2000, y los gastos de dos viajes que realizó a la ciudad de Washington D.C durante el trámite ante la Comisión. Por último,</w:t>
      </w:r>
      <w:r w:rsidRPr="0060216C">
        <w:rPr>
          <w:rFonts w:eastAsia="Arial" w:cs="Vrinda"/>
          <w:spacing w:val="4"/>
          <w:lang w:val="es-ES"/>
        </w:rPr>
        <w:t xml:space="preserve"> señalaron que </w:t>
      </w:r>
      <w:r w:rsidRPr="0060216C">
        <w:rPr>
          <w:rFonts w:eastAsia="Arial" w:cs="Vrinda"/>
          <w:lang w:val="es-ES"/>
        </w:rPr>
        <w:t>la</w:t>
      </w:r>
      <w:r w:rsidRPr="0060216C">
        <w:rPr>
          <w:rFonts w:eastAsia="Arial" w:cs="Vrinda"/>
          <w:spacing w:val="4"/>
          <w:lang w:val="es-ES"/>
        </w:rPr>
        <w:t xml:space="preserve"> </w:t>
      </w:r>
      <w:r w:rsidRPr="0060216C">
        <w:rPr>
          <w:rFonts w:eastAsia="Arial" w:cs="Vrinda"/>
          <w:lang w:val="es-ES"/>
        </w:rPr>
        <w:t>D</w:t>
      </w:r>
      <w:r w:rsidRPr="0060216C">
        <w:rPr>
          <w:rFonts w:eastAsia="Arial" w:cs="Vrinda"/>
          <w:spacing w:val="-2"/>
          <w:lang w:val="es-ES"/>
        </w:rPr>
        <w:t>ra.</w:t>
      </w:r>
      <w:r w:rsidRPr="0060216C">
        <w:rPr>
          <w:rFonts w:eastAsia="Arial" w:cs="Vrinda"/>
          <w:lang w:val="es-ES"/>
        </w:rPr>
        <w:t xml:space="preserve"> Cal</w:t>
      </w:r>
      <w:r w:rsidRPr="0060216C">
        <w:rPr>
          <w:rFonts w:eastAsia="Arial" w:cs="Vrinda"/>
          <w:spacing w:val="1"/>
          <w:lang w:val="es-ES"/>
        </w:rPr>
        <w:t>de</w:t>
      </w:r>
      <w:r w:rsidRPr="0060216C">
        <w:rPr>
          <w:rFonts w:eastAsia="Arial" w:cs="Vrinda"/>
          <w:spacing w:val="-3"/>
          <w:lang w:val="es-ES"/>
        </w:rPr>
        <w:t>r</w:t>
      </w:r>
      <w:r w:rsidRPr="0060216C">
        <w:rPr>
          <w:rFonts w:eastAsia="Arial" w:cs="Vrinda"/>
          <w:spacing w:val="1"/>
          <w:lang w:val="es-ES"/>
        </w:rPr>
        <w:t>ó</w:t>
      </w:r>
      <w:r w:rsidRPr="0060216C">
        <w:rPr>
          <w:rFonts w:eastAsia="Arial" w:cs="Vrinda"/>
          <w:lang w:val="es-ES"/>
        </w:rPr>
        <w:t>n</w:t>
      </w:r>
      <w:r w:rsidRPr="0060216C">
        <w:rPr>
          <w:rFonts w:eastAsia="Arial" w:cs="Vrinda"/>
          <w:spacing w:val="4"/>
          <w:lang w:val="es-ES"/>
        </w:rPr>
        <w:t xml:space="preserve"> </w:t>
      </w:r>
      <w:r w:rsidRPr="0060216C">
        <w:rPr>
          <w:rFonts w:eastAsia="Arial" w:cs="Vrinda"/>
          <w:lang w:val="es-ES"/>
        </w:rPr>
        <w:t>in</w:t>
      </w:r>
      <w:r w:rsidRPr="0060216C">
        <w:rPr>
          <w:rFonts w:eastAsia="Arial" w:cs="Vrinda"/>
          <w:spacing w:val="-2"/>
          <w:lang w:val="es-ES"/>
        </w:rPr>
        <w:t>c</w:t>
      </w:r>
      <w:r w:rsidRPr="0060216C">
        <w:rPr>
          <w:rFonts w:eastAsia="Arial" w:cs="Vrinda"/>
          <w:spacing w:val="1"/>
          <w:lang w:val="es-ES"/>
        </w:rPr>
        <w:t>u</w:t>
      </w:r>
      <w:r w:rsidRPr="0060216C">
        <w:rPr>
          <w:rFonts w:eastAsia="Arial" w:cs="Vrinda"/>
          <w:lang w:val="es-ES"/>
        </w:rPr>
        <w:t>r</w:t>
      </w:r>
      <w:r w:rsidRPr="0060216C">
        <w:rPr>
          <w:rFonts w:eastAsia="Arial" w:cs="Vrinda"/>
          <w:spacing w:val="-1"/>
          <w:lang w:val="es-ES"/>
        </w:rPr>
        <w:t>r</w:t>
      </w:r>
      <w:r w:rsidRPr="0060216C">
        <w:rPr>
          <w:rFonts w:eastAsia="Arial" w:cs="Vrinda"/>
          <w:lang w:val="es-ES"/>
        </w:rPr>
        <w:t>ió</w:t>
      </w:r>
      <w:r w:rsidRPr="0060216C">
        <w:rPr>
          <w:rFonts w:eastAsia="Arial" w:cs="Vrinda"/>
          <w:spacing w:val="9"/>
          <w:lang w:val="es-ES"/>
        </w:rPr>
        <w:t xml:space="preserve"> </w:t>
      </w:r>
      <w:r w:rsidRPr="0060216C">
        <w:rPr>
          <w:rFonts w:eastAsia="Arial" w:cs="Vrinda"/>
          <w:spacing w:val="1"/>
          <w:lang w:val="es-ES"/>
        </w:rPr>
        <w:t>e</w:t>
      </w:r>
      <w:r w:rsidRPr="0060216C">
        <w:rPr>
          <w:rFonts w:eastAsia="Arial" w:cs="Vrinda"/>
          <w:lang w:val="es-ES"/>
        </w:rPr>
        <w:t>n</w:t>
      </w:r>
      <w:r w:rsidRPr="0060216C">
        <w:rPr>
          <w:rFonts w:eastAsia="Arial" w:cs="Vrinda"/>
          <w:spacing w:val="2"/>
          <w:lang w:val="es-ES"/>
        </w:rPr>
        <w:t xml:space="preserve"> </w:t>
      </w:r>
      <w:r w:rsidRPr="0060216C">
        <w:rPr>
          <w:rFonts w:eastAsia="Arial" w:cs="Vrinda"/>
          <w:spacing w:val="1"/>
          <w:lang w:val="es-ES"/>
        </w:rPr>
        <w:t>u</w:t>
      </w:r>
      <w:r w:rsidRPr="0060216C">
        <w:rPr>
          <w:rFonts w:eastAsia="Arial" w:cs="Vrinda"/>
          <w:lang w:val="es-ES"/>
        </w:rPr>
        <w:t>n</w:t>
      </w:r>
      <w:r w:rsidRPr="0060216C">
        <w:rPr>
          <w:rFonts w:eastAsia="Arial" w:cs="Vrinda"/>
          <w:spacing w:val="4"/>
          <w:lang w:val="es-ES"/>
        </w:rPr>
        <w:t xml:space="preserve"> </w:t>
      </w:r>
      <w:r w:rsidRPr="0060216C">
        <w:rPr>
          <w:rFonts w:eastAsia="Arial" w:cs="Vrinda"/>
          <w:spacing w:val="-1"/>
          <w:lang w:val="es-ES"/>
        </w:rPr>
        <w:t>g</w:t>
      </w:r>
      <w:r w:rsidRPr="0060216C">
        <w:rPr>
          <w:rFonts w:eastAsia="Arial" w:cs="Vrinda"/>
          <w:spacing w:val="1"/>
          <w:lang w:val="es-ES"/>
        </w:rPr>
        <w:t>a</w:t>
      </w:r>
      <w:r w:rsidRPr="0060216C">
        <w:rPr>
          <w:rFonts w:eastAsia="Arial" w:cs="Vrinda"/>
          <w:lang w:val="es-ES"/>
        </w:rPr>
        <w:t>s</w:t>
      </w:r>
      <w:r w:rsidRPr="0060216C">
        <w:rPr>
          <w:rFonts w:eastAsia="Arial" w:cs="Vrinda"/>
          <w:spacing w:val="-2"/>
          <w:lang w:val="es-ES"/>
        </w:rPr>
        <w:t>t</w:t>
      </w:r>
      <w:r w:rsidRPr="0060216C">
        <w:rPr>
          <w:rFonts w:eastAsia="Arial" w:cs="Vrinda"/>
          <w:lang w:val="es-ES"/>
        </w:rPr>
        <w:t>o</w:t>
      </w:r>
      <w:r w:rsidRPr="0060216C">
        <w:rPr>
          <w:rFonts w:eastAsia="Arial" w:cs="Vrinda"/>
          <w:spacing w:val="2"/>
          <w:lang w:val="es-ES"/>
        </w:rPr>
        <w:t xml:space="preserve"> </w:t>
      </w:r>
      <w:r w:rsidRPr="0060216C">
        <w:rPr>
          <w:rFonts w:eastAsia="Arial" w:cs="Vrinda"/>
          <w:spacing w:val="1"/>
          <w:lang w:val="es-ES"/>
        </w:rPr>
        <w:t>d</w:t>
      </w:r>
      <w:r w:rsidRPr="0060216C">
        <w:rPr>
          <w:rFonts w:eastAsia="Arial" w:cs="Vrinda"/>
          <w:lang w:val="es-ES"/>
        </w:rPr>
        <w:t>e</w:t>
      </w:r>
      <w:r w:rsidRPr="0060216C">
        <w:rPr>
          <w:rFonts w:eastAsia="Arial" w:cs="Vrinda"/>
          <w:spacing w:val="2"/>
          <w:lang w:val="es-ES"/>
        </w:rPr>
        <w:t xml:space="preserve"> </w:t>
      </w:r>
      <w:r w:rsidRPr="0060216C">
        <w:rPr>
          <w:rFonts w:eastAsia="Arial" w:cs="Vrinda"/>
          <w:spacing w:val="-3"/>
          <w:lang w:val="es-ES"/>
        </w:rPr>
        <w:t>U</w:t>
      </w:r>
      <w:r w:rsidR="006E121E">
        <w:rPr>
          <w:rFonts w:eastAsia="Arial" w:cs="Vrinda"/>
          <w:lang w:val="es-ES"/>
        </w:rPr>
        <w:t>S</w:t>
      </w:r>
      <w:r w:rsidRPr="0060216C">
        <w:rPr>
          <w:rFonts w:eastAsia="Arial" w:cs="Vrinda"/>
          <w:lang w:val="es-ES"/>
        </w:rPr>
        <w:t xml:space="preserve"> </w:t>
      </w:r>
      <w:r w:rsidR="006E121E">
        <w:rPr>
          <w:rFonts w:eastAsia="Arial" w:cs="Vrinda"/>
          <w:lang w:val="es-ES"/>
        </w:rPr>
        <w:t>$</w:t>
      </w:r>
      <w:r w:rsidRPr="0060216C">
        <w:rPr>
          <w:rFonts w:eastAsia="Arial" w:cs="Vrinda"/>
          <w:spacing w:val="1"/>
          <w:lang w:val="es-ES"/>
        </w:rPr>
        <w:t>32</w:t>
      </w:r>
      <w:r w:rsidRPr="0060216C">
        <w:rPr>
          <w:rFonts w:eastAsia="Arial" w:cs="Vrinda"/>
          <w:spacing w:val="-1"/>
          <w:lang w:val="es-ES"/>
        </w:rPr>
        <w:t>7</w:t>
      </w:r>
      <w:r w:rsidRPr="0060216C">
        <w:rPr>
          <w:rFonts w:eastAsia="Arial" w:cs="Vrinda"/>
          <w:lang w:val="es-ES"/>
        </w:rPr>
        <w:t>.</w:t>
      </w:r>
      <w:r w:rsidRPr="0060216C">
        <w:rPr>
          <w:rFonts w:eastAsia="Arial" w:cs="Vrinda"/>
          <w:spacing w:val="-1"/>
          <w:lang w:val="es-ES"/>
        </w:rPr>
        <w:t>8</w:t>
      </w:r>
      <w:r w:rsidRPr="0060216C">
        <w:rPr>
          <w:rFonts w:eastAsia="Arial" w:cs="Vrinda"/>
          <w:lang w:val="es-ES"/>
        </w:rPr>
        <w:t xml:space="preserve">0 </w:t>
      </w:r>
      <w:r w:rsidRPr="0060216C">
        <w:rPr>
          <w:rFonts w:eastAsia="Arial" w:cs="Vrinda"/>
          <w:spacing w:val="-2"/>
          <w:lang w:val="es-ES"/>
        </w:rPr>
        <w:t>p</w:t>
      </w:r>
      <w:r w:rsidRPr="0060216C">
        <w:rPr>
          <w:rFonts w:eastAsia="Arial" w:cs="Vrinda"/>
          <w:spacing w:val="-1"/>
          <w:lang w:val="es-ES"/>
        </w:rPr>
        <w:t>o</w:t>
      </w:r>
      <w:r w:rsidRPr="0060216C">
        <w:rPr>
          <w:rFonts w:eastAsia="Arial" w:cs="Vrinda"/>
          <w:lang w:val="es-ES"/>
        </w:rPr>
        <w:t>r trá</w:t>
      </w:r>
      <w:r w:rsidRPr="0060216C">
        <w:rPr>
          <w:rFonts w:eastAsia="Arial" w:cs="Vrinda"/>
          <w:spacing w:val="2"/>
          <w:lang w:val="es-ES"/>
        </w:rPr>
        <w:t>m</w:t>
      </w:r>
      <w:r w:rsidRPr="0060216C">
        <w:rPr>
          <w:rFonts w:eastAsia="Arial" w:cs="Vrinda"/>
          <w:lang w:val="es-ES"/>
        </w:rPr>
        <w:t>it</w:t>
      </w:r>
      <w:r w:rsidRPr="0060216C">
        <w:rPr>
          <w:rFonts w:eastAsia="Arial" w:cs="Vrinda"/>
          <w:spacing w:val="1"/>
          <w:lang w:val="es-ES"/>
        </w:rPr>
        <w:t>e</w:t>
      </w:r>
      <w:r w:rsidRPr="0060216C">
        <w:rPr>
          <w:rFonts w:eastAsia="Arial" w:cs="Vrinda"/>
          <w:lang w:val="es-ES"/>
        </w:rPr>
        <w:t xml:space="preserve">s </w:t>
      </w:r>
      <w:r w:rsidRPr="0060216C">
        <w:rPr>
          <w:rFonts w:eastAsia="Arial" w:cs="Vrinda"/>
          <w:spacing w:val="-2"/>
          <w:lang w:val="es-ES"/>
        </w:rPr>
        <w:t>l</w:t>
      </w:r>
      <w:r w:rsidRPr="0060216C">
        <w:rPr>
          <w:rFonts w:eastAsia="Arial" w:cs="Vrinda"/>
          <w:spacing w:val="1"/>
          <w:lang w:val="es-ES"/>
        </w:rPr>
        <w:t>e</w:t>
      </w:r>
      <w:r w:rsidRPr="0060216C">
        <w:rPr>
          <w:rFonts w:eastAsia="Arial" w:cs="Vrinda"/>
          <w:spacing w:val="-1"/>
          <w:lang w:val="es-ES"/>
        </w:rPr>
        <w:t>g</w:t>
      </w:r>
      <w:r w:rsidRPr="0060216C">
        <w:rPr>
          <w:rFonts w:eastAsia="Arial" w:cs="Vrinda"/>
          <w:spacing w:val="1"/>
          <w:lang w:val="es-ES"/>
        </w:rPr>
        <w:t>a</w:t>
      </w:r>
      <w:r w:rsidRPr="0060216C">
        <w:rPr>
          <w:rFonts w:eastAsia="Arial" w:cs="Vrinda"/>
          <w:lang w:val="es-ES"/>
        </w:rPr>
        <w:t>les rela</w:t>
      </w:r>
      <w:r w:rsidRPr="0060216C">
        <w:rPr>
          <w:rFonts w:eastAsia="Arial" w:cs="Vrinda"/>
          <w:spacing w:val="-2"/>
          <w:lang w:val="es-ES"/>
        </w:rPr>
        <w:t>c</w:t>
      </w:r>
      <w:r w:rsidRPr="0060216C">
        <w:rPr>
          <w:rFonts w:eastAsia="Arial" w:cs="Vrinda"/>
          <w:lang w:val="es-ES"/>
        </w:rPr>
        <w:t>io</w:t>
      </w:r>
      <w:r w:rsidRPr="0060216C">
        <w:rPr>
          <w:rFonts w:eastAsia="Arial" w:cs="Vrinda"/>
          <w:spacing w:val="1"/>
          <w:lang w:val="es-ES"/>
        </w:rPr>
        <w:t>na</w:t>
      </w:r>
      <w:r w:rsidRPr="0060216C">
        <w:rPr>
          <w:rFonts w:eastAsia="Arial" w:cs="Vrinda"/>
          <w:spacing w:val="-1"/>
          <w:lang w:val="es-ES"/>
        </w:rPr>
        <w:t>d</w:t>
      </w:r>
      <w:r w:rsidRPr="0060216C">
        <w:rPr>
          <w:rFonts w:eastAsia="Arial" w:cs="Vrinda"/>
          <w:spacing w:val="1"/>
          <w:lang w:val="es-ES"/>
        </w:rPr>
        <w:t>o</w:t>
      </w:r>
      <w:r w:rsidRPr="0060216C">
        <w:rPr>
          <w:rFonts w:eastAsia="Arial" w:cs="Vrinda"/>
          <w:lang w:val="es-ES"/>
        </w:rPr>
        <w:t>s c</w:t>
      </w:r>
      <w:r w:rsidRPr="0060216C">
        <w:rPr>
          <w:rFonts w:eastAsia="Arial" w:cs="Vrinda"/>
          <w:spacing w:val="-1"/>
          <w:lang w:val="es-ES"/>
        </w:rPr>
        <w:t>o</w:t>
      </w:r>
      <w:r w:rsidRPr="0060216C">
        <w:rPr>
          <w:rFonts w:eastAsia="Arial" w:cs="Vrinda"/>
          <w:lang w:val="es-ES"/>
        </w:rPr>
        <w:t>n</w:t>
      </w:r>
      <w:r w:rsidRPr="0060216C">
        <w:rPr>
          <w:rFonts w:eastAsia="Arial" w:cs="Vrinda"/>
          <w:spacing w:val="1"/>
          <w:lang w:val="es-ES"/>
        </w:rPr>
        <w:t xml:space="preserve"> e</w:t>
      </w:r>
      <w:r w:rsidRPr="0060216C">
        <w:rPr>
          <w:rFonts w:eastAsia="Arial" w:cs="Vrinda"/>
          <w:lang w:val="es-ES"/>
        </w:rPr>
        <w:t>l</w:t>
      </w:r>
      <w:r w:rsidRPr="0060216C">
        <w:rPr>
          <w:rFonts w:eastAsia="Arial" w:cs="Vrinda"/>
          <w:spacing w:val="-2"/>
          <w:lang w:val="es-ES"/>
        </w:rPr>
        <w:t xml:space="preserve"> </w:t>
      </w:r>
      <w:r w:rsidRPr="0060216C">
        <w:rPr>
          <w:rFonts w:eastAsia="Arial" w:cs="Vrinda"/>
          <w:spacing w:val="1"/>
          <w:lang w:val="es-ES"/>
        </w:rPr>
        <w:t>p</w:t>
      </w:r>
      <w:r w:rsidRPr="0060216C">
        <w:rPr>
          <w:rFonts w:eastAsia="Arial" w:cs="Vrinda"/>
          <w:lang w:val="es-ES"/>
        </w:rPr>
        <w:t>res</w:t>
      </w:r>
      <w:r w:rsidRPr="0060216C">
        <w:rPr>
          <w:rFonts w:eastAsia="Arial" w:cs="Vrinda"/>
          <w:spacing w:val="1"/>
          <w:lang w:val="es-ES"/>
        </w:rPr>
        <w:t>e</w:t>
      </w:r>
      <w:r w:rsidRPr="0060216C">
        <w:rPr>
          <w:rFonts w:eastAsia="Arial" w:cs="Vrinda"/>
          <w:spacing w:val="-1"/>
          <w:lang w:val="es-ES"/>
        </w:rPr>
        <w:t>n</w:t>
      </w:r>
      <w:r w:rsidRPr="0060216C">
        <w:rPr>
          <w:rFonts w:eastAsia="Arial" w:cs="Vrinda"/>
          <w:spacing w:val="-2"/>
          <w:lang w:val="es-ES"/>
        </w:rPr>
        <w:t>t</w:t>
      </w:r>
      <w:r w:rsidRPr="0060216C">
        <w:rPr>
          <w:rFonts w:eastAsia="Arial" w:cs="Vrinda"/>
          <w:lang w:val="es-ES"/>
        </w:rPr>
        <w:t>e c</w:t>
      </w:r>
      <w:r w:rsidRPr="0060216C">
        <w:rPr>
          <w:rFonts w:eastAsia="Arial" w:cs="Vrinda"/>
          <w:spacing w:val="1"/>
          <w:lang w:val="es-ES"/>
        </w:rPr>
        <w:t>a</w:t>
      </w:r>
      <w:r w:rsidRPr="0060216C">
        <w:rPr>
          <w:rFonts w:eastAsia="Arial" w:cs="Vrinda"/>
          <w:lang w:val="es-ES"/>
        </w:rPr>
        <w:t>s</w:t>
      </w:r>
      <w:r w:rsidRPr="0060216C">
        <w:rPr>
          <w:rFonts w:eastAsia="Arial" w:cs="Vrinda"/>
          <w:spacing w:val="5"/>
          <w:lang w:val="es-ES"/>
        </w:rPr>
        <w:t>o. Asimismo, r</w:t>
      </w:r>
      <w:r w:rsidRPr="0060216C">
        <w:rPr>
          <w:rFonts w:eastAsia="Arial" w:cs="Vrinda"/>
          <w:spacing w:val="1"/>
          <w:lang w:val="es-ES"/>
        </w:rPr>
        <w:t>equirieron a la Corte que determine en equidad el valor a pagar a la Asociación de Salud Integral, quien ha actuado como representante de las víctimas y ha incurrido en gastos de transporte y alimentación de estas últimas.</w:t>
      </w:r>
      <w:r w:rsidRPr="006E121E">
        <w:rPr>
          <w:rFonts w:eastAsia="Arial" w:cs="Vrinda"/>
          <w:spacing w:val="1"/>
          <w:lang w:val="es-ES"/>
        </w:rPr>
        <w:t xml:space="preserve"> </w:t>
      </w:r>
      <w:r w:rsidRPr="0060216C">
        <w:rPr>
          <w:rFonts w:eastAsia="Arial" w:cs="Vrinda"/>
          <w:spacing w:val="1"/>
          <w:lang w:val="es-ES"/>
        </w:rPr>
        <w:t xml:space="preserve">Finalmente, mencionaron que </w:t>
      </w:r>
      <w:r w:rsidRPr="0060216C">
        <w:rPr>
          <w:rFonts w:eastAsia="Arial" w:cs="Vrinda"/>
          <w:lang w:val="es-ES"/>
        </w:rPr>
        <w:t>CEJIL</w:t>
      </w:r>
      <w:r w:rsidRPr="0060216C">
        <w:rPr>
          <w:rFonts w:eastAsia="Arial" w:cs="Vrinda"/>
          <w:spacing w:val="1"/>
          <w:lang w:val="es-ES"/>
        </w:rPr>
        <w:t xml:space="preserve"> h</w:t>
      </w:r>
      <w:r w:rsidRPr="0060216C">
        <w:rPr>
          <w:rFonts w:eastAsia="Arial" w:cs="Vrinda"/>
          <w:lang w:val="es-ES"/>
        </w:rPr>
        <w:t>a</w:t>
      </w:r>
      <w:r w:rsidRPr="0060216C">
        <w:rPr>
          <w:rFonts w:eastAsia="Arial" w:cs="Vrinda"/>
          <w:spacing w:val="6"/>
          <w:lang w:val="es-ES"/>
        </w:rPr>
        <w:t xml:space="preserve"> </w:t>
      </w:r>
      <w:r w:rsidRPr="0060216C">
        <w:rPr>
          <w:rFonts w:eastAsia="Arial" w:cs="Vrinda"/>
          <w:spacing w:val="1"/>
          <w:lang w:val="es-ES"/>
        </w:rPr>
        <w:t>a</w:t>
      </w:r>
      <w:r w:rsidRPr="0060216C">
        <w:rPr>
          <w:rFonts w:eastAsia="Arial" w:cs="Vrinda"/>
          <w:spacing w:val="-2"/>
          <w:lang w:val="es-ES"/>
        </w:rPr>
        <w:t>c</w:t>
      </w:r>
      <w:r w:rsidRPr="0060216C">
        <w:rPr>
          <w:rFonts w:eastAsia="Arial" w:cs="Vrinda"/>
          <w:lang w:val="es-ES"/>
        </w:rPr>
        <w:t>t</w:t>
      </w:r>
      <w:r w:rsidRPr="0060216C">
        <w:rPr>
          <w:rFonts w:eastAsia="Arial" w:cs="Vrinda"/>
          <w:spacing w:val="1"/>
          <w:lang w:val="es-ES"/>
        </w:rPr>
        <w:t>u</w:t>
      </w:r>
      <w:r w:rsidRPr="0060216C">
        <w:rPr>
          <w:rFonts w:eastAsia="Arial" w:cs="Vrinda"/>
          <w:spacing w:val="-1"/>
          <w:lang w:val="es-ES"/>
        </w:rPr>
        <w:t>a</w:t>
      </w:r>
      <w:r w:rsidRPr="0060216C">
        <w:rPr>
          <w:rFonts w:eastAsia="Arial" w:cs="Vrinda"/>
          <w:spacing w:val="1"/>
          <w:lang w:val="es-ES"/>
        </w:rPr>
        <w:t>d</w:t>
      </w:r>
      <w:r w:rsidRPr="0060216C">
        <w:rPr>
          <w:rFonts w:eastAsia="Arial" w:cs="Vrinda"/>
          <w:lang w:val="es-ES"/>
        </w:rPr>
        <w:t>o</w:t>
      </w:r>
      <w:r w:rsidRPr="0060216C">
        <w:rPr>
          <w:rFonts w:eastAsia="Arial" w:cs="Vrinda"/>
          <w:spacing w:val="1"/>
          <w:lang w:val="es-ES"/>
        </w:rPr>
        <w:t xml:space="preserve"> </w:t>
      </w:r>
      <w:r w:rsidRPr="0060216C">
        <w:rPr>
          <w:rFonts w:eastAsia="Arial" w:cs="Vrinda"/>
          <w:lang w:val="es-ES"/>
        </w:rPr>
        <w:t>c</w:t>
      </w:r>
      <w:r w:rsidRPr="0060216C">
        <w:rPr>
          <w:rFonts w:eastAsia="Arial" w:cs="Vrinda"/>
          <w:spacing w:val="1"/>
          <w:lang w:val="es-ES"/>
        </w:rPr>
        <w:t>om</w:t>
      </w:r>
      <w:r w:rsidRPr="0060216C">
        <w:rPr>
          <w:rFonts w:eastAsia="Arial" w:cs="Vrinda"/>
          <w:lang w:val="es-ES"/>
        </w:rPr>
        <w:t>o</w:t>
      </w:r>
      <w:r w:rsidRPr="0060216C">
        <w:rPr>
          <w:rFonts w:eastAsia="Arial" w:cs="Vrinda"/>
          <w:spacing w:val="6"/>
          <w:lang w:val="es-ES"/>
        </w:rPr>
        <w:t xml:space="preserve"> </w:t>
      </w:r>
      <w:r w:rsidRPr="0060216C">
        <w:rPr>
          <w:rFonts w:eastAsia="Arial" w:cs="Vrinda"/>
          <w:lang w:val="es-ES"/>
        </w:rPr>
        <w:t>r</w:t>
      </w:r>
      <w:r w:rsidRPr="0060216C">
        <w:rPr>
          <w:rFonts w:eastAsia="Arial" w:cs="Vrinda"/>
          <w:spacing w:val="-2"/>
          <w:lang w:val="es-ES"/>
        </w:rPr>
        <w:t>e</w:t>
      </w:r>
      <w:r w:rsidRPr="0060216C">
        <w:rPr>
          <w:rFonts w:eastAsia="Arial" w:cs="Vrinda"/>
          <w:spacing w:val="1"/>
          <w:lang w:val="es-ES"/>
        </w:rPr>
        <w:t>p</w:t>
      </w:r>
      <w:r w:rsidRPr="0060216C">
        <w:rPr>
          <w:rFonts w:eastAsia="Arial" w:cs="Vrinda"/>
          <w:lang w:val="es-ES"/>
        </w:rPr>
        <w:t>res</w:t>
      </w:r>
      <w:r w:rsidRPr="0060216C">
        <w:rPr>
          <w:rFonts w:eastAsia="Arial" w:cs="Vrinda"/>
          <w:spacing w:val="-1"/>
          <w:lang w:val="es-ES"/>
        </w:rPr>
        <w:t>e</w:t>
      </w:r>
      <w:r w:rsidRPr="0060216C">
        <w:rPr>
          <w:rFonts w:eastAsia="Arial" w:cs="Vrinda"/>
          <w:spacing w:val="1"/>
          <w:lang w:val="es-ES"/>
        </w:rPr>
        <w:t>n</w:t>
      </w:r>
      <w:r w:rsidRPr="0060216C">
        <w:rPr>
          <w:rFonts w:eastAsia="Arial" w:cs="Vrinda"/>
          <w:lang w:val="es-ES"/>
        </w:rPr>
        <w:t>t</w:t>
      </w:r>
      <w:r w:rsidRPr="0060216C">
        <w:rPr>
          <w:rFonts w:eastAsia="Arial" w:cs="Vrinda"/>
          <w:spacing w:val="-1"/>
          <w:lang w:val="es-ES"/>
        </w:rPr>
        <w:t>a</w:t>
      </w:r>
      <w:r w:rsidRPr="0060216C">
        <w:rPr>
          <w:rFonts w:eastAsia="Arial" w:cs="Vrinda"/>
          <w:spacing w:val="1"/>
          <w:lang w:val="es-ES"/>
        </w:rPr>
        <w:t>n</w:t>
      </w:r>
      <w:r w:rsidRPr="0060216C">
        <w:rPr>
          <w:rFonts w:eastAsia="Arial" w:cs="Vrinda"/>
          <w:lang w:val="es-ES"/>
        </w:rPr>
        <w:t xml:space="preserve">te </w:t>
      </w:r>
      <w:r w:rsidRPr="0060216C">
        <w:rPr>
          <w:rFonts w:eastAsia="Arial" w:cs="Vrinda"/>
          <w:spacing w:val="1"/>
          <w:lang w:val="es-ES"/>
        </w:rPr>
        <w:t>d</w:t>
      </w:r>
      <w:r w:rsidRPr="0060216C">
        <w:rPr>
          <w:rFonts w:eastAsia="Arial" w:cs="Vrinda"/>
          <w:lang w:val="es-ES"/>
        </w:rPr>
        <w:t>e</w:t>
      </w:r>
      <w:r w:rsidRPr="0060216C">
        <w:rPr>
          <w:rFonts w:eastAsia="Arial" w:cs="Vrinda"/>
          <w:spacing w:val="6"/>
          <w:lang w:val="es-ES"/>
        </w:rPr>
        <w:t xml:space="preserve"> </w:t>
      </w:r>
      <w:r w:rsidRPr="0060216C">
        <w:rPr>
          <w:rFonts w:eastAsia="Arial" w:cs="Vrinda"/>
          <w:lang w:val="es-ES"/>
        </w:rPr>
        <w:t>las</w:t>
      </w:r>
      <w:r w:rsidRPr="0060216C">
        <w:rPr>
          <w:rFonts w:eastAsia="Arial" w:cs="Vrinda"/>
          <w:spacing w:val="6"/>
          <w:lang w:val="es-ES"/>
        </w:rPr>
        <w:t xml:space="preserve"> </w:t>
      </w:r>
      <w:r w:rsidRPr="0060216C">
        <w:rPr>
          <w:rFonts w:eastAsia="Arial" w:cs="Vrinda"/>
          <w:spacing w:val="-2"/>
          <w:lang w:val="es-ES"/>
        </w:rPr>
        <w:t>ví</w:t>
      </w:r>
      <w:r w:rsidRPr="0060216C">
        <w:rPr>
          <w:rFonts w:eastAsia="Arial" w:cs="Vrinda"/>
          <w:lang w:val="es-ES"/>
        </w:rPr>
        <w:t>cti</w:t>
      </w:r>
      <w:r w:rsidRPr="0060216C">
        <w:rPr>
          <w:rFonts w:eastAsia="Arial" w:cs="Vrinda"/>
          <w:spacing w:val="1"/>
          <w:lang w:val="es-ES"/>
        </w:rPr>
        <w:t>ma</w:t>
      </w:r>
      <w:r w:rsidRPr="0060216C">
        <w:rPr>
          <w:rFonts w:eastAsia="Arial" w:cs="Vrinda"/>
          <w:lang w:val="es-ES"/>
        </w:rPr>
        <w:t>s</w:t>
      </w:r>
      <w:r w:rsidRPr="0060216C">
        <w:rPr>
          <w:rFonts w:eastAsia="Arial" w:cs="Vrinda"/>
          <w:spacing w:val="4"/>
          <w:lang w:val="es-ES"/>
        </w:rPr>
        <w:t xml:space="preserve"> </w:t>
      </w:r>
      <w:r w:rsidRPr="0060216C">
        <w:rPr>
          <w:rFonts w:eastAsia="Arial" w:cs="Vrinda"/>
          <w:spacing w:val="1"/>
          <w:lang w:val="es-ES"/>
        </w:rPr>
        <w:t>e</w:t>
      </w:r>
      <w:r w:rsidRPr="0060216C">
        <w:rPr>
          <w:rFonts w:eastAsia="Arial" w:cs="Vrinda"/>
          <w:lang w:val="es-ES"/>
        </w:rPr>
        <w:t>n</w:t>
      </w:r>
      <w:r w:rsidRPr="0060216C">
        <w:rPr>
          <w:rFonts w:eastAsia="Arial" w:cs="Vrinda"/>
          <w:spacing w:val="6"/>
          <w:lang w:val="es-ES"/>
        </w:rPr>
        <w:t xml:space="preserve"> </w:t>
      </w:r>
      <w:r w:rsidRPr="0060216C">
        <w:rPr>
          <w:rFonts w:eastAsia="Arial" w:cs="Vrinda"/>
          <w:spacing w:val="1"/>
          <w:lang w:val="es-ES"/>
        </w:rPr>
        <w:t>e</w:t>
      </w:r>
      <w:r w:rsidRPr="0060216C">
        <w:rPr>
          <w:rFonts w:eastAsia="Arial" w:cs="Vrinda"/>
          <w:lang w:val="es-ES"/>
        </w:rPr>
        <w:t>l</w:t>
      </w:r>
      <w:r w:rsidRPr="0060216C">
        <w:rPr>
          <w:rFonts w:eastAsia="Arial" w:cs="Vrinda"/>
          <w:spacing w:val="5"/>
          <w:lang w:val="es-ES"/>
        </w:rPr>
        <w:t xml:space="preserve"> </w:t>
      </w:r>
      <w:r w:rsidRPr="0060216C">
        <w:rPr>
          <w:rFonts w:eastAsia="Arial" w:cs="Vrinda"/>
          <w:spacing w:val="1"/>
          <w:lang w:val="es-ES"/>
        </w:rPr>
        <w:t>p</w:t>
      </w:r>
      <w:r w:rsidRPr="0060216C">
        <w:rPr>
          <w:rFonts w:eastAsia="Arial" w:cs="Vrinda"/>
          <w:lang w:val="es-ES"/>
        </w:rPr>
        <w:t>roc</w:t>
      </w:r>
      <w:r w:rsidRPr="0060216C">
        <w:rPr>
          <w:rFonts w:eastAsia="Arial" w:cs="Vrinda"/>
          <w:spacing w:val="1"/>
          <w:lang w:val="es-ES"/>
        </w:rPr>
        <w:t>e</w:t>
      </w:r>
      <w:r w:rsidRPr="0060216C">
        <w:rPr>
          <w:rFonts w:eastAsia="Arial" w:cs="Vrinda"/>
          <w:spacing w:val="-2"/>
          <w:lang w:val="es-ES"/>
        </w:rPr>
        <w:t>s</w:t>
      </w:r>
      <w:r w:rsidRPr="0060216C">
        <w:rPr>
          <w:rFonts w:eastAsia="Arial" w:cs="Vrinda"/>
          <w:lang w:val="es-ES"/>
        </w:rPr>
        <w:t>o in</w:t>
      </w:r>
      <w:r w:rsidRPr="0060216C">
        <w:rPr>
          <w:rFonts w:eastAsia="Arial" w:cs="Vrinda"/>
          <w:spacing w:val="1"/>
          <w:lang w:val="es-ES"/>
        </w:rPr>
        <w:t>te</w:t>
      </w:r>
      <w:r w:rsidRPr="0060216C">
        <w:rPr>
          <w:rFonts w:eastAsia="Arial" w:cs="Vrinda"/>
          <w:lang w:val="es-ES"/>
        </w:rPr>
        <w:t>rn</w:t>
      </w:r>
      <w:r w:rsidRPr="0060216C">
        <w:rPr>
          <w:rFonts w:eastAsia="Arial" w:cs="Vrinda"/>
          <w:spacing w:val="1"/>
          <w:lang w:val="es-ES"/>
        </w:rPr>
        <w:t>a</w:t>
      </w:r>
      <w:r w:rsidRPr="0060216C">
        <w:rPr>
          <w:rFonts w:eastAsia="Arial" w:cs="Vrinda"/>
          <w:lang w:val="es-ES"/>
        </w:rPr>
        <w:t>ci</w:t>
      </w:r>
      <w:r w:rsidRPr="0060216C">
        <w:rPr>
          <w:rFonts w:eastAsia="Arial" w:cs="Vrinda"/>
          <w:spacing w:val="-2"/>
          <w:lang w:val="es-ES"/>
        </w:rPr>
        <w:t>o</w:t>
      </w:r>
      <w:r w:rsidRPr="0060216C">
        <w:rPr>
          <w:rFonts w:eastAsia="Arial" w:cs="Vrinda"/>
          <w:spacing w:val="1"/>
          <w:lang w:val="es-ES"/>
        </w:rPr>
        <w:t>na</w:t>
      </w:r>
      <w:r w:rsidRPr="0060216C">
        <w:rPr>
          <w:rFonts w:eastAsia="Arial" w:cs="Vrinda"/>
          <w:lang w:val="es-ES"/>
        </w:rPr>
        <w:t>l</w:t>
      </w:r>
      <w:r w:rsidRPr="0060216C">
        <w:rPr>
          <w:rFonts w:eastAsia="Arial" w:cs="Vrinda"/>
          <w:spacing w:val="1"/>
          <w:lang w:val="es-ES"/>
        </w:rPr>
        <w:t xml:space="preserve"> de</w:t>
      </w:r>
      <w:r w:rsidRPr="0060216C">
        <w:rPr>
          <w:rFonts w:eastAsia="Arial" w:cs="Vrinda"/>
          <w:lang w:val="es-ES"/>
        </w:rPr>
        <w:t>s</w:t>
      </w:r>
      <w:r w:rsidRPr="0060216C">
        <w:rPr>
          <w:rFonts w:eastAsia="Arial" w:cs="Vrinda"/>
          <w:spacing w:val="-1"/>
          <w:lang w:val="es-ES"/>
        </w:rPr>
        <w:t>d</w:t>
      </w:r>
      <w:r w:rsidRPr="0060216C">
        <w:rPr>
          <w:rFonts w:eastAsia="Arial" w:cs="Vrinda"/>
          <w:lang w:val="es-ES"/>
        </w:rPr>
        <w:t>e</w:t>
      </w:r>
      <w:r w:rsidRPr="0060216C">
        <w:rPr>
          <w:rFonts w:eastAsia="Arial" w:cs="Vrinda"/>
          <w:spacing w:val="3"/>
          <w:lang w:val="es-ES"/>
        </w:rPr>
        <w:t xml:space="preserve"> </w:t>
      </w:r>
      <w:r w:rsidRPr="0060216C">
        <w:rPr>
          <w:rFonts w:eastAsia="Arial" w:cs="Vrinda"/>
          <w:spacing w:val="1"/>
          <w:lang w:val="es-ES"/>
        </w:rPr>
        <w:t>a</w:t>
      </w:r>
      <w:r w:rsidRPr="0060216C">
        <w:rPr>
          <w:rFonts w:eastAsia="Arial" w:cs="Vrinda"/>
          <w:spacing w:val="-1"/>
          <w:lang w:val="es-ES"/>
        </w:rPr>
        <w:t>g</w:t>
      </w:r>
      <w:r w:rsidRPr="0060216C">
        <w:rPr>
          <w:rFonts w:eastAsia="Arial" w:cs="Vrinda"/>
          <w:spacing w:val="1"/>
          <w:lang w:val="es-ES"/>
        </w:rPr>
        <w:t>o</w:t>
      </w:r>
      <w:r w:rsidRPr="0060216C">
        <w:rPr>
          <w:rFonts w:eastAsia="Arial" w:cs="Vrinda"/>
          <w:lang w:val="es-ES"/>
        </w:rPr>
        <w:t xml:space="preserve">sto </w:t>
      </w:r>
      <w:r w:rsidRPr="0060216C">
        <w:rPr>
          <w:rFonts w:eastAsia="Arial" w:cs="Vrinda"/>
          <w:spacing w:val="1"/>
          <w:lang w:val="es-ES"/>
        </w:rPr>
        <w:t>de</w:t>
      </w:r>
      <w:r w:rsidRPr="0060216C">
        <w:rPr>
          <w:rFonts w:eastAsia="Arial" w:cs="Vrinda"/>
          <w:lang w:val="es-ES"/>
        </w:rPr>
        <w:t>l</w:t>
      </w:r>
      <w:r w:rsidRPr="0060216C">
        <w:rPr>
          <w:rFonts w:eastAsia="Arial" w:cs="Vrinda"/>
          <w:spacing w:val="1"/>
          <w:lang w:val="es-ES"/>
        </w:rPr>
        <w:t xml:space="preserve"> a</w:t>
      </w:r>
      <w:r w:rsidRPr="0060216C">
        <w:rPr>
          <w:rFonts w:eastAsia="Arial" w:cs="Vrinda"/>
          <w:spacing w:val="-1"/>
          <w:lang w:val="es-ES"/>
        </w:rPr>
        <w:t>ñ</w:t>
      </w:r>
      <w:r w:rsidRPr="0060216C">
        <w:rPr>
          <w:rFonts w:eastAsia="Arial" w:cs="Vrinda"/>
          <w:lang w:val="es-ES"/>
        </w:rPr>
        <w:t xml:space="preserve">o </w:t>
      </w:r>
      <w:r w:rsidRPr="0060216C">
        <w:rPr>
          <w:rFonts w:eastAsia="Arial" w:cs="Vrinda"/>
          <w:spacing w:val="1"/>
          <w:lang w:val="es-ES"/>
        </w:rPr>
        <w:t>20</w:t>
      </w:r>
      <w:r w:rsidRPr="0060216C">
        <w:rPr>
          <w:rFonts w:eastAsia="Arial" w:cs="Vrinda"/>
          <w:spacing w:val="-1"/>
          <w:lang w:val="es-ES"/>
        </w:rPr>
        <w:t>0</w:t>
      </w:r>
      <w:r w:rsidRPr="0060216C">
        <w:rPr>
          <w:rFonts w:eastAsia="Arial" w:cs="Vrinda"/>
          <w:spacing w:val="1"/>
          <w:lang w:val="es-ES"/>
        </w:rPr>
        <w:t>2 y e</w:t>
      </w:r>
      <w:r w:rsidRPr="0060216C">
        <w:rPr>
          <w:rFonts w:eastAsia="Arial" w:cs="Vrinda"/>
          <w:lang w:val="es-ES"/>
        </w:rPr>
        <w:t>n</w:t>
      </w:r>
      <w:r w:rsidRPr="0060216C">
        <w:rPr>
          <w:rFonts w:eastAsia="Arial" w:cs="Vrinda"/>
          <w:spacing w:val="1"/>
          <w:lang w:val="es-ES"/>
        </w:rPr>
        <w:t xml:space="preserve"> e</w:t>
      </w:r>
      <w:r w:rsidRPr="0060216C">
        <w:rPr>
          <w:rFonts w:eastAsia="Arial" w:cs="Vrinda"/>
          <w:lang w:val="es-ES"/>
        </w:rPr>
        <w:t xml:space="preserve">l </w:t>
      </w:r>
      <w:r w:rsidRPr="0060216C">
        <w:rPr>
          <w:rFonts w:eastAsia="Arial" w:cs="Vrinda"/>
          <w:spacing w:val="1"/>
          <w:lang w:val="es-ES"/>
        </w:rPr>
        <w:t>e</w:t>
      </w:r>
      <w:r w:rsidRPr="0060216C">
        <w:rPr>
          <w:rFonts w:eastAsia="Arial" w:cs="Vrinda"/>
          <w:lang w:val="es-ES"/>
        </w:rPr>
        <w:t>jerc</w:t>
      </w:r>
      <w:r w:rsidRPr="0060216C">
        <w:rPr>
          <w:rFonts w:eastAsia="Arial" w:cs="Vrinda"/>
          <w:spacing w:val="-1"/>
          <w:lang w:val="es-ES"/>
        </w:rPr>
        <w:t>i</w:t>
      </w:r>
      <w:r w:rsidRPr="0060216C">
        <w:rPr>
          <w:rFonts w:eastAsia="Arial" w:cs="Vrinda"/>
          <w:spacing w:val="-2"/>
          <w:lang w:val="es-ES"/>
        </w:rPr>
        <w:t>c</w:t>
      </w:r>
      <w:r w:rsidRPr="0060216C">
        <w:rPr>
          <w:rFonts w:eastAsia="Arial" w:cs="Vrinda"/>
          <w:lang w:val="es-ES"/>
        </w:rPr>
        <w:t xml:space="preserve">io </w:t>
      </w:r>
      <w:r w:rsidRPr="0060216C">
        <w:rPr>
          <w:rFonts w:eastAsia="Arial" w:cs="Vrinda"/>
          <w:spacing w:val="1"/>
          <w:lang w:val="es-ES"/>
        </w:rPr>
        <w:t>d</w:t>
      </w:r>
      <w:r w:rsidRPr="0060216C">
        <w:rPr>
          <w:rFonts w:eastAsia="Arial" w:cs="Vrinda"/>
          <w:lang w:val="es-ES"/>
        </w:rPr>
        <w:t xml:space="preserve">e </w:t>
      </w:r>
      <w:r w:rsidRPr="0060216C">
        <w:rPr>
          <w:rFonts w:eastAsia="Arial" w:cs="Vrinda"/>
          <w:spacing w:val="1"/>
          <w:lang w:val="es-ES"/>
        </w:rPr>
        <w:t>d</w:t>
      </w:r>
      <w:r w:rsidRPr="0060216C">
        <w:rPr>
          <w:rFonts w:eastAsia="Arial" w:cs="Vrinda"/>
          <w:lang w:val="es-ES"/>
        </w:rPr>
        <w:t>ic</w:t>
      </w:r>
      <w:r w:rsidRPr="0060216C">
        <w:rPr>
          <w:rFonts w:eastAsia="Arial" w:cs="Vrinda"/>
          <w:spacing w:val="-2"/>
          <w:lang w:val="es-ES"/>
        </w:rPr>
        <w:t>h</w:t>
      </w:r>
      <w:r w:rsidRPr="0060216C">
        <w:rPr>
          <w:rFonts w:eastAsia="Arial" w:cs="Vrinda"/>
          <w:lang w:val="es-ES"/>
        </w:rPr>
        <w:t>a re</w:t>
      </w:r>
      <w:r w:rsidRPr="0060216C">
        <w:rPr>
          <w:rFonts w:eastAsia="Arial" w:cs="Vrinda"/>
          <w:spacing w:val="1"/>
          <w:lang w:val="es-ES"/>
        </w:rPr>
        <w:t>p</w:t>
      </w:r>
      <w:r w:rsidRPr="0060216C">
        <w:rPr>
          <w:rFonts w:eastAsia="Arial" w:cs="Vrinda"/>
          <w:lang w:val="es-ES"/>
        </w:rPr>
        <w:t>res</w:t>
      </w:r>
      <w:r w:rsidRPr="0060216C">
        <w:rPr>
          <w:rFonts w:eastAsia="Arial" w:cs="Vrinda"/>
          <w:spacing w:val="1"/>
          <w:lang w:val="es-ES"/>
        </w:rPr>
        <w:t>e</w:t>
      </w:r>
      <w:r w:rsidRPr="0060216C">
        <w:rPr>
          <w:rFonts w:eastAsia="Arial" w:cs="Vrinda"/>
          <w:spacing w:val="-1"/>
          <w:lang w:val="es-ES"/>
        </w:rPr>
        <w:t>n</w:t>
      </w:r>
      <w:r w:rsidRPr="0060216C">
        <w:rPr>
          <w:rFonts w:eastAsia="Arial" w:cs="Vrinda"/>
          <w:lang w:val="es-ES"/>
        </w:rPr>
        <w:t>t</w:t>
      </w:r>
      <w:r w:rsidRPr="0060216C">
        <w:rPr>
          <w:rFonts w:eastAsia="Arial" w:cs="Vrinda"/>
          <w:spacing w:val="1"/>
          <w:lang w:val="es-ES"/>
        </w:rPr>
        <w:t>a</w:t>
      </w:r>
      <w:r w:rsidRPr="0060216C">
        <w:rPr>
          <w:rFonts w:eastAsia="Arial" w:cs="Vrinda"/>
          <w:lang w:val="es-ES"/>
        </w:rPr>
        <w:t>ción</w:t>
      </w:r>
      <w:r w:rsidRPr="0060216C">
        <w:rPr>
          <w:rFonts w:eastAsia="Arial" w:cs="Vrinda"/>
          <w:spacing w:val="-3"/>
          <w:lang w:val="es-ES"/>
        </w:rPr>
        <w:t xml:space="preserve"> </w:t>
      </w:r>
      <w:r w:rsidRPr="0060216C">
        <w:rPr>
          <w:rFonts w:eastAsia="Arial" w:cs="Vrinda"/>
          <w:lang w:val="es-ES"/>
        </w:rPr>
        <w:t>solicitaron que el Estado de Guatem</w:t>
      </w:r>
      <w:r w:rsidR="006E121E">
        <w:rPr>
          <w:rFonts w:eastAsia="Arial" w:cs="Vrinda"/>
          <w:lang w:val="es-ES"/>
        </w:rPr>
        <w:t>ala les reconozca la suma de US</w:t>
      </w:r>
      <w:r w:rsidRPr="0060216C">
        <w:rPr>
          <w:rFonts w:eastAsia="Arial" w:cs="Vrinda"/>
          <w:spacing w:val="6"/>
          <w:lang w:val="es-ES"/>
        </w:rPr>
        <w:t xml:space="preserve"> </w:t>
      </w:r>
      <w:r w:rsidR="006E121E">
        <w:rPr>
          <w:rFonts w:eastAsia="Arial" w:cs="Vrinda"/>
          <w:spacing w:val="6"/>
          <w:lang w:val="es-ES"/>
        </w:rPr>
        <w:t>$</w:t>
      </w:r>
      <w:r w:rsidRPr="0060216C">
        <w:rPr>
          <w:rFonts w:eastAsia="Arial" w:cs="Vrinda"/>
          <w:spacing w:val="-1"/>
          <w:lang w:val="es-ES"/>
        </w:rPr>
        <w:t>2</w:t>
      </w:r>
      <w:r w:rsidRPr="0060216C">
        <w:rPr>
          <w:rFonts w:eastAsia="Arial" w:cs="Vrinda"/>
          <w:spacing w:val="1"/>
          <w:lang w:val="es-ES"/>
        </w:rPr>
        <w:t>7</w:t>
      </w:r>
      <w:r w:rsidR="006E121E">
        <w:rPr>
          <w:rFonts w:eastAsia="Arial" w:cs="Vrinda"/>
          <w:lang w:val="es-ES"/>
        </w:rPr>
        <w:t>,</w:t>
      </w:r>
      <w:r w:rsidRPr="0060216C">
        <w:rPr>
          <w:rFonts w:eastAsia="Arial" w:cs="Vrinda"/>
          <w:spacing w:val="-1"/>
          <w:lang w:val="es-ES"/>
        </w:rPr>
        <w:t>1</w:t>
      </w:r>
      <w:r w:rsidRPr="0060216C">
        <w:rPr>
          <w:rFonts w:eastAsia="Arial" w:cs="Vrinda"/>
          <w:spacing w:val="1"/>
          <w:lang w:val="es-ES"/>
        </w:rPr>
        <w:t>70</w:t>
      </w:r>
      <w:r w:rsidR="006E121E">
        <w:rPr>
          <w:rFonts w:eastAsia="Arial" w:cs="Vrinda"/>
          <w:spacing w:val="-2"/>
          <w:lang w:val="es-ES"/>
        </w:rPr>
        <w:t>.</w:t>
      </w:r>
      <w:r w:rsidRPr="0060216C">
        <w:rPr>
          <w:rFonts w:eastAsia="Arial" w:cs="Vrinda"/>
          <w:spacing w:val="1"/>
          <w:lang w:val="es-ES"/>
        </w:rPr>
        <w:t>0</w:t>
      </w:r>
      <w:r w:rsidRPr="0060216C">
        <w:rPr>
          <w:rFonts w:eastAsia="Arial" w:cs="Vrinda"/>
          <w:lang w:val="es-ES"/>
        </w:rPr>
        <w:t>8, por dichos conceptos y por su salario y gastos notariales. En lo relacionado a los gastos futuros,</w:t>
      </w:r>
      <w:r w:rsidRPr="0060216C">
        <w:rPr>
          <w:rFonts w:eastAsia="Arial" w:cs="Vrinda"/>
          <w:spacing w:val="3"/>
          <w:lang w:val="es-ES"/>
        </w:rPr>
        <w:t xml:space="preserve"> </w:t>
      </w:r>
      <w:r w:rsidRPr="0060216C">
        <w:rPr>
          <w:rFonts w:eastAsia="Arial" w:cs="Vrinda"/>
          <w:spacing w:val="-2"/>
          <w:lang w:val="es-ES"/>
        </w:rPr>
        <w:t>pidieron que</w:t>
      </w:r>
      <w:r w:rsidRPr="0060216C">
        <w:rPr>
          <w:rFonts w:eastAsia="Arial" w:cs="Vrinda"/>
          <w:spacing w:val="3"/>
          <w:lang w:val="es-ES"/>
        </w:rPr>
        <w:t xml:space="preserve"> </w:t>
      </w:r>
      <w:r w:rsidRPr="0060216C">
        <w:rPr>
          <w:rFonts w:eastAsia="Arial" w:cs="Vrinda"/>
          <w:spacing w:val="1"/>
          <w:lang w:val="es-ES"/>
        </w:rPr>
        <w:t>e</w:t>
      </w:r>
      <w:r w:rsidRPr="0060216C">
        <w:rPr>
          <w:rFonts w:eastAsia="Arial" w:cs="Vrinda"/>
          <w:lang w:val="es-ES"/>
        </w:rPr>
        <w:t>n</w:t>
      </w:r>
      <w:r w:rsidRPr="0060216C">
        <w:rPr>
          <w:rFonts w:eastAsia="Arial" w:cs="Vrinda"/>
          <w:spacing w:val="3"/>
          <w:lang w:val="es-ES"/>
        </w:rPr>
        <w:t xml:space="preserve"> </w:t>
      </w:r>
      <w:r w:rsidRPr="0060216C">
        <w:rPr>
          <w:rFonts w:eastAsia="Arial" w:cs="Vrinda"/>
          <w:lang w:val="es-ES"/>
        </w:rPr>
        <w:t>la</w:t>
      </w:r>
      <w:r w:rsidRPr="0060216C">
        <w:rPr>
          <w:rFonts w:eastAsia="Arial" w:cs="Vrinda"/>
          <w:spacing w:val="2"/>
          <w:lang w:val="es-ES"/>
        </w:rPr>
        <w:t xml:space="preserve"> </w:t>
      </w:r>
      <w:r w:rsidRPr="0060216C">
        <w:rPr>
          <w:rFonts w:eastAsia="Arial" w:cs="Vrinda"/>
          <w:lang w:val="es-ES"/>
        </w:rPr>
        <w:t>S</w:t>
      </w:r>
      <w:r w:rsidRPr="0060216C">
        <w:rPr>
          <w:rFonts w:eastAsia="Arial" w:cs="Vrinda"/>
          <w:spacing w:val="1"/>
          <w:lang w:val="es-ES"/>
        </w:rPr>
        <w:t>en</w:t>
      </w:r>
      <w:r w:rsidRPr="0060216C">
        <w:rPr>
          <w:rFonts w:eastAsia="Arial" w:cs="Vrinda"/>
          <w:lang w:val="es-ES"/>
        </w:rPr>
        <w:t>t</w:t>
      </w:r>
      <w:r w:rsidRPr="0060216C">
        <w:rPr>
          <w:rFonts w:eastAsia="Arial" w:cs="Vrinda"/>
          <w:spacing w:val="-1"/>
          <w:lang w:val="es-ES"/>
        </w:rPr>
        <w:t>e</w:t>
      </w:r>
      <w:r w:rsidRPr="0060216C">
        <w:rPr>
          <w:rFonts w:eastAsia="Arial" w:cs="Vrinda"/>
          <w:spacing w:val="1"/>
          <w:lang w:val="es-ES"/>
        </w:rPr>
        <w:t>n</w:t>
      </w:r>
      <w:r w:rsidRPr="0060216C">
        <w:rPr>
          <w:rFonts w:eastAsia="Arial" w:cs="Vrinda"/>
          <w:lang w:val="es-ES"/>
        </w:rPr>
        <w:t>cia se</w:t>
      </w:r>
      <w:r w:rsidRPr="0060216C">
        <w:rPr>
          <w:rFonts w:eastAsia="Arial" w:cs="Vrinda"/>
          <w:spacing w:val="3"/>
          <w:lang w:val="es-ES"/>
        </w:rPr>
        <w:t xml:space="preserve"> </w:t>
      </w:r>
      <w:r w:rsidRPr="0060216C">
        <w:rPr>
          <w:rFonts w:eastAsia="Arial" w:cs="Vrinda"/>
          <w:spacing w:val="1"/>
          <w:lang w:val="es-ES"/>
        </w:rPr>
        <w:t>p</w:t>
      </w:r>
      <w:r w:rsidRPr="0060216C">
        <w:rPr>
          <w:rFonts w:eastAsia="Arial" w:cs="Vrinda"/>
          <w:lang w:val="es-ES"/>
        </w:rPr>
        <w:t>re</w:t>
      </w:r>
      <w:r w:rsidRPr="0060216C">
        <w:rPr>
          <w:rFonts w:eastAsia="Arial" w:cs="Vrinda"/>
          <w:spacing w:val="-2"/>
          <w:lang w:val="es-ES"/>
        </w:rPr>
        <w:t>v</w:t>
      </w:r>
      <w:r w:rsidRPr="0060216C">
        <w:rPr>
          <w:rFonts w:eastAsia="Arial" w:cs="Vrinda"/>
          <w:spacing w:val="1"/>
          <w:lang w:val="es-ES"/>
        </w:rPr>
        <w:t>e</w:t>
      </w:r>
      <w:r w:rsidRPr="0060216C">
        <w:rPr>
          <w:rFonts w:eastAsia="Arial" w:cs="Vrinda"/>
          <w:lang w:val="es-ES"/>
        </w:rPr>
        <w:t xml:space="preserve">a </w:t>
      </w:r>
      <w:r w:rsidRPr="0060216C">
        <w:rPr>
          <w:rFonts w:eastAsia="Arial" w:cs="Vrinda"/>
          <w:spacing w:val="1"/>
          <w:lang w:val="es-ES"/>
        </w:rPr>
        <w:t>u</w:t>
      </w:r>
      <w:r w:rsidRPr="0060216C">
        <w:rPr>
          <w:rFonts w:eastAsia="Arial" w:cs="Vrinda"/>
          <w:lang w:val="es-ES"/>
        </w:rPr>
        <w:t>n</w:t>
      </w:r>
      <w:r w:rsidRPr="0060216C">
        <w:rPr>
          <w:rFonts w:eastAsia="Arial" w:cs="Vrinda"/>
          <w:spacing w:val="4"/>
          <w:lang w:val="es-ES"/>
        </w:rPr>
        <w:t xml:space="preserve"> </w:t>
      </w:r>
      <w:r w:rsidRPr="0060216C">
        <w:rPr>
          <w:rFonts w:eastAsia="Arial" w:cs="Vrinda"/>
          <w:spacing w:val="-1"/>
          <w:lang w:val="es-ES"/>
        </w:rPr>
        <w:t>m</w:t>
      </w:r>
      <w:r w:rsidRPr="0060216C">
        <w:rPr>
          <w:rFonts w:eastAsia="Arial" w:cs="Vrinda"/>
          <w:spacing w:val="1"/>
          <w:lang w:val="es-ES"/>
        </w:rPr>
        <w:t>on</w:t>
      </w:r>
      <w:r w:rsidRPr="0060216C">
        <w:rPr>
          <w:rFonts w:eastAsia="Arial" w:cs="Vrinda"/>
          <w:spacing w:val="-2"/>
          <w:lang w:val="es-ES"/>
        </w:rPr>
        <w:t>t</w:t>
      </w:r>
      <w:r w:rsidRPr="0060216C">
        <w:rPr>
          <w:rFonts w:eastAsia="Arial" w:cs="Vrinda"/>
          <w:lang w:val="es-ES"/>
        </w:rPr>
        <w:t>o</w:t>
      </w:r>
      <w:r w:rsidRPr="0060216C">
        <w:rPr>
          <w:rFonts w:eastAsia="Arial" w:cs="Vrinda"/>
          <w:spacing w:val="4"/>
          <w:lang w:val="es-ES"/>
        </w:rPr>
        <w:t xml:space="preserve"> </w:t>
      </w:r>
      <w:r w:rsidRPr="0060216C">
        <w:rPr>
          <w:rFonts w:eastAsia="Arial" w:cs="Vrinda"/>
          <w:spacing w:val="1"/>
          <w:lang w:val="es-ES"/>
        </w:rPr>
        <w:t>pa</w:t>
      </w:r>
      <w:r w:rsidRPr="0060216C">
        <w:rPr>
          <w:rFonts w:eastAsia="Arial" w:cs="Vrinda"/>
          <w:lang w:val="es-ES"/>
        </w:rPr>
        <w:t>ra</w:t>
      </w:r>
      <w:r w:rsidRPr="0060216C">
        <w:rPr>
          <w:rFonts w:eastAsia="Arial" w:cs="Vrinda"/>
          <w:spacing w:val="4"/>
          <w:lang w:val="es-ES"/>
        </w:rPr>
        <w:t xml:space="preserve"> </w:t>
      </w:r>
      <w:r w:rsidRPr="0060216C">
        <w:rPr>
          <w:rFonts w:eastAsia="Arial" w:cs="Vrinda"/>
          <w:spacing w:val="-1"/>
          <w:lang w:val="es-ES"/>
        </w:rPr>
        <w:t>g</w:t>
      </w:r>
      <w:r w:rsidRPr="0060216C">
        <w:rPr>
          <w:rFonts w:eastAsia="Arial" w:cs="Vrinda"/>
          <w:spacing w:val="1"/>
          <w:lang w:val="es-ES"/>
        </w:rPr>
        <w:t>a</w:t>
      </w:r>
      <w:r w:rsidRPr="0060216C">
        <w:rPr>
          <w:rFonts w:eastAsia="Arial" w:cs="Vrinda"/>
          <w:lang w:val="es-ES"/>
        </w:rPr>
        <w:t>st</w:t>
      </w:r>
      <w:r w:rsidRPr="0060216C">
        <w:rPr>
          <w:rFonts w:eastAsia="Arial" w:cs="Vrinda"/>
          <w:spacing w:val="-1"/>
          <w:lang w:val="es-ES"/>
        </w:rPr>
        <w:t>o</w:t>
      </w:r>
      <w:r w:rsidRPr="0060216C">
        <w:rPr>
          <w:rFonts w:eastAsia="Arial" w:cs="Vrinda"/>
          <w:lang w:val="es-ES"/>
        </w:rPr>
        <w:t xml:space="preserve">s </w:t>
      </w:r>
      <w:r w:rsidRPr="0060216C">
        <w:rPr>
          <w:rFonts w:eastAsia="Arial" w:cs="Vrinda"/>
          <w:spacing w:val="1"/>
          <w:lang w:val="es-ES"/>
        </w:rPr>
        <w:t>d</w:t>
      </w:r>
      <w:r w:rsidRPr="0060216C">
        <w:rPr>
          <w:rFonts w:eastAsia="Arial" w:cs="Vrinda"/>
          <w:lang w:val="es-ES"/>
        </w:rPr>
        <w:t>e</w:t>
      </w:r>
      <w:r w:rsidRPr="0060216C">
        <w:rPr>
          <w:rFonts w:eastAsia="Arial" w:cs="Vrinda"/>
          <w:spacing w:val="4"/>
          <w:lang w:val="es-ES"/>
        </w:rPr>
        <w:t xml:space="preserve"> </w:t>
      </w:r>
      <w:r w:rsidRPr="0060216C">
        <w:rPr>
          <w:rFonts w:eastAsia="Arial" w:cs="Vrinda"/>
          <w:lang w:val="es-ES"/>
        </w:rPr>
        <w:t>la</w:t>
      </w:r>
      <w:r w:rsidRPr="0060216C">
        <w:rPr>
          <w:rFonts w:eastAsia="Arial" w:cs="Vrinda"/>
          <w:spacing w:val="4"/>
          <w:lang w:val="es-ES"/>
        </w:rPr>
        <w:t xml:space="preserve"> </w:t>
      </w:r>
      <w:r w:rsidRPr="0060216C">
        <w:rPr>
          <w:rFonts w:eastAsia="Arial" w:cs="Vrinda"/>
          <w:spacing w:val="1"/>
          <w:lang w:val="es-ES"/>
        </w:rPr>
        <w:t>e</w:t>
      </w:r>
      <w:r w:rsidRPr="0060216C">
        <w:rPr>
          <w:rFonts w:eastAsia="Arial" w:cs="Vrinda"/>
          <w:lang w:val="es-ES"/>
        </w:rPr>
        <w:t>t</w:t>
      </w:r>
      <w:r w:rsidRPr="0060216C">
        <w:rPr>
          <w:rFonts w:eastAsia="Arial" w:cs="Vrinda"/>
          <w:spacing w:val="1"/>
          <w:lang w:val="es-ES"/>
        </w:rPr>
        <w:t>a</w:t>
      </w:r>
      <w:r w:rsidRPr="0060216C">
        <w:rPr>
          <w:rFonts w:eastAsia="Arial" w:cs="Vrinda"/>
          <w:spacing w:val="-1"/>
          <w:lang w:val="es-ES"/>
        </w:rPr>
        <w:t>p</w:t>
      </w:r>
      <w:r w:rsidRPr="0060216C">
        <w:rPr>
          <w:rFonts w:eastAsia="Arial" w:cs="Vrinda"/>
          <w:lang w:val="es-ES"/>
        </w:rPr>
        <w:t>a</w:t>
      </w:r>
      <w:r w:rsidRPr="0060216C">
        <w:rPr>
          <w:rFonts w:eastAsia="Arial" w:cs="Vrinda"/>
          <w:spacing w:val="2"/>
          <w:lang w:val="es-ES"/>
        </w:rPr>
        <w:t xml:space="preserve"> </w:t>
      </w:r>
      <w:r w:rsidRPr="0060216C">
        <w:rPr>
          <w:rFonts w:eastAsia="Arial" w:cs="Vrinda"/>
          <w:spacing w:val="1"/>
          <w:lang w:val="es-ES"/>
        </w:rPr>
        <w:t>d</w:t>
      </w:r>
      <w:r w:rsidRPr="0060216C">
        <w:rPr>
          <w:rFonts w:eastAsia="Arial" w:cs="Vrinda"/>
          <w:lang w:val="es-ES"/>
        </w:rPr>
        <w:t>e</w:t>
      </w:r>
      <w:r w:rsidRPr="0060216C">
        <w:rPr>
          <w:rFonts w:eastAsia="Arial" w:cs="Vrinda"/>
          <w:spacing w:val="4"/>
          <w:lang w:val="es-ES"/>
        </w:rPr>
        <w:t xml:space="preserve"> </w:t>
      </w:r>
      <w:r w:rsidRPr="0060216C">
        <w:rPr>
          <w:rFonts w:eastAsia="Arial" w:cs="Vrinda"/>
          <w:lang w:val="es-ES"/>
        </w:rPr>
        <w:t>s</w:t>
      </w:r>
      <w:r w:rsidRPr="0060216C">
        <w:rPr>
          <w:rFonts w:eastAsia="Arial" w:cs="Vrinda"/>
          <w:spacing w:val="-1"/>
          <w:lang w:val="es-ES"/>
        </w:rPr>
        <w:t>u</w:t>
      </w:r>
      <w:r w:rsidRPr="0060216C">
        <w:rPr>
          <w:rFonts w:eastAsia="Arial" w:cs="Vrinda"/>
          <w:spacing w:val="1"/>
          <w:lang w:val="es-ES"/>
        </w:rPr>
        <w:t>pe</w:t>
      </w:r>
      <w:r w:rsidRPr="0060216C">
        <w:rPr>
          <w:rFonts w:eastAsia="Arial" w:cs="Vrinda"/>
          <w:lang w:val="es-ES"/>
        </w:rPr>
        <w:t>r</w:t>
      </w:r>
      <w:r w:rsidRPr="0060216C">
        <w:rPr>
          <w:rFonts w:eastAsia="Arial" w:cs="Vrinda"/>
          <w:spacing w:val="-3"/>
          <w:lang w:val="es-ES"/>
        </w:rPr>
        <w:t>v</w:t>
      </w:r>
      <w:r w:rsidRPr="0060216C">
        <w:rPr>
          <w:rFonts w:eastAsia="Arial" w:cs="Vrinda"/>
          <w:lang w:val="es-ES"/>
        </w:rPr>
        <w:t>is</w:t>
      </w:r>
      <w:r w:rsidRPr="0060216C">
        <w:rPr>
          <w:rFonts w:eastAsia="Arial" w:cs="Vrinda"/>
          <w:spacing w:val="-1"/>
          <w:lang w:val="es-ES"/>
        </w:rPr>
        <w:t>i</w:t>
      </w:r>
      <w:r w:rsidRPr="0060216C">
        <w:rPr>
          <w:rFonts w:eastAsia="Arial" w:cs="Vrinda"/>
          <w:spacing w:val="1"/>
          <w:lang w:val="es-ES"/>
        </w:rPr>
        <w:t>ó</w:t>
      </w:r>
      <w:r w:rsidRPr="0060216C">
        <w:rPr>
          <w:rFonts w:eastAsia="Arial" w:cs="Vrinda"/>
          <w:lang w:val="es-ES"/>
        </w:rPr>
        <w:t>n</w:t>
      </w:r>
      <w:r w:rsidRPr="0060216C">
        <w:rPr>
          <w:rFonts w:eastAsia="Arial" w:cs="Vrinda"/>
          <w:spacing w:val="4"/>
          <w:lang w:val="es-ES"/>
        </w:rPr>
        <w:t xml:space="preserve"> </w:t>
      </w:r>
      <w:r w:rsidRPr="0060216C">
        <w:rPr>
          <w:rFonts w:eastAsia="Arial" w:cs="Vrinda"/>
          <w:spacing w:val="1"/>
          <w:lang w:val="es-ES"/>
        </w:rPr>
        <w:t>d</w:t>
      </w:r>
      <w:r w:rsidRPr="0060216C">
        <w:rPr>
          <w:rFonts w:eastAsia="Arial" w:cs="Vrinda"/>
          <w:lang w:val="es-ES"/>
        </w:rPr>
        <w:t>e</w:t>
      </w:r>
      <w:r w:rsidRPr="0060216C">
        <w:rPr>
          <w:rFonts w:eastAsia="Arial" w:cs="Vrinda"/>
          <w:spacing w:val="4"/>
          <w:lang w:val="es-ES"/>
        </w:rPr>
        <w:t xml:space="preserve"> </w:t>
      </w:r>
      <w:r w:rsidRPr="0060216C">
        <w:rPr>
          <w:rFonts w:eastAsia="Arial" w:cs="Vrinda"/>
          <w:lang w:val="es-ES"/>
        </w:rPr>
        <w:t>c</w:t>
      </w:r>
      <w:r w:rsidRPr="0060216C">
        <w:rPr>
          <w:rFonts w:eastAsia="Arial" w:cs="Vrinda"/>
          <w:spacing w:val="1"/>
          <w:lang w:val="es-ES"/>
        </w:rPr>
        <w:t>ump</w:t>
      </w:r>
      <w:r w:rsidRPr="0060216C">
        <w:rPr>
          <w:rFonts w:eastAsia="Arial" w:cs="Vrinda"/>
          <w:lang w:val="es-ES"/>
        </w:rPr>
        <w:t>l</w:t>
      </w:r>
      <w:r w:rsidRPr="0060216C">
        <w:rPr>
          <w:rFonts w:eastAsia="Arial" w:cs="Vrinda"/>
          <w:spacing w:val="-3"/>
          <w:lang w:val="es-ES"/>
        </w:rPr>
        <w:t>i</w:t>
      </w:r>
      <w:r w:rsidRPr="0060216C">
        <w:rPr>
          <w:rFonts w:eastAsia="Arial" w:cs="Vrinda"/>
          <w:spacing w:val="1"/>
          <w:lang w:val="es-ES"/>
        </w:rPr>
        <w:t>m</w:t>
      </w:r>
      <w:r w:rsidRPr="0060216C">
        <w:rPr>
          <w:rFonts w:eastAsia="Arial" w:cs="Vrinda"/>
          <w:lang w:val="es-ES"/>
        </w:rPr>
        <w:t>ie</w:t>
      </w:r>
      <w:r w:rsidRPr="0060216C">
        <w:rPr>
          <w:rFonts w:eastAsia="Arial" w:cs="Vrinda"/>
          <w:spacing w:val="1"/>
          <w:lang w:val="es-ES"/>
        </w:rPr>
        <w:t>n</w:t>
      </w:r>
      <w:r w:rsidRPr="0060216C">
        <w:rPr>
          <w:rFonts w:eastAsia="Arial" w:cs="Vrinda"/>
          <w:lang w:val="es-ES"/>
        </w:rPr>
        <w:t>to</w:t>
      </w:r>
      <w:r w:rsidRPr="0060216C">
        <w:rPr>
          <w:rFonts w:eastAsia="Arial" w:cs="Vrinda"/>
          <w:spacing w:val="3"/>
          <w:lang w:val="es-ES"/>
        </w:rPr>
        <w:t>.</w:t>
      </w:r>
    </w:p>
    <w:p w14:paraId="0C56E079" w14:textId="77777777" w:rsidR="0061727E" w:rsidRPr="0060216C" w:rsidRDefault="0061727E" w:rsidP="0061727E">
      <w:pPr>
        <w:tabs>
          <w:tab w:val="left" w:pos="709"/>
          <w:tab w:val="left" w:pos="1134"/>
        </w:tabs>
        <w:ind w:right="-4"/>
        <w:rPr>
          <w:rFonts w:eastAsia="Arial" w:cs="Vrinda"/>
          <w:lang w:val="es-ES"/>
        </w:rPr>
      </w:pPr>
    </w:p>
    <w:p w14:paraId="5A69F65B" w14:textId="685B02D2" w:rsidR="006F704E" w:rsidRPr="0061727E" w:rsidRDefault="006F704E" w:rsidP="0061727E">
      <w:pPr>
        <w:numPr>
          <w:ilvl w:val="0"/>
          <w:numId w:val="3"/>
        </w:numPr>
        <w:tabs>
          <w:tab w:val="left" w:pos="709"/>
          <w:tab w:val="left" w:pos="1134"/>
        </w:tabs>
        <w:ind w:left="0" w:right="-4" w:firstLine="0"/>
        <w:rPr>
          <w:rFonts w:eastAsia="Arial" w:cs="Vrinda"/>
          <w:lang w:val="es-ES"/>
        </w:rPr>
      </w:pPr>
      <w:r w:rsidRPr="0060216C">
        <w:rPr>
          <w:rFonts w:cs="Vrinda"/>
          <w:lang w:val="es-ES"/>
        </w:rPr>
        <w:t xml:space="preserve">El </w:t>
      </w:r>
      <w:r w:rsidRPr="0060216C">
        <w:rPr>
          <w:rFonts w:cs="Vrinda"/>
          <w:b/>
          <w:i/>
          <w:lang w:val="es-ES"/>
        </w:rPr>
        <w:t>Estado</w:t>
      </w:r>
      <w:r w:rsidRPr="0060216C">
        <w:rPr>
          <w:rFonts w:cs="Vrinda"/>
          <w:lang w:val="es-ES"/>
        </w:rPr>
        <w:t xml:space="preserve"> manifestó que </w:t>
      </w:r>
      <w:r w:rsidRPr="0060216C">
        <w:rPr>
          <w:rFonts w:eastAsia="Times New Roman" w:cs="Vrinda"/>
          <w:spacing w:val="2"/>
          <w:lang w:val="es-ES"/>
        </w:rPr>
        <w:t>d</w:t>
      </w:r>
      <w:r w:rsidRPr="0060216C">
        <w:rPr>
          <w:rFonts w:eastAsia="Times New Roman" w:cs="Vrinda"/>
          <w:spacing w:val="-2"/>
          <w:lang w:val="es-ES"/>
        </w:rPr>
        <w:t>e</w:t>
      </w:r>
      <w:r w:rsidRPr="0060216C">
        <w:rPr>
          <w:rFonts w:eastAsia="Times New Roman" w:cs="Vrinda"/>
          <w:spacing w:val="2"/>
          <w:lang w:val="es-ES"/>
        </w:rPr>
        <w:t>b</w:t>
      </w:r>
      <w:r w:rsidRPr="0060216C">
        <w:rPr>
          <w:rFonts w:eastAsia="Times New Roman" w:cs="Vrinda"/>
          <w:spacing w:val="-2"/>
          <w:lang w:val="es-ES"/>
        </w:rPr>
        <w:t>e</w:t>
      </w:r>
      <w:r w:rsidRPr="0060216C">
        <w:rPr>
          <w:rFonts w:eastAsia="Times New Roman" w:cs="Vrinda"/>
          <w:spacing w:val="-1"/>
          <w:lang w:val="es-ES"/>
        </w:rPr>
        <w:t>r</w:t>
      </w:r>
      <w:r w:rsidRPr="0060216C">
        <w:rPr>
          <w:rFonts w:eastAsia="Times New Roman" w:cs="Vrinda"/>
          <w:spacing w:val="-2"/>
          <w:lang w:val="es-ES"/>
        </w:rPr>
        <w:t>á</w:t>
      </w:r>
      <w:r w:rsidRPr="0060216C">
        <w:rPr>
          <w:rFonts w:eastAsia="Times New Roman" w:cs="Vrinda"/>
          <w:lang w:val="es-ES"/>
        </w:rPr>
        <w:t xml:space="preserve">n </w:t>
      </w:r>
      <w:r w:rsidRPr="0060216C">
        <w:rPr>
          <w:rFonts w:eastAsia="Times New Roman" w:cs="Vrinda"/>
          <w:spacing w:val="2"/>
          <w:lang w:val="es-ES"/>
        </w:rPr>
        <w:t>s</w:t>
      </w:r>
      <w:r w:rsidRPr="0060216C">
        <w:rPr>
          <w:rFonts w:eastAsia="Times New Roman" w:cs="Vrinda"/>
          <w:spacing w:val="-2"/>
          <w:lang w:val="es-ES"/>
        </w:rPr>
        <w:t>e</w:t>
      </w:r>
      <w:r w:rsidRPr="0060216C">
        <w:rPr>
          <w:rFonts w:eastAsia="Times New Roman" w:cs="Vrinda"/>
          <w:lang w:val="es-ES"/>
        </w:rPr>
        <w:t>r</w:t>
      </w:r>
      <w:r w:rsidRPr="0060216C">
        <w:rPr>
          <w:rFonts w:eastAsia="Times New Roman" w:cs="Vrinda"/>
          <w:spacing w:val="1"/>
          <w:lang w:val="es-ES"/>
        </w:rPr>
        <w:t xml:space="preserve"> </w:t>
      </w:r>
      <w:r w:rsidRPr="0060216C">
        <w:rPr>
          <w:rFonts w:eastAsia="Times New Roman" w:cs="Vrinda"/>
          <w:spacing w:val="3"/>
          <w:lang w:val="es-ES"/>
        </w:rPr>
        <w:t>r</w:t>
      </w:r>
      <w:r w:rsidRPr="0060216C">
        <w:rPr>
          <w:rFonts w:eastAsia="Times New Roman" w:cs="Vrinda"/>
          <w:spacing w:val="-2"/>
          <w:lang w:val="es-ES"/>
        </w:rPr>
        <w:t>ee</w:t>
      </w:r>
      <w:r w:rsidRPr="0060216C">
        <w:rPr>
          <w:rFonts w:eastAsia="Times New Roman" w:cs="Vrinda"/>
          <w:spacing w:val="1"/>
          <w:lang w:val="es-ES"/>
        </w:rPr>
        <w:t>m</w:t>
      </w:r>
      <w:r w:rsidRPr="0060216C">
        <w:rPr>
          <w:rFonts w:eastAsia="Times New Roman" w:cs="Vrinda"/>
          <w:spacing w:val="2"/>
          <w:lang w:val="es-ES"/>
        </w:rPr>
        <w:t>bo</w:t>
      </w:r>
      <w:r w:rsidRPr="0060216C">
        <w:rPr>
          <w:rFonts w:eastAsia="Times New Roman" w:cs="Vrinda"/>
          <w:spacing w:val="-1"/>
          <w:lang w:val="es-ES"/>
        </w:rPr>
        <w:t>l</w:t>
      </w:r>
      <w:r w:rsidRPr="0060216C">
        <w:rPr>
          <w:rFonts w:eastAsia="Times New Roman" w:cs="Vrinda"/>
          <w:spacing w:val="-2"/>
          <w:lang w:val="es-ES"/>
        </w:rPr>
        <w:t>sa</w:t>
      </w:r>
      <w:r w:rsidRPr="0060216C">
        <w:rPr>
          <w:rFonts w:eastAsia="Times New Roman" w:cs="Vrinda"/>
          <w:spacing w:val="2"/>
          <w:lang w:val="es-ES"/>
        </w:rPr>
        <w:t>b</w:t>
      </w:r>
      <w:r w:rsidRPr="0060216C">
        <w:rPr>
          <w:rFonts w:eastAsia="Times New Roman" w:cs="Vrinda"/>
          <w:spacing w:val="-1"/>
          <w:lang w:val="es-ES"/>
        </w:rPr>
        <w:t>l</w:t>
      </w:r>
      <w:r w:rsidRPr="0060216C">
        <w:rPr>
          <w:rFonts w:eastAsia="Times New Roman" w:cs="Vrinda"/>
          <w:spacing w:val="-2"/>
          <w:lang w:val="es-ES"/>
        </w:rPr>
        <w:t>e</w:t>
      </w:r>
      <w:r w:rsidRPr="0060216C">
        <w:rPr>
          <w:rFonts w:eastAsia="Times New Roman" w:cs="Vrinda"/>
          <w:lang w:val="es-ES"/>
        </w:rPr>
        <w:t xml:space="preserve">s </w:t>
      </w:r>
      <w:r w:rsidRPr="0060216C">
        <w:rPr>
          <w:rFonts w:eastAsia="Times New Roman" w:cs="Vrinda"/>
          <w:spacing w:val="2"/>
          <w:lang w:val="es-ES"/>
        </w:rPr>
        <w:t>ú</w:t>
      </w:r>
      <w:r w:rsidRPr="0060216C">
        <w:rPr>
          <w:rFonts w:eastAsia="Times New Roman" w:cs="Vrinda"/>
          <w:spacing w:val="-2"/>
          <w:lang w:val="es-ES"/>
        </w:rPr>
        <w:t>n</w:t>
      </w:r>
      <w:r w:rsidRPr="0060216C">
        <w:rPr>
          <w:rFonts w:eastAsia="Times New Roman" w:cs="Vrinda"/>
          <w:spacing w:val="3"/>
          <w:lang w:val="es-ES"/>
        </w:rPr>
        <w:t>i</w:t>
      </w:r>
      <w:r w:rsidRPr="0060216C">
        <w:rPr>
          <w:rFonts w:eastAsia="Times New Roman" w:cs="Vrinda"/>
          <w:spacing w:val="-2"/>
          <w:lang w:val="es-ES"/>
        </w:rPr>
        <w:t>ca</w:t>
      </w:r>
      <w:r w:rsidRPr="0060216C">
        <w:rPr>
          <w:rFonts w:eastAsia="Times New Roman" w:cs="Vrinda"/>
          <w:spacing w:val="5"/>
          <w:lang w:val="es-ES"/>
        </w:rPr>
        <w:t>m</w:t>
      </w:r>
      <w:r w:rsidRPr="0060216C">
        <w:rPr>
          <w:rFonts w:eastAsia="Times New Roman" w:cs="Vrinda"/>
          <w:spacing w:val="-2"/>
          <w:lang w:val="es-ES"/>
        </w:rPr>
        <w:t>en</w:t>
      </w:r>
      <w:r w:rsidRPr="0060216C">
        <w:rPr>
          <w:rFonts w:eastAsia="Times New Roman" w:cs="Vrinda"/>
          <w:spacing w:val="3"/>
          <w:lang w:val="es-ES"/>
        </w:rPr>
        <w:t>t</w:t>
      </w:r>
      <w:r w:rsidRPr="0060216C">
        <w:rPr>
          <w:rFonts w:eastAsia="Times New Roman" w:cs="Vrinda"/>
          <w:lang w:val="es-ES"/>
        </w:rPr>
        <w:t xml:space="preserve">e </w:t>
      </w:r>
      <w:r w:rsidRPr="0060216C">
        <w:rPr>
          <w:rFonts w:eastAsia="Times New Roman" w:cs="Vrinda"/>
          <w:spacing w:val="-2"/>
          <w:lang w:val="es-ES"/>
        </w:rPr>
        <w:t>a</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spacing w:val="2"/>
          <w:lang w:val="es-ES"/>
        </w:rPr>
        <w:t>e</w:t>
      </w:r>
      <w:r w:rsidRPr="0060216C">
        <w:rPr>
          <w:rFonts w:eastAsia="Times New Roman" w:cs="Vrinda"/>
          <w:spacing w:val="-1"/>
          <w:lang w:val="es-ES"/>
        </w:rPr>
        <w:t>l</w:t>
      </w:r>
      <w:r w:rsidRPr="0060216C">
        <w:rPr>
          <w:rFonts w:eastAsia="Times New Roman" w:cs="Vrinda"/>
          <w:spacing w:val="3"/>
          <w:lang w:val="es-ES"/>
        </w:rPr>
        <w:t>l</w:t>
      </w:r>
      <w:r w:rsidRPr="0060216C">
        <w:rPr>
          <w:rFonts w:eastAsia="Times New Roman" w:cs="Vrinda"/>
          <w:spacing w:val="-2"/>
          <w:lang w:val="es-ES"/>
        </w:rPr>
        <w:t>o</w:t>
      </w:r>
      <w:r w:rsidRPr="0060216C">
        <w:rPr>
          <w:rFonts w:eastAsia="Times New Roman" w:cs="Vrinda"/>
          <w:lang w:val="es-ES"/>
        </w:rPr>
        <w:t xml:space="preserve">s </w:t>
      </w:r>
      <w:r w:rsidRPr="0060216C">
        <w:rPr>
          <w:rFonts w:eastAsia="Times New Roman" w:cs="Vrinda"/>
          <w:spacing w:val="2"/>
          <w:lang w:val="es-ES"/>
        </w:rPr>
        <w:t>q</w:t>
      </w:r>
      <w:r w:rsidRPr="0060216C">
        <w:rPr>
          <w:rFonts w:eastAsia="Times New Roman" w:cs="Vrinda"/>
          <w:spacing w:val="-2"/>
          <w:lang w:val="es-ES"/>
        </w:rPr>
        <w:t>u</w:t>
      </w:r>
      <w:r w:rsidRPr="0060216C">
        <w:rPr>
          <w:rFonts w:eastAsia="Times New Roman" w:cs="Vrinda"/>
          <w:lang w:val="es-ES"/>
        </w:rPr>
        <w:t xml:space="preserve">e </w:t>
      </w:r>
      <w:r w:rsidRPr="0060216C">
        <w:rPr>
          <w:rFonts w:eastAsia="Times New Roman" w:cs="Vrinda"/>
          <w:spacing w:val="-1"/>
          <w:lang w:val="es-ES"/>
        </w:rPr>
        <w:t>r</w:t>
      </w:r>
      <w:r w:rsidRPr="0060216C">
        <w:rPr>
          <w:rFonts w:eastAsia="Times New Roman" w:cs="Vrinda"/>
          <w:spacing w:val="-2"/>
          <w:lang w:val="es-ES"/>
        </w:rPr>
        <w:t>es</w:t>
      </w:r>
      <w:r w:rsidRPr="0060216C">
        <w:rPr>
          <w:rFonts w:eastAsia="Times New Roman" w:cs="Vrinda"/>
          <w:spacing w:val="2"/>
          <w:lang w:val="es-ES"/>
        </w:rPr>
        <w:t>p</w:t>
      </w:r>
      <w:r w:rsidRPr="0060216C">
        <w:rPr>
          <w:rFonts w:eastAsia="Times New Roman" w:cs="Vrinda"/>
          <w:spacing w:val="-2"/>
          <w:lang w:val="es-ES"/>
        </w:rPr>
        <w:t>a</w:t>
      </w:r>
      <w:r w:rsidRPr="0060216C">
        <w:rPr>
          <w:rFonts w:eastAsia="Times New Roman" w:cs="Vrinda"/>
          <w:spacing w:val="-1"/>
          <w:lang w:val="es-ES"/>
        </w:rPr>
        <w:t>l</w:t>
      </w:r>
      <w:r w:rsidRPr="0060216C">
        <w:rPr>
          <w:rFonts w:eastAsia="Times New Roman" w:cs="Vrinda"/>
          <w:spacing w:val="2"/>
          <w:lang w:val="es-ES"/>
        </w:rPr>
        <w:t>de</w:t>
      </w:r>
      <w:r w:rsidRPr="0060216C">
        <w:rPr>
          <w:rFonts w:eastAsia="Times New Roman" w:cs="Vrinda"/>
          <w:lang w:val="es-ES"/>
        </w:rPr>
        <w:t xml:space="preserve">n </w:t>
      </w:r>
      <w:r w:rsidRPr="0060216C">
        <w:rPr>
          <w:rFonts w:eastAsia="Times New Roman" w:cs="Vrinda"/>
          <w:spacing w:val="-1"/>
          <w:lang w:val="es-ES"/>
        </w:rPr>
        <w:t>l</w:t>
      </w:r>
      <w:r w:rsidRPr="0060216C">
        <w:rPr>
          <w:rFonts w:eastAsia="Times New Roman" w:cs="Vrinda"/>
          <w:lang w:val="es-ES"/>
        </w:rPr>
        <w:t xml:space="preserve">a </w:t>
      </w:r>
      <w:r w:rsidRPr="0060216C">
        <w:rPr>
          <w:rFonts w:eastAsia="Times New Roman" w:cs="Vrinda"/>
          <w:spacing w:val="2"/>
          <w:lang w:val="es-ES"/>
        </w:rPr>
        <w:t>p</w:t>
      </w:r>
      <w:r w:rsidRPr="0060216C">
        <w:rPr>
          <w:rFonts w:eastAsia="Times New Roman" w:cs="Vrinda"/>
          <w:spacing w:val="-1"/>
          <w:lang w:val="es-ES"/>
        </w:rPr>
        <w:t>r</w:t>
      </w:r>
      <w:r w:rsidRPr="0060216C">
        <w:rPr>
          <w:rFonts w:eastAsia="Times New Roman" w:cs="Vrinda"/>
          <w:spacing w:val="-2"/>
          <w:lang w:val="es-ES"/>
        </w:rPr>
        <w:t>e</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spacing w:val="-2"/>
          <w:lang w:val="es-ES"/>
        </w:rPr>
        <w:t>ns</w:t>
      </w:r>
      <w:r w:rsidRPr="0060216C">
        <w:rPr>
          <w:rFonts w:eastAsia="Times New Roman" w:cs="Vrinda"/>
          <w:spacing w:val="-1"/>
          <w:lang w:val="es-ES"/>
        </w:rPr>
        <w:t>i</w:t>
      </w:r>
      <w:r w:rsidRPr="0060216C">
        <w:rPr>
          <w:rFonts w:eastAsia="Times New Roman" w:cs="Vrinda"/>
          <w:spacing w:val="2"/>
          <w:lang w:val="es-ES"/>
        </w:rPr>
        <w:t>ó</w:t>
      </w:r>
      <w:r w:rsidRPr="0060216C">
        <w:rPr>
          <w:rFonts w:eastAsia="Times New Roman" w:cs="Vrinda"/>
          <w:lang w:val="es-ES"/>
        </w:rPr>
        <w:t xml:space="preserve">n </w:t>
      </w:r>
      <w:r w:rsidRPr="0060216C">
        <w:rPr>
          <w:rFonts w:eastAsia="Times New Roman" w:cs="Vrinda"/>
          <w:spacing w:val="2"/>
          <w:lang w:val="es-ES"/>
        </w:rPr>
        <w:t>e</w:t>
      </w:r>
      <w:r w:rsidRPr="0060216C">
        <w:rPr>
          <w:rFonts w:eastAsia="Times New Roman" w:cs="Vrinda"/>
          <w:lang w:val="es-ES"/>
        </w:rPr>
        <w:t xml:space="preserve">n </w:t>
      </w:r>
      <w:r w:rsidRPr="0060216C">
        <w:rPr>
          <w:rFonts w:eastAsia="Times New Roman" w:cs="Vrinda"/>
          <w:spacing w:val="1"/>
          <w:lang w:val="es-ES"/>
        </w:rPr>
        <w:t>m</w:t>
      </w:r>
      <w:r w:rsidRPr="0060216C">
        <w:rPr>
          <w:rFonts w:eastAsia="Times New Roman" w:cs="Vrinda"/>
          <w:spacing w:val="-2"/>
          <w:lang w:val="es-ES"/>
        </w:rPr>
        <w:t>a</w:t>
      </w:r>
      <w:r w:rsidRPr="0060216C">
        <w:rPr>
          <w:rFonts w:eastAsia="Times New Roman" w:cs="Vrinda"/>
          <w:spacing w:val="-1"/>
          <w:lang w:val="es-ES"/>
        </w:rPr>
        <w:t>t</w:t>
      </w:r>
      <w:r w:rsidRPr="0060216C">
        <w:rPr>
          <w:rFonts w:eastAsia="Times New Roman" w:cs="Vrinda"/>
          <w:spacing w:val="-2"/>
          <w:lang w:val="es-ES"/>
        </w:rPr>
        <w:t>e</w:t>
      </w:r>
      <w:r w:rsidRPr="0060216C">
        <w:rPr>
          <w:rFonts w:eastAsia="Times New Roman" w:cs="Vrinda"/>
          <w:spacing w:val="3"/>
          <w:lang w:val="es-ES"/>
        </w:rPr>
        <w:t>r</w:t>
      </w:r>
      <w:r w:rsidRPr="0060216C">
        <w:rPr>
          <w:rFonts w:eastAsia="Times New Roman" w:cs="Vrinda"/>
          <w:spacing w:val="-1"/>
          <w:lang w:val="es-ES"/>
        </w:rPr>
        <w:t>i</w:t>
      </w:r>
      <w:r w:rsidRPr="0060216C">
        <w:rPr>
          <w:rFonts w:eastAsia="Times New Roman" w:cs="Vrinda"/>
          <w:lang w:val="es-ES"/>
        </w:rPr>
        <w:t xml:space="preserve">a </w:t>
      </w:r>
      <w:r w:rsidRPr="0060216C">
        <w:rPr>
          <w:rFonts w:eastAsia="Times New Roman" w:cs="Vrinda"/>
          <w:spacing w:val="2"/>
          <w:lang w:val="es-ES"/>
        </w:rPr>
        <w:t>d</w:t>
      </w:r>
      <w:r w:rsidRPr="0060216C">
        <w:rPr>
          <w:rFonts w:eastAsia="Times New Roman" w:cs="Vrinda"/>
          <w:lang w:val="es-ES"/>
        </w:rPr>
        <w:t xml:space="preserve">e </w:t>
      </w:r>
      <w:r w:rsidRPr="0060216C">
        <w:rPr>
          <w:rFonts w:eastAsia="Times New Roman" w:cs="Vrinda"/>
          <w:spacing w:val="-2"/>
          <w:lang w:val="es-ES"/>
        </w:rPr>
        <w:t>c</w:t>
      </w:r>
      <w:r w:rsidRPr="0060216C">
        <w:rPr>
          <w:rFonts w:eastAsia="Times New Roman" w:cs="Vrinda"/>
          <w:spacing w:val="2"/>
          <w:lang w:val="es-ES"/>
        </w:rPr>
        <w:t>o</w:t>
      </w:r>
      <w:r w:rsidRPr="0060216C">
        <w:rPr>
          <w:rFonts w:eastAsia="Times New Roman" w:cs="Vrinda"/>
          <w:spacing w:val="-2"/>
          <w:lang w:val="es-ES"/>
        </w:rPr>
        <w:t>s</w:t>
      </w:r>
      <w:r w:rsidRPr="0060216C">
        <w:rPr>
          <w:rFonts w:eastAsia="Times New Roman" w:cs="Vrinda"/>
          <w:spacing w:val="-1"/>
          <w:lang w:val="es-ES"/>
        </w:rPr>
        <w:t>t</w:t>
      </w:r>
      <w:r w:rsidRPr="0060216C">
        <w:rPr>
          <w:rFonts w:eastAsia="Times New Roman" w:cs="Vrinda"/>
          <w:spacing w:val="-2"/>
          <w:lang w:val="es-ES"/>
        </w:rPr>
        <w:t>a</w:t>
      </w:r>
      <w:r w:rsidRPr="0060216C">
        <w:rPr>
          <w:rFonts w:eastAsia="Times New Roman" w:cs="Vrinda"/>
          <w:lang w:val="es-ES"/>
        </w:rPr>
        <w:t xml:space="preserve">s y </w:t>
      </w:r>
      <w:r w:rsidRPr="0060216C">
        <w:rPr>
          <w:rFonts w:eastAsia="Times New Roman" w:cs="Vrinda"/>
          <w:spacing w:val="2"/>
          <w:lang w:val="es-ES"/>
        </w:rPr>
        <w:t>g</w:t>
      </w:r>
      <w:r w:rsidRPr="0060216C">
        <w:rPr>
          <w:rFonts w:eastAsia="Times New Roman" w:cs="Vrinda"/>
          <w:spacing w:val="-2"/>
          <w:lang w:val="es-ES"/>
        </w:rPr>
        <w:t>as</w:t>
      </w:r>
      <w:r w:rsidRPr="0060216C">
        <w:rPr>
          <w:rFonts w:eastAsia="Times New Roman" w:cs="Vrinda"/>
          <w:spacing w:val="-1"/>
          <w:lang w:val="es-ES"/>
        </w:rPr>
        <w:t>t</w:t>
      </w:r>
      <w:r w:rsidRPr="0060216C">
        <w:rPr>
          <w:rFonts w:eastAsia="Times New Roman" w:cs="Vrinda"/>
          <w:spacing w:val="2"/>
          <w:lang w:val="es-ES"/>
        </w:rPr>
        <w:t>o</w:t>
      </w:r>
      <w:r w:rsidRPr="0060216C">
        <w:rPr>
          <w:rFonts w:eastAsia="Times New Roman" w:cs="Vrinda"/>
          <w:lang w:val="es-ES"/>
        </w:rPr>
        <w:t>s</w:t>
      </w:r>
      <w:r w:rsidRPr="0060216C">
        <w:rPr>
          <w:rFonts w:eastAsia="Times New Roman" w:cs="Vrinda"/>
          <w:spacing w:val="-21"/>
          <w:lang w:val="es-ES"/>
        </w:rPr>
        <w:t xml:space="preserve"> </w:t>
      </w:r>
      <w:r w:rsidRPr="0060216C">
        <w:rPr>
          <w:rFonts w:eastAsia="Times New Roman" w:cs="Vrinda"/>
          <w:lang w:val="es-ES"/>
        </w:rPr>
        <w:t xml:space="preserve">y </w:t>
      </w:r>
      <w:r w:rsidRPr="0060216C">
        <w:rPr>
          <w:rFonts w:eastAsia="Times New Roman" w:cs="Vrinda"/>
          <w:spacing w:val="-2"/>
          <w:lang w:val="es-ES"/>
        </w:rPr>
        <w:t>cu</w:t>
      </w:r>
      <w:r w:rsidRPr="0060216C">
        <w:rPr>
          <w:rFonts w:eastAsia="Times New Roman" w:cs="Vrinda"/>
          <w:spacing w:val="1"/>
          <w:lang w:val="es-ES"/>
        </w:rPr>
        <w:t>m</w:t>
      </w:r>
      <w:r w:rsidRPr="0060216C">
        <w:rPr>
          <w:rFonts w:eastAsia="Times New Roman" w:cs="Vrinda"/>
          <w:spacing w:val="2"/>
          <w:lang w:val="es-ES"/>
        </w:rPr>
        <w:t>p</w:t>
      </w:r>
      <w:r w:rsidRPr="0060216C">
        <w:rPr>
          <w:rFonts w:eastAsia="Times New Roman" w:cs="Vrinda"/>
          <w:spacing w:val="-1"/>
          <w:lang w:val="es-ES"/>
        </w:rPr>
        <w:t>l</w:t>
      </w:r>
      <w:r w:rsidRPr="0060216C">
        <w:rPr>
          <w:rFonts w:eastAsia="Times New Roman" w:cs="Vrinda"/>
          <w:spacing w:val="-2"/>
          <w:lang w:val="es-ES"/>
        </w:rPr>
        <w:t>a</w:t>
      </w:r>
      <w:r w:rsidRPr="0060216C">
        <w:rPr>
          <w:rFonts w:eastAsia="Times New Roman" w:cs="Vrinda"/>
          <w:lang w:val="es-ES"/>
        </w:rPr>
        <w:t xml:space="preserve">n </w:t>
      </w:r>
      <w:r w:rsidRPr="0060216C">
        <w:rPr>
          <w:rFonts w:eastAsia="Times New Roman" w:cs="Vrinda"/>
          <w:spacing w:val="-2"/>
          <w:lang w:val="es-ES"/>
        </w:rPr>
        <w:t>c</w:t>
      </w:r>
      <w:r w:rsidRPr="0060216C">
        <w:rPr>
          <w:rFonts w:eastAsia="Times New Roman" w:cs="Vrinda"/>
          <w:spacing w:val="2"/>
          <w:lang w:val="es-ES"/>
        </w:rPr>
        <w:t>o</w:t>
      </w:r>
      <w:r w:rsidRPr="0060216C">
        <w:rPr>
          <w:rFonts w:eastAsia="Times New Roman" w:cs="Vrinda"/>
          <w:lang w:val="es-ES"/>
        </w:rPr>
        <w:t xml:space="preserve">n </w:t>
      </w:r>
      <w:r w:rsidRPr="0060216C">
        <w:rPr>
          <w:rFonts w:eastAsia="Times New Roman" w:cs="Vrinda"/>
          <w:spacing w:val="-1"/>
          <w:lang w:val="es-ES"/>
        </w:rPr>
        <w:t>l</w:t>
      </w:r>
      <w:r w:rsidRPr="0060216C">
        <w:rPr>
          <w:rFonts w:eastAsia="Times New Roman" w:cs="Vrinda"/>
          <w:spacing w:val="2"/>
          <w:lang w:val="es-ES"/>
        </w:rPr>
        <w:t>o</w:t>
      </w:r>
      <w:r w:rsidRPr="0060216C">
        <w:rPr>
          <w:rFonts w:eastAsia="Times New Roman" w:cs="Vrinda"/>
          <w:lang w:val="es-ES"/>
        </w:rPr>
        <w:t xml:space="preserve">s </w:t>
      </w:r>
      <w:r w:rsidRPr="0060216C">
        <w:rPr>
          <w:rFonts w:eastAsia="Times New Roman" w:cs="Vrinda"/>
          <w:spacing w:val="-2"/>
          <w:lang w:val="es-ES"/>
        </w:rPr>
        <w:t>c</w:t>
      </w:r>
      <w:r w:rsidRPr="0060216C">
        <w:rPr>
          <w:rFonts w:eastAsia="Times New Roman" w:cs="Vrinda"/>
          <w:spacing w:val="-1"/>
          <w:lang w:val="es-ES"/>
        </w:rPr>
        <w:t>ri</w:t>
      </w:r>
      <w:r w:rsidRPr="0060216C">
        <w:rPr>
          <w:rFonts w:eastAsia="Times New Roman" w:cs="Vrinda"/>
          <w:spacing w:val="3"/>
          <w:lang w:val="es-ES"/>
        </w:rPr>
        <w:t>t</w:t>
      </w:r>
      <w:r w:rsidRPr="0060216C">
        <w:rPr>
          <w:rFonts w:eastAsia="Times New Roman" w:cs="Vrinda"/>
          <w:spacing w:val="-2"/>
          <w:lang w:val="es-ES"/>
        </w:rPr>
        <w:t>e</w:t>
      </w:r>
      <w:r w:rsidRPr="0060216C">
        <w:rPr>
          <w:rFonts w:eastAsia="Times New Roman" w:cs="Vrinda"/>
          <w:spacing w:val="-1"/>
          <w:lang w:val="es-ES"/>
        </w:rPr>
        <w:t>ri</w:t>
      </w:r>
      <w:r w:rsidRPr="0060216C">
        <w:rPr>
          <w:rFonts w:eastAsia="Times New Roman" w:cs="Vrinda"/>
          <w:spacing w:val="6"/>
          <w:lang w:val="es-ES"/>
        </w:rPr>
        <w:t>o</w:t>
      </w:r>
      <w:r w:rsidRPr="0060216C">
        <w:rPr>
          <w:rFonts w:eastAsia="Times New Roman" w:cs="Vrinda"/>
          <w:lang w:val="es-ES"/>
        </w:rPr>
        <w:t xml:space="preserve">s </w:t>
      </w:r>
      <w:r w:rsidRPr="0060216C">
        <w:rPr>
          <w:rFonts w:eastAsia="Times New Roman" w:cs="Vrinda"/>
          <w:spacing w:val="-1"/>
          <w:lang w:val="es-ES"/>
        </w:rPr>
        <w:t>i</w:t>
      </w:r>
      <w:r w:rsidRPr="0060216C">
        <w:rPr>
          <w:rFonts w:eastAsia="Times New Roman" w:cs="Vrinda"/>
          <w:spacing w:val="2"/>
          <w:lang w:val="es-ES"/>
        </w:rPr>
        <w:t>d</w:t>
      </w:r>
      <w:r w:rsidRPr="0060216C">
        <w:rPr>
          <w:rFonts w:eastAsia="Times New Roman" w:cs="Vrinda"/>
          <w:spacing w:val="-2"/>
          <w:lang w:val="es-ES"/>
        </w:rPr>
        <w:t>en</w:t>
      </w:r>
      <w:r w:rsidRPr="0060216C">
        <w:rPr>
          <w:rFonts w:eastAsia="Times New Roman" w:cs="Vrinda"/>
          <w:spacing w:val="-1"/>
          <w:lang w:val="es-ES"/>
        </w:rPr>
        <w:t>ti</w:t>
      </w:r>
      <w:r w:rsidRPr="0060216C">
        <w:rPr>
          <w:rFonts w:eastAsia="Times New Roman" w:cs="Vrinda"/>
          <w:spacing w:val="3"/>
          <w:lang w:val="es-ES"/>
        </w:rPr>
        <w:t>f</w:t>
      </w:r>
      <w:r w:rsidRPr="0060216C">
        <w:rPr>
          <w:rFonts w:eastAsia="Times New Roman" w:cs="Vrinda"/>
          <w:spacing w:val="-1"/>
          <w:lang w:val="es-ES"/>
        </w:rPr>
        <w:t>i</w:t>
      </w:r>
      <w:r w:rsidRPr="0060216C">
        <w:rPr>
          <w:rFonts w:eastAsia="Times New Roman" w:cs="Vrinda"/>
          <w:spacing w:val="2"/>
          <w:lang w:val="es-ES"/>
        </w:rPr>
        <w:t>c</w:t>
      </w:r>
      <w:r w:rsidRPr="0060216C">
        <w:rPr>
          <w:rFonts w:eastAsia="Times New Roman" w:cs="Vrinda"/>
          <w:spacing w:val="-2"/>
          <w:lang w:val="es-ES"/>
        </w:rPr>
        <w:t>a</w:t>
      </w:r>
      <w:r w:rsidRPr="0060216C">
        <w:rPr>
          <w:rFonts w:eastAsia="Times New Roman" w:cs="Vrinda"/>
          <w:spacing w:val="2"/>
          <w:lang w:val="es-ES"/>
        </w:rPr>
        <w:t>do</w:t>
      </w:r>
      <w:r w:rsidRPr="0060216C">
        <w:rPr>
          <w:rFonts w:eastAsia="Times New Roman" w:cs="Vrinda"/>
          <w:lang w:val="es-ES"/>
        </w:rPr>
        <w:t>s por la presente Corte, t</w:t>
      </w:r>
      <w:r w:rsidRPr="0060216C">
        <w:rPr>
          <w:rFonts w:eastAsia="Times New Roman" w:cs="Vrinda"/>
          <w:spacing w:val="1"/>
          <w:lang w:val="es-ES"/>
        </w:rPr>
        <w:t xml:space="preserve">eniendo en cuenta que dichos conceptos sean </w:t>
      </w:r>
      <w:r w:rsidRPr="0060216C">
        <w:rPr>
          <w:rFonts w:eastAsia="Times New Roman" w:cs="Vrinda"/>
          <w:spacing w:val="-2"/>
          <w:lang w:val="es-ES"/>
        </w:rPr>
        <w:t>a</w:t>
      </w:r>
      <w:r w:rsidRPr="0060216C">
        <w:rPr>
          <w:rFonts w:eastAsia="Times New Roman" w:cs="Vrinda"/>
          <w:spacing w:val="2"/>
          <w:lang w:val="es-ES"/>
        </w:rPr>
        <w:t>d</w:t>
      </w:r>
      <w:r w:rsidRPr="0060216C">
        <w:rPr>
          <w:rFonts w:eastAsia="Times New Roman" w:cs="Vrinda"/>
          <w:spacing w:val="-2"/>
          <w:lang w:val="es-ES"/>
        </w:rPr>
        <w:t>ec</w:t>
      </w:r>
      <w:r w:rsidRPr="0060216C">
        <w:rPr>
          <w:rFonts w:eastAsia="Times New Roman" w:cs="Vrinda"/>
          <w:spacing w:val="2"/>
          <w:lang w:val="es-ES"/>
        </w:rPr>
        <w:t>u</w:t>
      </w:r>
      <w:r w:rsidRPr="0060216C">
        <w:rPr>
          <w:rFonts w:eastAsia="Times New Roman" w:cs="Vrinda"/>
          <w:spacing w:val="-2"/>
          <w:lang w:val="es-ES"/>
        </w:rPr>
        <w:t>a</w:t>
      </w:r>
      <w:r w:rsidRPr="0060216C">
        <w:rPr>
          <w:rFonts w:eastAsia="Times New Roman" w:cs="Vrinda"/>
          <w:spacing w:val="2"/>
          <w:lang w:val="es-ES"/>
        </w:rPr>
        <w:t>do</w:t>
      </w:r>
      <w:r w:rsidRPr="0060216C">
        <w:rPr>
          <w:rFonts w:eastAsia="Times New Roman" w:cs="Vrinda"/>
          <w:lang w:val="es-ES"/>
        </w:rPr>
        <w:t>s y</w:t>
      </w:r>
      <w:r w:rsidRPr="0060216C">
        <w:rPr>
          <w:rFonts w:eastAsia="Times New Roman" w:cs="Vrinda"/>
          <w:spacing w:val="-1"/>
          <w:lang w:val="es-ES"/>
        </w:rPr>
        <w:t xml:space="preserve"> </w:t>
      </w:r>
      <w:r w:rsidRPr="0060216C">
        <w:rPr>
          <w:rFonts w:eastAsia="Times New Roman" w:cs="Vrinda"/>
          <w:spacing w:val="3"/>
          <w:lang w:val="es-ES"/>
        </w:rPr>
        <w:t>r</w:t>
      </w:r>
      <w:r w:rsidRPr="0060216C">
        <w:rPr>
          <w:rFonts w:eastAsia="Times New Roman" w:cs="Vrinda"/>
          <w:spacing w:val="-2"/>
          <w:lang w:val="es-ES"/>
        </w:rPr>
        <w:t>az</w:t>
      </w:r>
      <w:r w:rsidRPr="0060216C">
        <w:rPr>
          <w:rFonts w:eastAsia="Times New Roman" w:cs="Vrinda"/>
          <w:spacing w:val="2"/>
          <w:lang w:val="es-ES"/>
        </w:rPr>
        <w:t>o</w:t>
      </w:r>
      <w:r w:rsidRPr="0060216C">
        <w:rPr>
          <w:rFonts w:eastAsia="Times New Roman" w:cs="Vrinda"/>
          <w:spacing w:val="-2"/>
          <w:lang w:val="es-ES"/>
        </w:rPr>
        <w:t>na</w:t>
      </w:r>
      <w:r w:rsidRPr="0060216C">
        <w:rPr>
          <w:rFonts w:eastAsia="Times New Roman" w:cs="Vrinda"/>
          <w:spacing w:val="2"/>
          <w:lang w:val="es-ES"/>
        </w:rPr>
        <w:t>b</w:t>
      </w:r>
      <w:r w:rsidRPr="0060216C">
        <w:rPr>
          <w:rFonts w:eastAsia="Times New Roman" w:cs="Vrinda"/>
          <w:spacing w:val="-1"/>
          <w:lang w:val="es-ES"/>
        </w:rPr>
        <w:t>l</w:t>
      </w:r>
      <w:r w:rsidRPr="0060216C">
        <w:rPr>
          <w:rFonts w:eastAsia="Times New Roman" w:cs="Vrinda"/>
          <w:spacing w:val="2"/>
          <w:lang w:val="es-ES"/>
        </w:rPr>
        <w:t>e</w:t>
      </w:r>
      <w:r w:rsidRPr="0060216C">
        <w:rPr>
          <w:rFonts w:eastAsia="Times New Roman" w:cs="Vrinda"/>
          <w:lang w:val="es-ES"/>
        </w:rPr>
        <w:t xml:space="preserve">s </w:t>
      </w:r>
      <w:r w:rsidRPr="0060216C">
        <w:rPr>
          <w:rFonts w:eastAsia="Times New Roman" w:cs="Vrinda"/>
          <w:spacing w:val="-2"/>
          <w:lang w:val="es-ES"/>
        </w:rPr>
        <w:t>a</w:t>
      </w:r>
      <w:r w:rsidRPr="0060216C">
        <w:rPr>
          <w:rFonts w:eastAsia="Times New Roman" w:cs="Vrinda"/>
          <w:lang w:val="es-ES"/>
        </w:rPr>
        <w:t xml:space="preserve">l </w:t>
      </w:r>
      <w:r w:rsidRPr="0060216C">
        <w:rPr>
          <w:rFonts w:eastAsia="Times New Roman" w:cs="Vrinda"/>
          <w:spacing w:val="2"/>
          <w:lang w:val="es-ES"/>
        </w:rPr>
        <w:t>p</w:t>
      </w:r>
      <w:r w:rsidRPr="0060216C">
        <w:rPr>
          <w:rFonts w:eastAsia="Times New Roman" w:cs="Vrinda"/>
          <w:spacing w:val="-1"/>
          <w:lang w:val="es-ES"/>
        </w:rPr>
        <w:t>r</w:t>
      </w:r>
      <w:r w:rsidRPr="0060216C">
        <w:rPr>
          <w:rFonts w:eastAsia="Times New Roman" w:cs="Vrinda"/>
          <w:spacing w:val="2"/>
          <w:lang w:val="es-ES"/>
        </w:rPr>
        <w:t>o</w:t>
      </w:r>
      <w:r w:rsidRPr="0060216C">
        <w:rPr>
          <w:rFonts w:eastAsia="Times New Roman" w:cs="Vrinda"/>
          <w:spacing w:val="-2"/>
          <w:lang w:val="es-ES"/>
        </w:rPr>
        <w:t>c</w:t>
      </w:r>
      <w:r w:rsidRPr="0060216C">
        <w:rPr>
          <w:rFonts w:eastAsia="Times New Roman" w:cs="Vrinda"/>
          <w:spacing w:val="2"/>
          <w:lang w:val="es-ES"/>
        </w:rPr>
        <w:t>e</w:t>
      </w:r>
      <w:r w:rsidRPr="0060216C">
        <w:rPr>
          <w:rFonts w:eastAsia="Times New Roman" w:cs="Vrinda"/>
          <w:spacing w:val="-2"/>
          <w:lang w:val="es-ES"/>
        </w:rPr>
        <w:t>s</w:t>
      </w:r>
      <w:r w:rsidRPr="0060216C">
        <w:rPr>
          <w:rFonts w:eastAsia="Times New Roman" w:cs="Vrinda"/>
          <w:lang w:val="es-ES"/>
        </w:rPr>
        <w:t>o</w:t>
      </w:r>
      <w:r w:rsidRPr="0060216C">
        <w:rPr>
          <w:rFonts w:eastAsia="Times New Roman" w:cs="Vrinda"/>
          <w:spacing w:val="3"/>
          <w:lang w:val="es-ES"/>
        </w:rPr>
        <w:t xml:space="preserve"> </w:t>
      </w:r>
      <w:r w:rsidRPr="0060216C">
        <w:rPr>
          <w:rFonts w:eastAsia="Times New Roman" w:cs="Vrinda"/>
          <w:spacing w:val="-2"/>
          <w:lang w:val="es-ES"/>
        </w:rPr>
        <w:t>se</w:t>
      </w:r>
      <w:r w:rsidRPr="0060216C">
        <w:rPr>
          <w:rFonts w:eastAsia="Times New Roman" w:cs="Vrinda"/>
          <w:spacing w:val="2"/>
          <w:lang w:val="es-ES"/>
        </w:rPr>
        <w:t>g</w:t>
      </w:r>
      <w:r w:rsidRPr="0060216C">
        <w:rPr>
          <w:rFonts w:eastAsia="Times New Roman" w:cs="Vrinda"/>
          <w:spacing w:val="-2"/>
          <w:lang w:val="es-ES"/>
        </w:rPr>
        <w:t>u</w:t>
      </w:r>
      <w:r w:rsidRPr="0060216C">
        <w:rPr>
          <w:rFonts w:eastAsia="Times New Roman" w:cs="Vrinda"/>
          <w:spacing w:val="-1"/>
          <w:lang w:val="es-ES"/>
        </w:rPr>
        <w:t>i</w:t>
      </w:r>
      <w:r w:rsidRPr="0060216C">
        <w:rPr>
          <w:rFonts w:eastAsia="Times New Roman" w:cs="Vrinda"/>
          <w:spacing w:val="2"/>
          <w:lang w:val="es-ES"/>
        </w:rPr>
        <w:t>do</w:t>
      </w:r>
      <w:r w:rsidRPr="0060216C">
        <w:rPr>
          <w:rFonts w:eastAsia="Times New Roman" w:cs="Vrinda"/>
          <w:lang w:val="es-ES"/>
        </w:rPr>
        <w:t xml:space="preserve">. Sobre los gastos futuros, indicó que los solicitados por los representantes </w:t>
      </w:r>
      <w:r w:rsidRPr="0060216C">
        <w:rPr>
          <w:rFonts w:eastAsia="Times New Roman" w:cs="Vrinda"/>
          <w:spacing w:val="-2"/>
          <w:lang w:val="es-ES"/>
        </w:rPr>
        <w:t>n</w:t>
      </w:r>
      <w:r w:rsidRPr="0060216C">
        <w:rPr>
          <w:rFonts w:eastAsia="Times New Roman" w:cs="Vrinda"/>
          <w:lang w:val="es-ES"/>
        </w:rPr>
        <w:t>o</w:t>
      </w:r>
      <w:r w:rsidRPr="0060216C">
        <w:rPr>
          <w:rFonts w:eastAsia="Times New Roman" w:cs="Vrinda"/>
          <w:spacing w:val="4"/>
          <w:lang w:val="es-ES"/>
        </w:rPr>
        <w:t xml:space="preserve"> </w:t>
      </w:r>
      <w:r w:rsidRPr="0060216C">
        <w:rPr>
          <w:rFonts w:eastAsia="Times New Roman" w:cs="Vrinda"/>
          <w:spacing w:val="-2"/>
          <w:lang w:val="es-ES"/>
        </w:rPr>
        <w:t>s</w:t>
      </w:r>
      <w:r w:rsidRPr="0060216C">
        <w:rPr>
          <w:rFonts w:eastAsia="Times New Roman" w:cs="Vrinda"/>
          <w:spacing w:val="2"/>
          <w:lang w:val="es-ES"/>
        </w:rPr>
        <w:t>o</w:t>
      </w:r>
      <w:r w:rsidRPr="0060216C">
        <w:rPr>
          <w:rFonts w:eastAsia="Times New Roman" w:cs="Vrinda"/>
          <w:lang w:val="es-ES"/>
        </w:rPr>
        <w:t xml:space="preserve">n </w:t>
      </w:r>
      <w:r w:rsidRPr="0060216C">
        <w:rPr>
          <w:rFonts w:eastAsia="Times New Roman" w:cs="Vrinda"/>
          <w:spacing w:val="-1"/>
          <w:lang w:val="es-ES"/>
        </w:rPr>
        <w:t>j</w:t>
      </w:r>
      <w:r w:rsidRPr="0060216C">
        <w:rPr>
          <w:rFonts w:eastAsia="Times New Roman" w:cs="Vrinda"/>
          <w:spacing w:val="-2"/>
          <w:lang w:val="es-ES"/>
        </w:rPr>
        <w:t>us</w:t>
      </w:r>
      <w:r w:rsidRPr="0060216C">
        <w:rPr>
          <w:rFonts w:eastAsia="Times New Roman" w:cs="Vrinda"/>
          <w:spacing w:val="3"/>
          <w:lang w:val="es-ES"/>
        </w:rPr>
        <w:t>t</w:t>
      </w:r>
      <w:r w:rsidRPr="0060216C">
        <w:rPr>
          <w:rFonts w:eastAsia="Times New Roman" w:cs="Vrinda"/>
          <w:spacing w:val="-1"/>
          <w:lang w:val="es-ES"/>
        </w:rPr>
        <w:t>i</w:t>
      </w:r>
      <w:r w:rsidRPr="0060216C">
        <w:rPr>
          <w:rFonts w:eastAsia="Times New Roman" w:cs="Vrinda"/>
          <w:spacing w:val="3"/>
          <w:lang w:val="es-ES"/>
        </w:rPr>
        <w:t>f</w:t>
      </w:r>
      <w:r w:rsidRPr="0060216C">
        <w:rPr>
          <w:rFonts w:eastAsia="Times New Roman" w:cs="Vrinda"/>
          <w:spacing w:val="-1"/>
          <w:lang w:val="es-ES"/>
        </w:rPr>
        <w:t>i</w:t>
      </w:r>
      <w:r w:rsidRPr="0060216C">
        <w:rPr>
          <w:rFonts w:eastAsia="Times New Roman" w:cs="Vrinda"/>
          <w:spacing w:val="-2"/>
          <w:lang w:val="es-ES"/>
        </w:rPr>
        <w:t>ca</w:t>
      </w:r>
      <w:r w:rsidRPr="0060216C">
        <w:rPr>
          <w:rFonts w:eastAsia="Times New Roman" w:cs="Vrinda"/>
          <w:spacing w:val="2"/>
          <w:lang w:val="es-ES"/>
        </w:rPr>
        <w:t>b</w:t>
      </w:r>
      <w:r w:rsidRPr="0060216C">
        <w:rPr>
          <w:rFonts w:eastAsia="Times New Roman" w:cs="Vrinda"/>
          <w:spacing w:val="-1"/>
          <w:lang w:val="es-ES"/>
        </w:rPr>
        <w:t>l</w:t>
      </w:r>
      <w:r w:rsidRPr="0060216C">
        <w:rPr>
          <w:rFonts w:eastAsia="Times New Roman" w:cs="Vrinda"/>
          <w:spacing w:val="2"/>
          <w:lang w:val="es-ES"/>
        </w:rPr>
        <w:t>e</w:t>
      </w:r>
      <w:r w:rsidR="006E121E">
        <w:rPr>
          <w:rFonts w:eastAsia="Times New Roman" w:cs="Vrinda"/>
          <w:spacing w:val="2"/>
          <w:lang w:val="es-ES"/>
        </w:rPr>
        <w:t>s</w:t>
      </w:r>
      <w:r w:rsidRPr="0060216C">
        <w:rPr>
          <w:rFonts w:eastAsia="Times New Roman" w:cs="Vrinda"/>
          <w:lang w:val="es-ES"/>
        </w:rPr>
        <w:t xml:space="preserve"> siendo que para su otorgamiento debe ser medible y sostenible anticipadamente, lo cual a su criterio no ocurre en el presente caso por responder a circunstancias condicionantes y sin fundamento que no se enmarcan en los parámetros de la Corte. Por último, Guatemala sostuvo que los gastos futuros atentan contra la certeza jurídica y deben ser proporcionales a los hechos violentados.</w:t>
      </w:r>
    </w:p>
    <w:p w14:paraId="4D6AA417" w14:textId="77777777" w:rsidR="0061727E" w:rsidRPr="0060216C" w:rsidRDefault="0061727E" w:rsidP="0061727E">
      <w:pPr>
        <w:tabs>
          <w:tab w:val="left" w:pos="709"/>
          <w:tab w:val="left" w:pos="1134"/>
        </w:tabs>
        <w:ind w:right="-4"/>
        <w:rPr>
          <w:rFonts w:eastAsia="Arial" w:cs="Vrinda"/>
          <w:lang w:val="es-ES"/>
        </w:rPr>
      </w:pPr>
    </w:p>
    <w:p w14:paraId="448B89CE" w14:textId="0B579C64" w:rsidR="0061727E" w:rsidRDefault="00E841F7" w:rsidP="0061727E">
      <w:pPr>
        <w:tabs>
          <w:tab w:val="left" w:pos="709"/>
          <w:tab w:val="left" w:pos="1134"/>
        </w:tabs>
        <w:ind w:right="-4"/>
        <w:rPr>
          <w:rFonts w:cs="Vrinda"/>
          <w:b/>
          <w:bCs/>
          <w:i/>
        </w:rPr>
      </w:pPr>
      <w:r>
        <w:rPr>
          <w:rFonts w:cs="Vrinda"/>
          <w:b/>
          <w:bCs/>
          <w:i/>
        </w:rPr>
        <w:tab/>
      </w:r>
      <w:r>
        <w:rPr>
          <w:rFonts w:cs="Vrinda"/>
          <w:b/>
          <w:bCs/>
          <w:i/>
        </w:rPr>
        <w:tab/>
      </w:r>
      <w:r>
        <w:rPr>
          <w:rFonts w:cs="Vrinda"/>
          <w:b/>
          <w:bCs/>
          <w:i/>
        </w:rPr>
        <w:tab/>
      </w:r>
      <w:r w:rsidR="00BA27B4">
        <w:rPr>
          <w:rFonts w:cs="Vrinda"/>
          <w:b/>
          <w:bCs/>
          <w:i/>
        </w:rPr>
        <w:t>C.3</w:t>
      </w:r>
      <w:r w:rsidR="00BA27B4" w:rsidRPr="0060216C">
        <w:rPr>
          <w:rFonts w:cs="Vrinda"/>
          <w:b/>
          <w:bCs/>
          <w:i/>
        </w:rPr>
        <w:t>.</w:t>
      </w:r>
      <w:r w:rsidR="00BA27B4">
        <w:rPr>
          <w:rFonts w:cs="Vrinda"/>
          <w:b/>
          <w:bCs/>
          <w:i/>
        </w:rPr>
        <w:t>2. Consideraciones de la Corte</w:t>
      </w:r>
    </w:p>
    <w:p w14:paraId="365A20F3" w14:textId="77777777" w:rsidR="0061727E" w:rsidRPr="0061727E" w:rsidRDefault="0061727E" w:rsidP="0061727E">
      <w:pPr>
        <w:tabs>
          <w:tab w:val="left" w:pos="709"/>
          <w:tab w:val="left" w:pos="1134"/>
        </w:tabs>
        <w:ind w:right="-4"/>
        <w:rPr>
          <w:rFonts w:cs="Vrinda"/>
          <w:bCs/>
        </w:rPr>
      </w:pPr>
    </w:p>
    <w:p w14:paraId="3716A240" w14:textId="040D2A26" w:rsidR="00CE4689" w:rsidRPr="0061727E" w:rsidRDefault="00CE4689" w:rsidP="0061727E">
      <w:pPr>
        <w:numPr>
          <w:ilvl w:val="0"/>
          <w:numId w:val="3"/>
        </w:numPr>
        <w:tabs>
          <w:tab w:val="left" w:pos="709"/>
          <w:tab w:val="left" w:pos="1134"/>
        </w:tabs>
        <w:ind w:left="0" w:right="-4" w:firstLine="0"/>
        <w:rPr>
          <w:rFonts w:eastAsia="Arial" w:cs="Vrinda"/>
          <w:lang w:val="es-ES"/>
        </w:rPr>
      </w:pPr>
      <w:r w:rsidRPr="0060216C">
        <w:t>La Corte reitera que, conforme a su jurisprudencia</w:t>
      </w:r>
      <w:r w:rsidRPr="0060216C">
        <w:rPr>
          <w:vertAlign w:val="superscript"/>
        </w:rPr>
        <w:footnoteReference w:id="257"/>
      </w:r>
      <w:r w:rsidRPr="0060216C">
        <w:t>, las costas y gastos hacen parte del concepto de reparación, toda vez que la</w:t>
      </w:r>
      <w:r w:rsidR="006E121E">
        <w:t>s</w:t>
      </w:r>
      <w:r w:rsidRPr="0060216C">
        <w:t xml:space="preserve"> actividad</w:t>
      </w:r>
      <w:r w:rsidR="006E121E">
        <w:t>es</w:t>
      </w:r>
      <w:r w:rsidRPr="0060216C">
        <w:t xml:space="preserve"> desplegada</w:t>
      </w:r>
      <w:r w:rsidR="006E121E">
        <w:t>s</w:t>
      </w:r>
      <w:r w:rsidRPr="0060216C">
        <w:t xml:space="preserve"> por las víctimas con el fin de obtener justicia, tanto a nivel nacional como internacional, implica</w:t>
      </w:r>
      <w:r w:rsidR="006E121E">
        <w:t>n</w:t>
      </w:r>
      <w:r w:rsidRPr="0060216C">
        <w:t xml:space="preserve">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w:t>
      </w:r>
      <w:r w:rsidRPr="0060216C">
        <w:lastRenderedPageBreak/>
        <w:t xml:space="preserve">Esta apreciación puede ser realizada con base en el principio de equidad y tomando en cuenta los gastos señalados por las partes, siempre que su </w:t>
      </w:r>
      <w:r w:rsidRPr="0060216C">
        <w:rPr>
          <w:i/>
        </w:rPr>
        <w:t xml:space="preserve">quantum </w:t>
      </w:r>
      <w:r w:rsidRPr="0060216C">
        <w:t>sea razonable</w:t>
      </w:r>
      <w:r w:rsidRPr="0060216C">
        <w:rPr>
          <w:vertAlign w:val="superscript"/>
        </w:rPr>
        <w:footnoteReference w:id="258"/>
      </w:r>
      <w:r w:rsidRPr="0060216C">
        <w:t>.</w:t>
      </w:r>
    </w:p>
    <w:p w14:paraId="5FCA4FC5" w14:textId="77777777" w:rsidR="0061727E" w:rsidRPr="00BA27B4" w:rsidRDefault="0061727E" w:rsidP="0061727E">
      <w:pPr>
        <w:tabs>
          <w:tab w:val="left" w:pos="709"/>
          <w:tab w:val="left" w:pos="1134"/>
        </w:tabs>
        <w:ind w:right="-4"/>
        <w:rPr>
          <w:rFonts w:eastAsia="Arial" w:cs="Vrinda"/>
          <w:lang w:val="es-ES"/>
        </w:rPr>
      </w:pPr>
    </w:p>
    <w:p w14:paraId="39E35519" w14:textId="3B03113A" w:rsidR="00BA27B4" w:rsidRDefault="006F704E" w:rsidP="0061727E">
      <w:pPr>
        <w:numPr>
          <w:ilvl w:val="0"/>
          <w:numId w:val="3"/>
        </w:numPr>
        <w:tabs>
          <w:tab w:val="left" w:pos="709"/>
        </w:tabs>
        <w:ind w:left="0" w:firstLine="0"/>
        <w:rPr>
          <w:rFonts w:cs="Vrinda"/>
          <w:lang w:bidi="en-US"/>
        </w:rPr>
      </w:pPr>
      <w:r w:rsidRPr="0060216C">
        <w:rPr>
          <w:rFonts w:cs="Vrinda"/>
          <w:lang w:bidi="en-US"/>
        </w:rPr>
        <w:t xml:space="preserve">En el presente caso, no consta en el expediente respaldo probatorio suficiente en relación con las costas y gastos en los cuales incurrieron las víctimas o sus representantes. Sin embargo, los representantes han señalado algunos montos calculados con base en ciertos comprobantes y tablas elaboradas por ellos mismos. Teniendo en cuenta lo anterior, y ante la falta de la totalidad de comprobantes oficiales de gastos incurridos por parte de las víctimas o de sus representantes, el Tribunal fija, en equidad, que el Estado debe pagar la cantidad total de US$ </w:t>
      </w:r>
      <w:r w:rsidR="00BD0EDF" w:rsidRPr="001D26A2">
        <w:rPr>
          <w:rFonts w:cs="Vrinda"/>
          <w:lang w:bidi="en-US"/>
        </w:rPr>
        <w:t>3.000</w:t>
      </w:r>
      <w:r w:rsidRPr="001D26A2">
        <w:rPr>
          <w:rFonts w:cs="Vrinda"/>
          <w:lang w:bidi="en-US"/>
        </w:rPr>
        <w:t xml:space="preserve"> (</w:t>
      </w:r>
      <w:r w:rsidR="00BD0EDF" w:rsidRPr="001D26A2">
        <w:rPr>
          <w:rFonts w:cs="Vrinda"/>
          <w:lang w:bidi="en-US"/>
        </w:rPr>
        <w:t>tres mil</w:t>
      </w:r>
      <w:r w:rsidRPr="0060216C">
        <w:rPr>
          <w:rFonts w:cs="Vrinda"/>
          <w:lang w:bidi="en-US"/>
        </w:rPr>
        <w:t xml:space="preserve"> dólares de los Estados Unidos de América) por concepto de costas y gastos en el litigio del presente caso para la representante María Cristina Calderón; US$ </w:t>
      </w:r>
      <w:r w:rsidR="00BD0EDF" w:rsidRPr="001D26A2">
        <w:rPr>
          <w:rFonts w:cs="Vrinda"/>
          <w:lang w:bidi="en-US"/>
        </w:rPr>
        <w:t>10.000</w:t>
      </w:r>
      <w:r w:rsidRPr="001D26A2">
        <w:rPr>
          <w:rFonts w:cs="Vrinda"/>
          <w:lang w:bidi="en-US"/>
        </w:rPr>
        <w:t xml:space="preserve"> (</w:t>
      </w:r>
      <w:r w:rsidR="00BD0EDF" w:rsidRPr="001D26A2">
        <w:rPr>
          <w:rFonts w:cs="Vrinda"/>
          <w:lang w:bidi="en-US"/>
        </w:rPr>
        <w:t>diez mil</w:t>
      </w:r>
      <w:r w:rsidRPr="0060216C">
        <w:rPr>
          <w:rFonts w:cs="Vrinda"/>
          <w:lang w:bidi="en-US"/>
        </w:rPr>
        <w:t xml:space="preserve"> dólares de los Estados Unidos de América) por concepto de costas y gastos en el litigio del presente caso para la Asociación de Salud Integral; y US$ </w:t>
      </w:r>
      <w:r w:rsidR="00BD0EDF" w:rsidRPr="001D26A2">
        <w:rPr>
          <w:rFonts w:cs="Vrinda"/>
          <w:lang w:bidi="en-US"/>
        </w:rPr>
        <w:t>25.000</w:t>
      </w:r>
      <w:r w:rsidRPr="001D26A2">
        <w:rPr>
          <w:rFonts w:cs="Vrinda"/>
          <w:lang w:bidi="en-US"/>
        </w:rPr>
        <w:t xml:space="preserve"> (</w:t>
      </w:r>
      <w:r w:rsidR="00BD0EDF" w:rsidRPr="002F1618">
        <w:rPr>
          <w:rFonts w:cs="Vrinda"/>
          <w:lang w:bidi="en-US"/>
        </w:rPr>
        <w:t>veinticinco</w:t>
      </w:r>
      <w:r w:rsidRPr="002F1618">
        <w:rPr>
          <w:rFonts w:cs="Vrinda"/>
          <w:lang w:bidi="en-US"/>
        </w:rPr>
        <w:t xml:space="preserve"> </w:t>
      </w:r>
      <w:r w:rsidR="002F1618" w:rsidRPr="002F1618">
        <w:rPr>
          <w:rFonts w:cs="Vrinda"/>
          <w:lang w:bidi="en-US"/>
        </w:rPr>
        <w:t xml:space="preserve">mil </w:t>
      </w:r>
      <w:r w:rsidRPr="002F1618">
        <w:rPr>
          <w:rFonts w:cs="Vrinda"/>
          <w:lang w:bidi="en-US"/>
        </w:rPr>
        <w:t>dólares</w:t>
      </w:r>
      <w:r w:rsidRPr="0060216C">
        <w:rPr>
          <w:rFonts w:cs="Vrinda"/>
          <w:lang w:bidi="en-US"/>
        </w:rPr>
        <w:t xml:space="preserve"> de los Estados Unidos de América) por concepto de costas y gastos en el litigio del presente caso para CEJIL. Estos montos deberán ser pagados directamente a cada uno de los representantes de las presuntas víctimas en el presente caso.</w:t>
      </w:r>
      <w:bookmarkStart w:id="133" w:name="_Toc469404544"/>
      <w:bookmarkStart w:id="134" w:name="_Toc472608987"/>
      <w:bookmarkStart w:id="135" w:name="_Toc498427307"/>
      <w:bookmarkStart w:id="136" w:name="_Toc405857940"/>
      <w:bookmarkStart w:id="137" w:name="_Toc486693416"/>
      <w:bookmarkStart w:id="138" w:name="_Toc486842836"/>
      <w:bookmarkStart w:id="139" w:name="_Toc486842970"/>
      <w:bookmarkStart w:id="140" w:name="_Toc508792684"/>
      <w:bookmarkStart w:id="141" w:name="_Toc510690644"/>
    </w:p>
    <w:p w14:paraId="0F78AEC7" w14:textId="77777777" w:rsidR="0061727E" w:rsidRDefault="0061727E" w:rsidP="0061727E">
      <w:pPr>
        <w:tabs>
          <w:tab w:val="left" w:pos="709"/>
        </w:tabs>
        <w:rPr>
          <w:rFonts w:cs="Vrinda"/>
          <w:lang w:bidi="en-US"/>
        </w:rPr>
      </w:pPr>
    </w:p>
    <w:p w14:paraId="28B4245D" w14:textId="40CD80E4" w:rsidR="006F704E" w:rsidRDefault="006F704E" w:rsidP="0061727E">
      <w:pPr>
        <w:pStyle w:val="Ttulo2"/>
        <w:spacing w:before="0" w:after="0"/>
      </w:pPr>
      <w:bookmarkStart w:id="142" w:name="_Toc527466504"/>
      <w:r w:rsidRPr="00BA27B4">
        <w:t>Reintegro de los gastos al Fondo de Asistencia Legal</w:t>
      </w:r>
      <w:bookmarkEnd w:id="133"/>
      <w:bookmarkEnd w:id="134"/>
      <w:bookmarkEnd w:id="135"/>
      <w:bookmarkEnd w:id="142"/>
    </w:p>
    <w:p w14:paraId="7BD6A204" w14:textId="77777777" w:rsidR="0061727E" w:rsidRPr="0061727E" w:rsidRDefault="0061727E" w:rsidP="0061727E">
      <w:pPr>
        <w:rPr>
          <w:lang w:val="es-CR"/>
        </w:rPr>
      </w:pPr>
    </w:p>
    <w:p w14:paraId="21E3BBE9" w14:textId="77777777" w:rsidR="006F704E" w:rsidRDefault="006F704E" w:rsidP="0061727E">
      <w:pPr>
        <w:numPr>
          <w:ilvl w:val="0"/>
          <w:numId w:val="3"/>
        </w:numPr>
        <w:tabs>
          <w:tab w:val="left" w:pos="709"/>
        </w:tabs>
        <w:ind w:left="0" w:firstLine="0"/>
        <w:rPr>
          <w:rFonts w:cs="Vrinda"/>
          <w:lang w:bidi="en-US"/>
        </w:rPr>
      </w:pPr>
      <w:r w:rsidRPr="0060216C">
        <w:rPr>
          <w:rFonts w:cs="Vrinda"/>
          <w:lang w:bidi="en-US"/>
        </w:rPr>
        <w:t>En el presente caso, mediante Resolución de 24 de julio de 2017, el Presidente de la Corte otorgó, con cargo al Fondo de Asistencia Legal de Víctimas de la Corte, el apoyo económico necesario para la presentación de cinco declaraciones, ya sea en audiencia o por afidávit.</w:t>
      </w:r>
    </w:p>
    <w:p w14:paraId="49991F03" w14:textId="77777777" w:rsidR="0061727E" w:rsidRPr="0060216C" w:rsidRDefault="0061727E" w:rsidP="0061727E">
      <w:pPr>
        <w:tabs>
          <w:tab w:val="left" w:pos="709"/>
        </w:tabs>
        <w:rPr>
          <w:rFonts w:cs="Vrinda"/>
          <w:lang w:bidi="en-US"/>
        </w:rPr>
      </w:pPr>
    </w:p>
    <w:p w14:paraId="4E2C5D5F" w14:textId="335C9163" w:rsidR="00BA27B4" w:rsidRDefault="006F704E" w:rsidP="0061727E">
      <w:pPr>
        <w:numPr>
          <w:ilvl w:val="0"/>
          <w:numId w:val="3"/>
        </w:numPr>
        <w:tabs>
          <w:tab w:val="left" w:pos="709"/>
        </w:tabs>
        <w:ind w:left="0" w:firstLine="0"/>
        <w:rPr>
          <w:rFonts w:cs="Vrinda"/>
          <w:lang w:bidi="en-US"/>
        </w:rPr>
      </w:pPr>
      <w:r w:rsidRPr="0060216C">
        <w:rPr>
          <w:rFonts w:cs="Vrinda"/>
          <w:lang w:bidi="en-US"/>
        </w:rPr>
        <w:t xml:space="preserve">En razón de las violaciones declaradas en la presente Sentencia y del cumplimiento de los requisitos para acogerse al Fondo de Asistencia de la Corte, este Tribunal ordena al Estado reintegrar a dicho Fondo la cantidad de US$ </w:t>
      </w:r>
      <w:r w:rsidR="005662A8">
        <w:rPr>
          <w:rFonts w:cs="Vrinda"/>
          <w:lang w:bidi="en-US"/>
        </w:rPr>
        <w:t>2.176,36</w:t>
      </w:r>
      <w:r w:rsidRPr="0060216C">
        <w:rPr>
          <w:rFonts w:cs="Vrinda"/>
          <w:lang w:bidi="en-US"/>
        </w:rPr>
        <w:t xml:space="preserve"> (</w:t>
      </w:r>
      <w:r w:rsidR="005662A8">
        <w:rPr>
          <w:rFonts w:cs="Vrinda"/>
          <w:lang w:bidi="en-US"/>
        </w:rPr>
        <w:t>dos mil ciento setenta y seis dólares</w:t>
      </w:r>
      <w:r w:rsidRPr="0060216C">
        <w:rPr>
          <w:rFonts w:cs="Vrinda"/>
          <w:lang w:bidi="en-US"/>
        </w:rPr>
        <w:t xml:space="preserve"> de los Estados Unidos de América</w:t>
      </w:r>
      <w:r w:rsidR="005662A8">
        <w:rPr>
          <w:rFonts w:cs="Vrinda"/>
          <w:lang w:bidi="en-US"/>
        </w:rPr>
        <w:t xml:space="preserve"> con treinta y seis centavos</w:t>
      </w:r>
      <w:r w:rsidRPr="0060216C">
        <w:rPr>
          <w:rFonts w:cs="Vrinda"/>
          <w:lang w:bidi="en-US"/>
        </w:rPr>
        <w:t>) por los gastos incurridos. Este monto deberá ser reintegrado en el plazo de seis meses, contados a partir de la notificac</w:t>
      </w:r>
      <w:r w:rsidR="0061727E">
        <w:rPr>
          <w:rFonts w:cs="Vrinda"/>
          <w:lang w:bidi="en-US"/>
        </w:rPr>
        <w:t>ión de la presente Sentencia.</w:t>
      </w:r>
    </w:p>
    <w:p w14:paraId="1224DF94" w14:textId="77777777" w:rsidR="0061727E" w:rsidRDefault="0061727E" w:rsidP="0061727E">
      <w:pPr>
        <w:tabs>
          <w:tab w:val="left" w:pos="709"/>
        </w:tabs>
        <w:rPr>
          <w:rFonts w:cs="Vrinda"/>
          <w:lang w:bidi="en-US"/>
        </w:rPr>
      </w:pPr>
    </w:p>
    <w:p w14:paraId="6670DD36" w14:textId="3DD4A474" w:rsidR="0061727E" w:rsidRDefault="006F704E" w:rsidP="0061727E">
      <w:pPr>
        <w:pStyle w:val="Ttulo2"/>
        <w:spacing w:before="0" w:after="0"/>
      </w:pPr>
      <w:bookmarkStart w:id="143" w:name="_Toc527466505"/>
      <w:r w:rsidRPr="00BA27B4">
        <w:t>Modalidad de cumplimiento de los pagos ordenados</w:t>
      </w:r>
      <w:bookmarkEnd w:id="136"/>
      <w:bookmarkEnd w:id="137"/>
      <w:bookmarkEnd w:id="138"/>
      <w:bookmarkEnd w:id="139"/>
      <w:bookmarkEnd w:id="140"/>
      <w:bookmarkEnd w:id="141"/>
      <w:bookmarkEnd w:id="143"/>
    </w:p>
    <w:p w14:paraId="3152A020" w14:textId="77777777" w:rsidR="0061727E" w:rsidRPr="0061727E" w:rsidRDefault="0061727E" w:rsidP="0061727E">
      <w:pPr>
        <w:rPr>
          <w:lang w:val="es-CR"/>
        </w:rPr>
      </w:pPr>
    </w:p>
    <w:p w14:paraId="56CD0A46" w14:textId="77777777" w:rsidR="006F704E" w:rsidRPr="0061727E" w:rsidRDefault="006F704E" w:rsidP="0061727E">
      <w:pPr>
        <w:numPr>
          <w:ilvl w:val="0"/>
          <w:numId w:val="3"/>
        </w:numPr>
        <w:tabs>
          <w:tab w:val="left" w:pos="709"/>
        </w:tabs>
        <w:ind w:left="0" w:firstLine="0"/>
        <w:rPr>
          <w:rFonts w:cs="Vrinda"/>
          <w:lang w:bidi="en-US"/>
        </w:rPr>
      </w:pPr>
      <w:bookmarkStart w:id="144" w:name="_Ref512872975"/>
      <w:r w:rsidRPr="0060216C">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 presente Sentencia</w:t>
      </w:r>
      <w:bookmarkStart w:id="145" w:name="_Ref469601153"/>
      <w:bookmarkEnd w:id="144"/>
      <w:r w:rsidRPr="0060216C">
        <w:t>.</w:t>
      </w:r>
    </w:p>
    <w:p w14:paraId="6872BCD0" w14:textId="77777777" w:rsidR="0061727E" w:rsidRPr="0060216C" w:rsidRDefault="0061727E" w:rsidP="0061727E">
      <w:pPr>
        <w:tabs>
          <w:tab w:val="left" w:pos="709"/>
        </w:tabs>
        <w:rPr>
          <w:rFonts w:cs="Vrinda"/>
          <w:lang w:bidi="en-US"/>
        </w:rPr>
      </w:pPr>
    </w:p>
    <w:p w14:paraId="1310063C" w14:textId="7F838074" w:rsidR="006F704E" w:rsidRPr="0061727E" w:rsidRDefault="006F704E" w:rsidP="0061727E">
      <w:pPr>
        <w:numPr>
          <w:ilvl w:val="0"/>
          <w:numId w:val="3"/>
        </w:numPr>
        <w:tabs>
          <w:tab w:val="left" w:pos="709"/>
        </w:tabs>
        <w:ind w:left="0" w:firstLine="0"/>
        <w:rPr>
          <w:rFonts w:cs="Vrinda"/>
          <w:lang w:bidi="en-US"/>
        </w:rPr>
      </w:pPr>
      <w:r w:rsidRPr="0060216C">
        <w:t>En caso de que los beneficiarios hayan fallecido o fallezcan antes de que les sea entregada la cantidad respectiva, esta se entregará directamente a sus derechohabientes, conforme al derecho interno aplicable.</w:t>
      </w:r>
      <w:bookmarkEnd w:id="145"/>
    </w:p>
    <w:p w14:paraId="34EE807E" w14:textId="77777777" w:rsidR="0061727E" w:rsidRPr="0060216C" w:rsidRDefault="0061727E" w:rsidP="0061727E">
      <w:pPr>
        <w:tabs>
          <w:tab w:val="left" w:pos="709"/>
        </w:tabs>
        <w:rPr>
          <w:rFonts w:cs="Vrinda"/>
          <w:lang w:bidi="en-US"/>
        </w:rPr>
      </w:pPr>
    </w:p>
    <w:p w14:paraId="68CBE75D" w14:textId="77777777" w:rsidR="006F704E" w:rsidRPr="0061727E" w:rsidRDefault="006F704E" w:rsidP="0061727E">
      <w:pPr>
        <w:numPr>
          <w:ilvl w:val="0"/>
          <w:numId w:val="3"/>
        </w:numPr>
        <w:tabs>
          <w:tab w:val="left" w:pos="709"/>
        </w:tabs>
        <w:ind w:left="0" w:firstLine="0"/>
        <w:rPr>
          <w:rFonts w:cs="Vrinda"/>
          <w:lang w:bidi="en-US"/>
        </w:rPr>
      </w:pPr>
      <w:r w:rsidRPr="0060216C">
        <w:t>El Estado deberá cumplir con las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w:t>
      </w:r>
    </w:p>
    <w:p w14:paraId="636B67F2" w14:textId="77777777" w:rsidR="0061727E" w:rsidRPr="0060216C" w:rsidRDefault="0061727E" w:rsidP="0061727E">
      <w:pPr>
        <w:tabs>
          <w:tab w:val="left" w:pos="709"/>
        </w:tabs>
        <w:rPr>
          <w:rFonts w:cs="Vrinda"/>
          <w:lang w:bidi="en-US"/>
        </w:rPr>
      </w:pPr>
    </w:p>
    <w:p w14:paraId="7177C422" w14:textId="77777777" w:rsidR="006F704E" w:rsidRPr="0061727E" w:rsidRDefault="006F704E" w:rsidP="0061727E">
      <w:pPr>
        <w:numPr>
          <w:ilvl w:val="0"/>
          <w:numId w:val="3"/>
        </w:numPr>
        <w:tabs>
          <w:tab w:val="left" w:pos="709"/>
        </w:tabs>
        <w:ind w:left="0" w:firstLine="0"/>
        <w:rPr>
          <w:rFonts w:cs="Vrinda"/>
          <w:lang w:bidi="en-US"/>
        </w:rPr>
      </w:pPr>
      <w:r w:rsidRPr="0060216C">
        <w:t xml:space="preserve">Si por causas atribuibles a los beneficiarios de las indemnizaciones o a sus derechohabientes no fuese posible el pago de las cantidades determinadas dentro del plazo </w:t>
      </w:r>
      <w:r w:rsidRPr="0060216C">
        <w:lastRenderedPageBreak/>
        <w:t>indicado, el Estado consignará dichos montos a su favor en una cuenta o certificado de depósito en una institución financiera guatemalteca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47AE9666" w14:textId="77777777" w:rsidR="0061727E" w:rsidRPr="0060216C" w:rsidRDefault="0061727E" w:rsidP="0061727E">
      <w:pPr>
        <w:tabs>
          <w:tab w:val="left" w:pos="709"/>
        </w:tabs>
        <w:rPr>
          <w:rFonts w:cs="Vrinda"/>
          <w:lang w:bidi="en-US"/>
        </w:rPr>
      </w:pPr>
    </w:p>
    <w:p w14:paraId="1AAC3507" w14:textId="77777777" w:rsidR="006F704E" w:rsidRPr="0061727E" w:rsidRDefault="006F704E" w:rsidP="0061727E">
      <w:pPr>
        <w:numPr>
          <w:ilvl w:val="0"/>
          <w:numId w:val="3"/>
        </w:numPr>
        <w:tabs>
          <w:tab w:val="left" w:pos="709"/>
        </w:tabs>
        <w:ind w:left="0" w:firstLine="0"/>
        <w:rPr>
          <w:rFonts w:cs="Vrinda"/>
          <w:lang w:bidi="en-US"/>
        </w:rPr>
      </w:pPr>
      <w:r w:rsidRPr="0060216C">
        <w:t>Las cantidades asignadas en la presente Sentencia como indemnización por daños materiales e inmateriales, y como reintegro de costas y gastos, deberán ser entregadas a las personas indicadas en forma íntegra, conforme a lo establecido en esta Sentencia, sin reducciones derivadas de eventuales cargas fiscales.</w:t>
      </w:r>
      <w:bookmarkStart w:id="146" w:name="_Ref469940442"/>
    </w:p>
    <w:p w14:paraId="6004B146" w14:textId="77777777" w:rsidR="0061727E" w:rsidRPr="0060216C" w:rsidRDefault="0061727E" w:rsidP="0061727E">
      <w:pPr>
        <w:tabs>
          <w:tab w:val="left" w:pos="709"/>
        </w:tabs>
        <w:rPr>
          <w:rFonts w:cs="Vrinda"/>
          <w:lang w:bidi="en-US"/>
        </w:rPr>
      </w:pPr>
    </w:p>
    <w:p w14:paraId="1D387C92" w14:textId="74C5B715" w:rsidR="00C571EC" w:rsidRDefault="006F704E" w:rsidP="0061727E">
      <w:pPr>
        <w:numPr>
          <w:ilvl w:val="0"/>
          <w:numId w:val="3"/>
        </w:numPr>
        <w:tabs>
          <w:tab w:val="left" w:pos="709"/>
        </w:tabs>
        <w:ind w:left="0" w:firstLine="0"/>
      </w:pPr>
      <w:r w:rsidRPr="0060216C">
        <w:t>En caso de que el Estado incurriera en mora, incluyendo en el reintegro de los gastos al Fondo de Asistencia Legal de Víctimas, deberá pagar un interés sobre la cantidad adeudada correspondiente al interés bancario moratorio en la República de Guatemala.</w:t>
      </w:r>
      <w:bookmarkEnd w:id="64"/>
      <w:bookmarkEnd w:id="65"/>
      <w:bookmarkEnd w:id="146"/>
    </w:p>
    <w:p w14:paraId="6F14E885" w14:textId="13CDA6D4" w:rsidR="0060553A" w:rsidRDefault="0060553A" w:rsidP="0060553A">
      <w:pPr>
        <w:tabs>
          <w:tab w:val="left" w:pos="709"/>
        </w:tabs>
        <w:spacing w:before="240"/>
      </w:pPr>
      <w:r>
        <w:br w:type="page"/>
      </w:r>
    </w:p>
    <w:p w14:paraId="1FAAB84E" w14:textId="10469034" w:rsidR="0060553A" w:rsidRPr="00F12B1C" w:rsidRDefault="0060553A" w:rsidP="00F12B1C">
      <w:pPr>
        <w:pStyle w:val="Ttulo1"/>
        <w:spacing w:before="0" w:after="0"/>
        <w:rPr>
          <w:lang w:val="es-ES"/>
        </w:rPr>
      </w:pPr>
      <w:bookmarkStart w:id="147" w:name="_Toc527466506"/>
      <w:r w:rsidRPr="00F12B1C">
        <w:rPr>
          <w:lang w:val="es-ES"/>
        </w:rPr>
        <w:lastRenderedPageBreak/>
        <w:t>X</w:t>
      </w:r>
      <w:r w:rsidR="00F12B1C" w:rsidRPr="00F12B1C">
        <w:rPr>
          <w:lang w:val="es-ES"/>
        </w:rPr>
        <w:t>.</w:t>
      </w:r>
      <w:r w:rsidR="00B4689D" w:rsidRPr="0060216C">
        <w:rPr>
          <w:lang w:val="es-ES"/>
        </w:rPr>
        <w:br/>
      </w:r>
      <w:bookmarkStart w:id="148" w:name="_Toc513644502"/>
      <w:r w:rsidRPr="00F12B1C">
        <w:rPr>
          <w:lang w:val="es-ES"/>
        </w:rPr>
        <w:t>PUNTOS RESOLUTIVOS</w:t>
      </w:r>
      <w:bookmarkEnd w:id="147"/>
      <w:bookmarkEnd w:id="148"/>
    </w:p>
    <w:p w14:paraId="736D5DFA" w14:textId="77777777" w:rsidR="0060553A" w:rsidRPr="0029137A" w:rsidRDefault="0060553A" w:rsidP="0060553A">
      <w:pPr>
        <w:pStyle w:val="Prrafodelista2"/>
        <w:tabs>
          <w:tab w:val="left" w:pos="0"/>
          <w:tab w:val="num" w:pos="12305"/>
        </w:tabs>
        <w:ind w:left="0" w:right="-90"/>
        <w:jc w:val="both"/>
      </w:pPr>
      <w:r w:rsidRPr="0029137A">
        <w:t xml:space="preserve">Por tanto, </w:t>
      </w:r>
    </w:p>
    <w:p w14:paraId="45BB3143" w14:textId="77777777" w:rsidR="0060553A" w:rsidRDefault="0060553A" w:rsidP="0060553A">
      <w:pPr>
        <w:pStyle w:val="Prrafodelista2"/>
        <w:tabs>
          <w:tab w:val="left" w:pos="720"/>
        </w:tabs>
        <w:ind w:left="0" w:right="-90"/>
        <w:contextualSpacing/>
        <w:rPr>
          <w:rFonts w:asciiTheme="minorHAnsi" w:eastAsiaTheme="minorHAnsi" w:hAnsiTheme="minorHAnsi" w:cstheme="minorBidi"/>
          <w:sz w:val="22"/>
          <w:szCs w:val="22"/>
          <w:lang w:bidi="ar-SA"/>
        </w:rPr>
      </w:pPr>
    </w:p>
    <w:p w14:paraId="395DB154" w14:textId="77777777" w:rsidR="0060553A" w:rsidRPr="0029137A" w:rsidRDefault="0060553A" w:rsidP="0060553A">
      <w:pPr>
        <w:pStyle w:val="Prrafodelista2"/>
        <w:tabs>
          <w:tab w:val="left" w:pos="720"/>
        </w:tabs>
        <w:ind w:left="0" w:right="-90"/>
        <w:contextualSpacing/>
        <w:rPr>
          <w:b/>
          <w:bCs/>
        </w:rPr>
      </w:pPr>
      <w:r w:rsidRPr="0029137A">
        <w:rPr>
          <w:b/>
          <w:bCs/>
        </w:rPr>
        <w:t xml:space="preserve">LA CORTE </w:t>
      </w:r>
    </w:p>
    <w:p w14:paraId="5A68C31F" w14:textId="77777777" w:rsidR="0060553A" w:rsidRPr="0029137A" w:rsidRDefault="0060553A" w:rsidP="0060553A">
      <w:pPr>
        <w:pStyle w:val="Prrafodelista2"/>
        <w:tabs>
          <w:tab w:val="left" w:pos="720"/>
        </w:tabs>
        <w:ind w:left="0" w:right="-90"/>
        <w:contextualSpacing/>
        <w:rPr>
          <w:b/>
          <w:bCs/>
        </w:rPr>
      </w:pPr>
    </w:p>
    <w:p w14:paraId="001273C7" w14:textId="77777777" w:rsidR="0060553A" w:rsidRDefault="0060553A" w:rsidP="0060553A">
      <w:pPr>
        <w:pStyle w:val="Prrafodelista2"/>
        <w:tabs>
          <w:tab w:val="left" w:pos="720"/>
        </w:tabs>
        <w:ind w:left="0" w:right="-90"/>
        <w:contextualSpacing/>
        <w:rPr>
          <w:b/>
          <w:bCs/>
        </w:rPr>
      </w:pPr>
      <w:r w:rsidRPr="0029137A">
        <w:rPr>
          <w:b/>
          <w:bCs/>
        </w:rPr>
        <w:t xml:space="preserve">DECIDE, </w:t>
      </w:r>
    </w:p>
    <w:p w14:paraId="5EF041E7" w14:textId="77777777" w:rsidR="0060553A" w:rsidRDefault="0060553A" w:rsidP="0060553A">
      <w:pPr>
        <w:pStyle w:val="Prrafodelista2"/>
        <w:ind w:left="0" w:right="-90"/>
        <w:contextualSpacing/>
      </w:pPr>
    </w:p>
    <w:p w14:paraId="32F633E4" w14:textId="084DFAEF" w:rsidR="0060553A" w:rsidRPr="00E32C76" w:rsidRDefault="0060553A" w:rsidP="0060553A">
      <w:pPr>
        <w:pStyle w:val="Prrafodelista2"/>
        <w:ind w:left="0" w:right="-90"/>
        <w:contextualSpacing/>
      </w:pPr>
      <w:r>
        <w:t xml:space="preserve">Por </w:t>
      </w:r>
      <w:r w:rsidR="001D26A2">
        <w:t>cuatro votos a favor y uno en contra</w:t>
      </w:r>
      <w:r w:rsidRPr="0029137A">
        <w:t>, que:</w:t>
      </w:r>
    </w:p>
    <w:p w14:paraId="2A318F1E" w14:textId="77777777" w:rsidR="0060553A" w:rsidRPr="00BF545D" w:rsidRDefault="0060553A" w:rsidP="0060553A">
      <w:pPr>
        <w:pStyle w:val="Prrafodelista"/>
        <w:widowControl w:val="0"/>
        <w:tabs>
          <w:tab w:val="center" w:pos="567"/>
        </w:tabs>
        <w:autoSpaceDE w:val="0"/>
        <w:autoSpaceDN w:val="0"/>
        <w:adjustRightInd w:val="0"/>
        <w:ind w:left="0" w:right="-90"/>
        <w:rPr>
          <w:szCs w:val="20"/>
          <w:lang w:val="es-MX"/>
        </w:rPr>
      </w:pPr>
    </w:p>
    <w:p w14:paraId="4A4C2AD8" w14:textId="0215CA8F" w:rsidR="0060553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El Estado es re</w:t>
      </w:r>
      <w:r>
        <w:rPr>
          <w:szCs w:val="20"/>
          <w:lang w:val="es-MX"/>
        </w:rPr>
        <w:t xml:space="preserve">sponsable por la violación del </w:t>
      </w:r>
      <w:r>
        <w:rPr>
          <w:szCs w:val="20"/>
          <w:lang w:val="es-AR"/>
        </w:rPr>
        <w:t>derecho a la salud</w:t>
      </w:r>
      <w:r>
        <w:rPr>
          <w:szCs w:val="20"/>
          <w:lang w:val="es-MX"/>
        </w:rPr>
        <w:t>, de conformidad con el artículo 26</w:t>
      </w:r>
      <w:r w:rsidRPr="0029137A">
        <w:rPr>
          <w:szCs w:val="20"/>
          <w:lang w:val="es-MX"/>
        </w:rPr>
        <w:t xml:space="preserve"> de la Convención Americana, en relación con el artículo 1.1 de la misma, en perjuicio </w:t>
      </w:r>
      <w:r w:rsidR="00722A75">
        <w:rPr>
          <w:szCs w:val="20"/>
          <w:lang w:val="es-MX"/>
        </w:rPr>
        <w:t xml:space="preserve">de las 49 personas listadas como víctimas </w:t>
      </w:r>
      <w:r w:rsidR="00115171">
        <w:rPr>
          <w:szCs w:val="20"/>
          <w:lang w:val="es-MX"/>
        </w:rPr>
        <w:t>en</w:t>
      </w:r>
      <w:r w:rsidR="00FE0773">
        <w:rPr>
          <w:szCs w:val="20"/>
          <w:lang w:val="es-MX"/>
        </w:rPr>
        <w:t xml:space="preserve"> el A</w:t>
      </w:r>
      <w:r w:rsidR="004117F1">
        <w:rPr>
          <w:szCs w:val="20"/>
          <w:lang w:val="es-MX"/>
        </w:rPr>
        <w:t>nexo 2</w:t>
      </w:r>
      <w:r w:rsidR="00722A75">
        <w:rPr>
          <w:szCs w:val="20"/>
          <w:lang w:val="es-MX"/>
        </w:rPr>
        <w:t xml:space="preserve"> adjuntado a la presente sentencia</w:t>
      </w:r>
      <w:r w:rsidRPr="0029137A">
        <w:rPr>
          <w:szCs w:val="20"/>
          <w:lang w:val="es-MX"/>
        </w:rPr>
        <w:t>, en</w:t>
      </w:r>
      <w:r>
        <w:rPr>
          <w:szCs w:val="20"/>
          <w:lang w:val="es-MX"/>
        </w:rPr>
        <w:t xml:space="preserve"> los términos </w:t>
      </w:r>
      <w:r w:rsidR="00736E13">
        <w:rPr>
          <w:szCs w:val="20"/>
          <w:lang w:val="es-MX"/>
        </w:rPr>
        <w:t xml:space="preserve">de los párrafos </w:t>
      </w:r>
      <w:r w:rsidR="00074CB7">
        <w:rPr>
          <w:szCs w:val="20"/>
          <w:lang w:val="es-MX"/>
        </w:rPr>
        <w:t>75 a 119</w:t>
      </w:r>
      <w:r>
        <w:rPr>
          <w:szCs w:val="20"/>
          <w:lang w:val="es-MX"/>
        </w:rPr>
        <w:t xml:space="preserve"> </w:t>
      </w:r>
      <w:r w:rsidRPr="0029137A">
        <w:rPr>
          <w:szCs w:val="20"/>
          <w:lang w:val="es-MX"/>
        </w:rPr>
        <w:t>de la presente Sentencia.</w:t>
      </w:r>
    </w:p>
    <w:p w14:paraId="4E02026C" w14:textId="77777777" w:rsidR="00722A75" w:rsidRDefault="00722A75" w:rsidP="00722A75">
      <w:pPr>
        <w:pStyle w:val="Prrafodelista"/>
        <w:widowControl w:val="0"/>
        <w:tabs>
          <w:tab w:val="center" w:pos="567"/>
        </w:tabs>
        <w:autoSpaceDE w:val="0"/>
        <w:autoSpaceDN w:val="0"/>
        <w:adjustRightInd w:val="0"/>
        <w:ind w:left="0" w:right="-90"/>
        <w:rPr>
          <w:szCs w:val="20"/>
          <w:lang w:val="es-MX"/>
        </w:rPr>
      </w:pPr>
    </w:p>
    <w:p w14:paraId="31B71E25" w14:textId="07258894" w:rsidR="00722A75" w:rsidRDefault="00722A75"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El Estado es re</w:t>
      </w:r>
      <w:r>
        <w:rPr>
          <w:szCs w:val="20"/>
          <w:lang w:val="es-MX"/>
        </w:rPr>
        <w:t xml:space="preserve">sponsable por la violación del </w:t>
      </w:r>
      <w:r>
        <w:rPr>
          <w:szCs w:val="20"/>
          <w:lang w:val="es-AR"/>
        </w:rPr>
        <w:t>derecho a la salud</w:t>
      </w:r>
      <w:r>
        <w:rPr>
          <w:szCs w:val="20"/>
          <w:lang w:val="es-MX"/>
        </w:rPr>
        <w:t>, de conformidad con el artículo 26</w:t>
      </w:r>
      <w:r w:rsidRPr="0029137A">
        <w:rPr>
          <w:szCs w:val="20"/>
          <w:lang w:val="es-MX"/>
        </w:rPr>
        <w:t xml:space="preserve"> de la Convención Americana, en relación con el artículo 1.1 de la misma, en perjuicio </w:t>
      </w:r>
      <w:r>
        <w:rPr>
          <w:szCs w:val="20"/>
          <w:lang w:val="es-MX"/>
        </w:rPr>
        <w:t xml:space="preserve">de </w:t>
      </w:r>
      <w:r w:rsidR="007B6D11">
        <w:rPr>
          <w:szCs w:val="20"/>
          <w:lang w:val="es-MX"/>
        </w:rPr>
        <w:t>43</w:t>
      </w:r>
      <w:r>
        <w:rPr>
          <w:szCs w:val="20"/>
          <w:lang w:val="es-MX"/>
        </w:rPr>
        <w:t xml:space="preserve"> personas listadas como</w:t>
      </w:r>
      <w:r w:rsidR="00FE0773">
        <w:rPr>
          <w:szCs w:val="20"/>
          <w:lang w:val="es-MX"/>
        </w:rPr>
        <w:t xml:space="preserve"> víctimas en el A</w:t>
      </w:r>
      <w:r w:rsidR="004117F1">
        <w:rPr>
          <w:szCs w:val="20"/>
          <w:lang w:val="es-MX"/>
        </w:rPr>
        <w:t>nexo 2</w:t>
      </w:r>
      <w:r>
        <w:rPr>
          <w:szCs w:val="20"/>
          <w:lang w:val="es-MX"/>
        </w:rPr>
        <w:t xml:space="preserve"> adjuntado a la presente Sentencia</w:t>
      </w:r>
      <w:r w:rsidRPr="0029137A">
        <w:rPr>
          <w:szCs w:val="20"/>
          <w:lang w:val="es-MX"/>
        </w:rPr>
        <w:t>, en</w:t>
      </w:r>
      <w:r>
        <w:rPr>
          <w:szCs w:val="20"/>
          <w:lang w:val="es-MX"/>
        </w:rPr>
        <w:t xml:space="preserve"> los términos de los párrafos </w:t>
      </w:r>
      <w:r w:rsidR="00074CB7">
        <w:rPr>
          <w:szCs w:val="20"/>
          <w:lang w:val="es-MX"/>
        </w:rPr>
        <w:t>75</w:t>
      </w:r>
      <w:r w:rsidR="003C01EF">
        <w:rPr>
          <w:szCs w:val="20"/>
          <w:lang w:val="es-MX"/>
        </w:rPr>
        <w:t xml:space="preserve"> a </w:t>
      </w:r>
      <w:r w:rsidR="00074CB7">
        <w:rPr>
          <w:szCs w:val="20"/>
          <w:lang w:val="es-MX"/>
        </w:rPr>
        <w:t>117</w:t>
      </w:r>
      <w:r w:rsidR="003C01EF">
        <w:rPr>
          <w:szCs w:val="20"/>
          <w:lang w:val="es-MX"/>
        </w:rPr>
        <w:t xml:space="preserve"> y </w:t>
      </w:r>
      <w:r w:rsidR="00074CB7">
        <w:rPr>
          <w:szCs w:val="20"/>
          <w:lang w:val="es-MX"/>
        </w:rPr>
        <w:t>120</w:t>
      </w:r>
      <w:r w:rsidR="003C01EF">
        <w:rPr>
          <w:szCs w:val="20"/>
          <w:lang w:val="es-MX"/>
        </w:rPr>
        <w:t xml:space="preserve"> a </w:t>
      </w:r>
      <w:r w:rsidR="00074CB7">
        <w:rPr>
          <w:szCs w:val="20"/>
          <w:lang w:val="es-MX"/>
        </w:rPr>
        <w:t>127</w:t>
      </w:r>
      <w:r>
        <w:rPr>
          <w:szCs w:val="20"/>
          <w:lang w:val="es-MX"/>
        </w:rPr>
        <w:t xml:space="preserve"> </w:t>
      </w:r>
      <w:r w:rsidRPr="0029137A">
        <w:rPr>
          <w:szCs w:val="20"/>
          <w:lang w:val="es-MX"/>
        </w:rPr>
        <w:t>de la presente Sentencia.</w:t>
      </w:r>
    </w:p>
    <w:p w14:paraId="7A547FBF" w14:textId="77777777" w:rsidR="00722A75" w:rsidRPr="00722A75" w:rsidRDefault="00722A75" w:rsidP="00722A75">
      <w:pPr>
        <w:pStyle w:val="Prrafodelista"/>
        <w:rPr>
          <w:szCs w:val="20"/>
          <w:lang w:val="es-MX"/>
        </w:rPr>
      </w:pPr>
    </w:p>
    <w:p w14:paraId="63BA3953" w14:textId="479CE264" w:rsidR="00722A75" w:rsidRPr="0029137A" w:rsidRDefault="00722A75"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t>El Estado es responsable por la violación de la prohibición de discriminación en relación con la obligación de garantizar el derecho a la salud, reconocido en el artículo 26 de la Convención</w:t>
      </w:r>
      <w:r w:rsidR="004117F1">
        <w:t xml:space="preserve"> Americana</w:t>
      </w:r>
      <w:r>
        <w:t xml:space="preserve">, en relación con el artículo 1.1 del mismo instrumento, en perjuicio de </w:t>
      </w:r>
      <w:r w:rsidR="003C01EF">
        <w:t>2</w:t>
      </w:r>
      <w:r>
        <w:t xml:space="preserve"> personas </w:t>
      </w:r>
      <w:r>
        <w:rPr>
          <w:szCs w:val="20"/>
          <w:lang w:val="es-MX"/>
        </w:rPr>
        <w:t>listadas como</w:t>
      </w:r>
      <w:r w:rsidR="00115171">
        <w:rPr>
          <w:szCs w:val="20"/>
          <w:lang w:val="es-MX"/>
        </w:rPr>
        <w:t xml:space="preserve"> víctimas en el</w:t>
      </w:r>
      <w:r w:rsidR="00FE0773">
        <w:rPr>
          <w:szCs w:val="20"/>
          <w:lang w:val="es-MX"/>
        </w:rPr>
        <w:t xml:space="preserve"> A</w:t>
      </w:r>
      <w:r w:rsidR="004117F1">
        <w:rPr>
          <w:szCs w:val="20"/>
          <w:lang w:val="es-MX"/>
        </w:rPr>
        <w:t>nexo 2</w:t>
      </w:r>
      <w:r>
        <w:rPr>
          <w:szCs w:val="20"/>
          <w:lang w:val="es-MX"/>
        </w:rPr>
        <w:t xml:space="preserve"> adjuntado a la presente Sentencia</w:t>
      </w:r>
      <w:r>
        <w:t xml:space="preserve">, en </w:t>
      </w:r>
      <w:r w:rsidR="003C01EF">
        <w:t xml:space="preserve">los términos de los párrafos </w:t>
      </w:r>
      <w:r w:rsidR="00074CB7">
        <w:t>128</w:t>
      </w:r>
      <w:r w:rsidR="003C01EF">
        <w:t xml:space="preserve"> a </w:t>
      </w:r>
      <w:r w:rsidR="00074CB7">
        <w:t>139</w:t>
      </w:r>
      <w:r>
        <w:t xml:space="preserve"> de esta Sentencia.</w:t>
      </w:r>
    </w:p>
    <w:p w14:paraId="67147C1B" w14:textId="77777777" w:rsidR="0060553A" w:rsidRDefault="0060553A" w:rsidP="0060553A">
      <w:pPr>
        <w:pStyle w:val="Prrafodelista"/>
        <w:widowControl w:val="0"/>
        <w:tabs>
          <w:tab w:val="center" w:pos="567"/>
        </w:tabs>
        <w:autoSpaceDE w:val="0"/>
        <w:autoSpaceDN w:val="0"/>
        <w:adjustRightInd w:val="0"/>
        <w:ind w:left="0" w:right="-90"/>
        <w:rPr>
          <w:szCs w:val="20"/>
          <w:lang w:val="es-MX"/>
        </w:rPr>
      </w:pPr>
    </w:p>
    <w:p w14:paraId="69501D57" w14:textId="65677A03" w:rsidR="00933458" w:rsidRDefault="00933458" w:rsidP="00933458">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 xml:space="preserve">El Estado </w:t>
      </w:r>
      <w:r>
        <w:rPr>
          <w:szCs w:val="20"/>
          <w:lang w:val="es-MX"/>
        </w:rPr>
        <w:t xml:space="preserve">es </w:t>
      </w:r>
      <w:r w:rsidRPr="0029137A">
        <w:rPr>
          <w:szCs w:val="20"/>
          <w:lang w:val="es-MX"/>
        </w:rPr>
        <w:t xml:space="preserve">responsable por la violación </w:t>
      </w:r>
      <w:r>
        <w:rPr>
          <w:szCs w:val="20"/>
          <w:lang w:val="es-MX"/>
        </w:rPr>
        <w:t xml:space="preserve">al principio de progresividad, de conformidad con el artículo 26 </w:t>
      </w:r>
      <w:r w:rsidRPr="0029137A">
        <w:rPr>
          <w:szCs w:val="20"/>
          <w:lang w:val="es-MX"/>
        </w:rPr>
        <w:t xml:space="preserve">de la Convención Americana, en </w:t>
      </w:r>
      <w:r>
        <w:rPr>
          <w:szCs w:val="20"/>
          <w:lang w:val="es-MX"/>
        </w:rPr>
        <w:t xml:space="preserve">relación con el artículo 1.1 </w:t>
      </w:r>
      <w:r w:rsidRPr="0029137A">
        <w:rPr>
          <w:szCs w:val="20"/>
          <w:lang w:val="es-MX"/>
        </w:rPr>
        <w:t>de la misma, en los términos de</w:t>
      </w:r>
      <w:r>
        <w:rPr>
          <w:szCs w:val="20"/>
          <w:lang w:val="es-MX"/>
        </w:rPr>
        <w:t xml:space="preserve"> los párrafos </w:t>
      </w:r>
      <w:r w:rsidR="00074CB7">
        <w:rPr>
          <w:szCs w:val="20"/>
          <w:lang w:val="es-MX"/>
        </w:rPr>
        <w:t>140</w:t>
      </w:r>
      <w:r>
        <w:rPr>
          <w:szCs w:val="20"/>
          <w:lang w:val="es-MX"/>
        </w:rPr>
        <w:t xml:space="preserve"> a </w:t>
      </w:r>
      <w:r w:rsidR="00074CB7">
        <w:rPr>
          <w:szCs w:val="20"/>
          <w:lang w:val="es-MX"/>
        </w:rPr>
        <w:t>148</w:t>
      </w:r>
      <w:r>
        <w:rPr>
          <w:szCs w:val="20"/>
          <w:lang w:val="es-MX"/>
        </w:rPr>
        <w:t xml:space="preserve"> </w:t>
      </w:r>
      <w:r w:rsidRPr="0029137A">
        <w:rPr>
          <w:szCs w:val="20"/>
          <w:lang w:val="es-MX"/>
        </w:rPr>
        <w:t>de la presente Sentencia.</w:t>
      </w:r>
    </w:p>
    <w:p w14:paraId="2B7AACD4" w14:textId="77777777" w:rsidR="001D26A2" w:rsidRPr="001D26A2" w:rsidRDefault="001D26A2" w:rsidP="001D26A2">
      <w:pPr>
        <w:pStyle w:val="Prrafodelista"/>
        <w:rPr>
          <w:szCs w:val="20"/>
          <w:lang w:val="es-MX"/>
        </w:rPr>
      </w:pPr>
    </w:p>
    <w:p w14:paraId="17E75E6C" w14:textId="75AB9FE2" w:rsidR="001D26A2" w:rsidRDefault="001D26A2" w:rsidP="001D26A2">
      <w:pPr>
        <w:pStyle w:val="Prrafodelista"/>
        <w:widowControl w:val="0"/>
        <w:tabs>
          <w:tab w:val="center" w:pos="567"/>
        </w:tabs>
        <w:autoSpaceDE w:val="0"/>
        <w:autoSpaceDN w:val="0"/>
        <w:adjustRightInd w:val="0"/>
        <w:ind w:left="0" w:right="-90"/>
        <w:rPr>
          <w:szCs w:val="20"/>
          <w:lang w:val="es-MX"/>
        </w:rPr>
      </w:pPr>
      <w:r>
        <w:t>Por unanimidad</w:t>
      </w:r>
      <w:r w:rsidRPr="0029137A">
        <w:t>, que:</w:t>
      </w:r>
    </w:p>
    <w:p w14:paraId="6E845201" w14:textId="77777777" w:rsidR="00933458" w:rsidRPr="00BF545D" w:rsidRDefault="00933458" w:rsidP="0060553A">
      <w:pPr>
        <w:pStyle w:val="Prrafodelista"/>
        <w:widowControl w:val="0"/>
        <w:tabs>
          <w:tab w:val="center" w:pos="567"/>
        </w:tabs>
        <w:autoSpaceDE w:val="0"/>
        <w:autoSpaceDN w:val="0"/>
        <w:adjustRightInd w:val="0"/>
        <w:ind w:left="0" w:right="-90"/>
        <w:rPr>
          <w:szCs w:val="20"/>
          <w:lang w:val="es-MX"/>
        </w:rPr>
      </w:pPr>
    </w:p>
    <w:p w14:paraId="17E9F745" w14:textId="1D7E8D22" w:rsidR="0060553A" w:rsidRPr="0029137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 xml:space="preserve">El Estado es responsable por la violación </w:t>
      </w:r>
      <w:r>
        <w:rPr>
          <w:szCs w:val="20"/>
          <w:lang w:val="es-MX"/>
        </w:rPr>
        <w:t>del</w:t>
      </w:r>
      <w:r w:rsidRPr="0029137A">
        <w:rPr>
          <w:szCs w:val="20"/>
          <w:lang w:val="es-MX"/>
        </w:rPr>
        <w:t xml:space="preserve"> derecho a la</w:t>
      </w:r>
      <w:r>
        <w:rPr>
          <w:szCs w:val="20"/>
          <w:lang w:val="es-MX"/>
        </w:rPr>
        <w:t xml:space="preserve"> vida</w:t>
      </w:r>
      <w:r w:rsidRPr="0029137A">
        <w:rPr>
          <w:szCs w:val="20"/>
          <w:lang w:val="es-MX"/>
        </w:rPr>
        <w:t>, reconocid</w:t>
      </w:r>
      <w:r>
        <w:rPr>
          <w:szCs w:val="20"/>
          <w:lang w:val="es-MX"/>
        </w:rPr>
        <w:t>o en el artículo 4</w:t>
      </w:r>
      <w:r w:rsidRPr="0029137A">
        <w:rPr>
          <w:szCs w:val="20"/>
          <w:lang w:val="es-MX"/>
        </w:rPr>
        <w:t xml:space="preserve"> de la Convención Americana, e</w:t>
      </w:r>
      <w:r>
        <w:rPr>
          <w:szCs w:val="20"/>
          <w:lang w:val="es-MX"/>
        </w:rPr>
        <w:t>n relación con los artículos 26 y 1.1</w:t>
      </w:r>
      <w:r w:rsidRPr="0029137A">
        <w:rPr>
          <w:szCs w:val="20"/>
          <w:lang w:val="es-MX"/>
        </w:rPr>
        <w:t xml:space="preserve"> de la misma, en per</w:t>
      </w:r>
      <w:r>
        <w:rPr>
          <w:szCs w:val="20"/>
          <w:lang w:val="es-MX"/>
        </w:rPr>
        <w:t xml:space="preserve">juicio </w:t>
      </w:r>
      <w:r w:rsidR="00074CB7">
        <w:t xml:space="preserve">de </w:t>
      </w:r>
      <w:r w:rsidR="00074CB7" w:rsidRPr="007B6D11">
        <w:t>12</w:t>
      </w:r>
      <w:r w:rsidR="00BF092C">
        <w:t xml:space="preserve"> personas </w:t>
      </w:r>
      <w:r w:rsidR="00BF092C">
        <w:rPr>
          <w:szCs w:val="20"/>
          <w:lang w:val="es-MX"/>
        </w:rPr>
        <w:t>listada</w:t>
      </w:r>
      <w:r w:rsidR="00FE0773">
        <w:rPr>
          <w:szCs w:val="20"/>
          <w:lang w:val="es-MX"/>
        </w:rPr>
        <w:t>s como víctimas en el A</w:t>
      </w:r>
      <w:r w:rsidR="00BF092C">
        <w:rPr>
          <w:szCs w:val="20"/>
          <w:lang w:val="es-MX"/>
        </w:rPr>
        <w:t xml:space="preserve">nexo </w:t>
      </w:r>
      <w:r w:rsidR="004117F1">
        <w:rPr>
          <w:szCs w:val="20"/>
          <w:lang w:val="es-MX"/>
        </w:rPr>
        <w:t>2</w:t>
      </w:r>
      <w:r w:rsidR="00BF092C">
        <w:rPr>
          <w:szCs w:val="20"/>
          <w:lang w:val="es-MX"/>
        </w:rPr>
        <w:t xml:space="preserve"> adjuntado a la presente Sentencia</w:t>
      </w:r>
      <w:r w:rsidR="00BF092C">
        <w:t xml:space="preserve">, en </w:t>
      </w:r>
      <w:r w:rsidR="003C01EF">
        <w:t xml:space="preserve">los términos de los párrafos </w:t>
      </w:r>
      <w:r w:rsidR="00074CB7">
        <w:t>155</w:t>
      </w:r>
      <w:r w:rsidR="003C01EF">
        <w:t xml:space="preserve"> a </w:t>
      </w:r>
      <w:r w:rsidR="00074CB7">
        <w:t>159</w:t>
      </w:r>
      <w:r w:rsidR="00BF092C">
        <w:t xml:space="preserve"> de esta Sentencia</w:t>
      </w:r>
      <w:r w:rsidR="00BF092C" w:rsidRPr="0029137A">
        <w:rPr>
          <w:szCs w:val="20"/>
          <w:lang w:val="es-MX"/>
        </w:rPr>
        <w:t>.</w:t>
      </w:r>
    </w:p>
    <w:p w14:paraId="05BFD548" w14:textId="77777777" w:rsidR="0060553A" w:rsidRPr="00BF545D" w:rsidRDefault="0060553A" w:rsidP="0060553A">
      <w:pPr>
        <w:pStyle w:val="Prrafodelista"/>
        <w:widowControl w:val="0"/>
        <w:tabs>
          <w:tab w:val="center" w:pos="567"/>
        </w:tabs>
        <w:autoSpaceDE w:val="0"/>
        <w:autoSpaceDN w:val="0"/>
        <w:adjustRightInd w:val="0"/>
        <w:ind w:left="0" w:right="-90"/>
        <w:rPr>
          <w:szCs w:val="20"/>
          <w:lang w:val="es-MX"/>
        </w:rPr>
      </w:pPr>
    </w:p>
    <w:p w14:paraId="2B65DC03" w14:textId="17FD593F" w:rsidR="0060553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7E5CD5">
        <w:rPr>
          <w:szCs w:val="20"/>
          <w:lang w:val="es-MX"/>
        </w:rPr>
        <w:t xml:space="preserve">El Estado es responsable por la violación del derecho a la integridad personal, reconocido en el artículo 5 de la Convención Americana, en relación con los artículos 26 y 1.1 de la misma, en perjuicio </w:t>
      </w:r>
      <w:r w:rsidR="00BF092C">
        <w:t xml:space="preserve">de </w:t>
      </w:r>
      <w:r w:rsidR="007B6D11">
        <w:t>46</w:t>
      </w:r>
      <w:r w:rsidR="00BF092C">
        <w:t xml:space="preserve"> personas </w:t>
      </w:r>
      <w:r w:rsidR="00BF092C">
        <w:rPr>
          <w:szCs w:val="20"/>
          <w:lang w:val="es-MX"/>
        </w:rPr>
        <w:t>listada</w:t>
      </w:r>
      <w:r w:rsidR="00FE0773">
        <w:rPr>
          <w:szCs w:val="20"/>
          <w:lang w:val="es-MX"/>
        </w:rPr>
        <w:t>s como víctimas en el A</w:t>
      </w:r>
      <w:r w:rsidR="00BF092C">
        <w:rPr>
          <w:szCs w:val="20"/>
          <w:lang w:val="es-MX"/>
        </w:rPr>
        <w:t xml:space="preserve">nexo </w:t>
      </w:r>
      <w:r w:rsidR="004117F1">
        <w:rPr>
          <w:szCs w:val="20"/>
          <w:lang w:val="es-MX"/>
        </w:rPr>
        <w:t>2</w:t>
      </w:r>
      <w:r w:rsidR="00BF092C">
        <w:rPr>
          <w:szCs w:val="20"/>
          <w:lang w:val="es-MX"/>
        </w:rPr>
        <w:t xml:space="preserve"> adjuntado a la presente Sentencia</w:t>
      </w:r>
      <w:r w:rsidR="00BF092C">
        <w:t xml:space="preserve">, en </w:t>
      </w:r>
      <w:r w:rsidR="003C01EF">
        <w:t xml:space="preserve">los términos de los párrafos </w:t>
      </w:r>
      <w:r w:rsidR="00074CB7">
        <w:t>161</w:t>
      </w:r>
      <w:r w:rsidR="00933458">
        <w:t xml:space="preserve"> a </w:t>
      </w:r>
      <w:r w:rsidR="00074CB7">
        <w:t>164</w:t>
      </w:r>
      <w:r w:rsidR="00BF092C">
        <w:t xml:space="preserve"> de esta Sentencia</w:t>
      </w:r>
      <w:r w:rsidR="00BF092C" w:rsidRPr="0029137A">
        <w:rPr>
          <w:szCs w:val="20"/>
          <w:lang w:val="es-MX"/>
        </w:rPr>
        <w:t>.</w:t>
      </w:r>
    </w:p>
    <w:p w14:paraId="10957539" w14:textId="77777777" w:rsidR="00A63AF0" w:rsidRPr="00A63AF0" w:rsidRDefault="00A63AF0" w:rsidP="00A63AF0">
      <w:pPr>
        <w:pStyle w:val="Prrafodelista"/>
        <w:rPr>
          <w:szCs w:val="20"/>
          <w:lang w:val="es-MX"/>
        </w:rPr>
      </w:pPr>
    </w:p>
    <w:p w14:paraId="480B8CCC" w14:textId="03849CEE" w:rsidR="00A63AF0" w:rsidRDefault="00A63AF0" w:rsidP="00A63AF0">
      <w:pPr>
        <w:pStyle w:val="Prrafodelista"/>
        <w:widowControl w:val="0"/>
        <w:tabs>
          <w:tab w:val="center" w:pos="567"/>
        </w:tabs>
        <w:autoSpaceDE w:val="0"/>
        <w:autoSpaceDN w:val="0"/>
        <w:adjustRightInd w:val="0"/>
        <w:ind w:left="0" w:right="-90"/>
        <w:rPr>
          <w:szCs w:val="20"/>
          <w:lang w:val="es-MX"/>
        </w:rPr>
      </w:pPr>
      <w:r>
        <w:t>Por cuatro votos a favor y uno en contra</w:t>
      </w:r>
      <w:r w:rsidRPr="0029137A">
        <w:t>, que:</w:t>
      </w:r>
    </w:p>
    <w:p w14:paraId="6B84584F" w14:textId="77777777" w:rsidR="00A63AF0" w:rsidRPr="00A63AF0" w:rsidRDefault="00A63AF0" w:rsidP="00A63AF0">
      <w:pPr>
        <w:pStyle w:val="Prrafodelista"/>
        <w:rPr>
          <w:szCs w:val="20"/>
          <w:lang w:val="es-MX"/>
        </w:rPr>
      </w:pPr>
    </w:p>
    <w:p w14:paraId="5B59EA61" w14:textId="144C6FCB" w:rsidR="00A63AF0" w:rsidRDefault="00A63AF0" w:rsidP="00A63AF0">
      <w:pPr>
        <w:pStyle w:val="Prrafodelista"/>
        <w:widowControl w:val="0"/>
        <w:numPr>
          <w:ilvl w:val="0"/>
          <w:numId w:val="28"/>
        </w:numPr>
        <w:tabs>
          <w:tab w:val="center" w:pos="567"/>
        </w:tabs>
        <w:autoSpaceDE w:val="0"/>
        <w:autoSpaceDN w:val="0"/>
        <w:adjustRightInd w:val="0"/>
        <w:ind w:left="0" w:right="-90" w:hanging="11"/>
        <w:rPr>
          <w:szCs w:val="20"/>
          <w:lang w:val="es-MX"/>
        </w:rPr>
      </w:pPr>
      <w:r w:rsidRPr="0073302C">
        <w:rPr>
          <w:szCs w:val="20"/>
          <w:lang w:val="es-MX"/>
        </w:rPr>
        <w:t xml:space="preserve">El Estado es responsable por la violación </w:t>
      </w:r>
      <w:r>
        <w:rPr>
          <w:szCs w:val="20"/>
          <w:lang w:val="es-MX"/>
        </w:rPr>
        <w:t>de los</w:t>
      </w:r>
      <w:r w:rsidRPr="0073302C">
        <w:rPr>
          <w:szCs w:val="20"/>
          <w:lang w:val="es-MX"/>
        </w:rPr>
        <w:t xml:space="preserve"> derecho</w:t>
      </w:r>
      <w:r>
        <w:rPr>
          <w:szCs w:val="20"/>
          <w:lang w:val="es-MX"/>
        </w:rPr>
        <w:t>s</w:t>
      </w:r>
      <w:r w:rsidRPr="0073302C">
        <w:rPr>
          <w:szCs w:val="20"/>
          <w:lang w:val="es-MX"/>
        </w:rPr>
        <w:t xml:space="preserve"> </w:t>
      </w:r>
      <w:r>
        <w:rPr>
          <w:szCs w:val="20"/>
        </w:rPr>
        <w:t>a las garantías judiciales y protección judicial, reconocidos en los artículos</w:t>
      </w:r>
      <w:r w:rsidRPr="0073302C">
        <w:rPr>
          <w:szCs w:val="20"/>
        </w:rPr>
        <w:t xml:space="preserve"> </w:t>
      </w:r>
      <w:r w:rsidRPr="0073302C">
        <w:rPr>
          <w:szCs w:val="20"/>
          <w:lang w:val="es-AR"/>
        </w:rPr>
        <w:t>8.1 y 25.1 de la Convención</w:t>
      </w:r>
      <w:r>
        <w:rPr>
          <w:szCs w:val="20"/>
          <w:lang w:val="es-AR"/>
        </w:rPr>
        <w:t xml:space="preserve"> Americana, en relación con el artículo 1.1 de la misma, en perjuicio </w:t>
      </w:r>
      <w:r>
        <w:t xml:space="preserve">de 13 personas </w:t>
      </w:r>
      <w:r>
        <w:rPr>
          <w:szCs w:val="20"/>
          <w:lang w:val="es-MX"/>
        </w:rPr>
        <w:t xml:space="preserve">listadas como </w:t>
      </w:r>
      <w:r w:rsidR="00FE0773">
        <w:rPr>
          <w:szCs w:val="20"/>
          <w:lang w:val="es-MX"/>
        </w:rPr>
        <w:t>víctimas en el A</w:t>
      </w:r>
      <w:r w:rsidR="004117F1">
        <w:rPr>
          <w:szCs w:val="20"/>
          <w:lang w:val="es-MX"/>
        </w:rPr>
        <w:t>nexo 2</w:t>
      </w:r>
      <w:r>
        <w:rPr>
          <w:szCs w:val="20"/>
          <w:lang w:val="es-MX"/>
        </w:rPr>
        <w:t xml:space="preserve"> adjuntado a la presente Sentencia</w:t>
      </w:r>
      <w:r>
        <w:t xml:space="preserve">, en los términos de los párrafos </w:t>
      </w:r>
      <w:r w:rsidR="00074CB7">
        <w:t>168</w:t>
      </w:r>
      <w:r>
        <w:t xml:space="preserve"> a </w:t>
      </w:r>
      <w:r w:rsidR="00074CB7">
        <w:t>179 y 187</w:t>
      </w:r>
      <w:r>
        <w:t xml:space="preserve"> de la presente Sentencia</w:t>
      </w:r>
      <w:r w:rsidRPr="0029137A">
        <w:rPr>
          <w:szCs w:val="20"/>
          <w:lang w:val="es-MX"/>
        </w:rPr>
        <w:t>.</w:t>
      </w:r>
    </w:p>
    <w:p w14:paraId="5002BE22" w14:textId="77777777" w:rsidR="00A63AF0" w:rsidRDefault="00A63AF0" w:rsidP="00A63AF0">
      <w:pPr>
        <w:pStyle w:val="Prrafodelista"/>
        <w:widowControl w:val="0"/>
        <w:tabs>
          <w:tab w:val="center" w:pos="567"/>
        </w:tabs>
        <w:autoSpaceDE w:val="0"/>
        <w:autoSpaceDN w:val="0"/>
        <w:adjustRightInd w:val="0"/>
        <w:ind w:left="0" w:right="-90"/>
        <w:rPr>
          <w:szCs w:val="20"/>
          <w:lang w:val="es-MX"/>
        </w:rPr>
      </w:pPr>
    </w:p>
    <w:p w14:paraId="0C48421E" w14:textId="72023951" w:rsidR="00FB3C74" w:rsidRDefault="00A63AF0" w:rsidP="00FB3C74">
      <w:pPr>
        <w:pStyle w:val="Prrafodelista"/>
        <w:widowControl w:val="0"/>
        <w:numPr>
          <w:ilvl w:val="0"/>
          <w:numId w:val="28"/>
        </w:numPr>
        <w:tabs>
          <w:tab w:val="center" w:pos="567"/>
        </w:tabs>
        <w:autoSpaceDE w:val="0"/>
        <w:autoSpaceDN w:val="0"/>
        <w:adjustRightInd w:val="0"/>
        <w:ind w:left="0" w:right="-90" w:hanging="11"/>
        <w:rPr>
          <w:szCs w:val="20"/>
          <w:lang w:val="es-MX"/>
        </w:rPr>
      </w:pPr>
      <w:r w:rsidRPr="00A63AF0">
        <w:rPr>
          <w:szCs w:val="20"/>
          <w:lang w:val="es-MX"/>
        </w:rPr>
        <w:t>El Estado es responsable por la violación a la garantía del plazo razonable</w:t>
      </w:r>
      <w:r w:rsidRPr="00A63AF0">
        <w:rPr>
          <w:szCs w:val="20"/>
        </w:rPr>
        <w:t xml:space="preserve">, reconocida en el artículo </w:t>
      </w:r>
      <w:r w:rsidRPr="00A63AF0">
        <w:rPr>
          <w:szCs w:val="20"/>
          <w:lang w:val="es-AR"/>
        </w:rPr>
        <w:t xml:space="preserve">8 de la Convención Americana, en relación con el artículo 1.1 de la misma, en perjuicio </w:t>
      </w:r>
      <w:r>
        <w:t xml:space="preserve">de 13 personas </w:t>
      </w:r>
      <w:r w:rsidRPr="00A63AF0">
        <w:rPr>
          <w:szCs w:val="20"/>
          <w:lang w:val="es-MX"/>
        </w:rPr>
        <w:t xml:space="preserve">listadas como </w:t>
      </w:r>
      <w:r w:rsidR="00FE0773">
        <w:rPr>
          <w:szCs w:val="20"/>
          <w:lang w:val="es-MX"/>
        </w:rPr>
        <w:t>víctimas en el A</w:t>
      </w:r>
      <w:r w:rsidR="004117F1">
        <w:rPr>
          <w:szCs w:val="20"/>
          <w:lang w:val="es-MX"/>
        </w:rPr>
        <w:t>nexo 2</w:t>
      </w:r>
      <w:r w:rsidRPr="00A63AF0">
        <w:rPr>
          <w:szCs w:val="20"/>
          <w:lang w:val="es-MX"/>
        </w:rPr>
        <w:t xml:space="preserve"> adjuntado a la presente </w:t>
      </w:r>
      <w:r w:rsidRPr="00A63AF0">
        <w:rPr>
          <w:szCs w:val="20"/>
          <w:lang w:val="es-MX"/>
        </w:rPr>
        <w:lastRenderedPageBreak/>
        <w:t>Sentencia</w:t>
      </w:r>
      <w:r>
        <w:t xml:space="preserve">, en los términos de los párrafos </w:t>
      </w:r>
      <w:r w:rsidR="00074CB7">
        <w:t>180</w:t>
      </w:r>
      <w:r>
        <w:t xml:space="preserve"> a </w:t>
      </w:r>
      <w:r w:rsidR="00074CB7">
        <w:t>187</w:t>
      </w:r>
      <w:r>
        <w:t xml:space="preserve"> de la presente Sentencia</w:t>
      </w:r>
      <w:r w:rsidRPr="00A63AF0">
        <w:rPr>
          <w:szCs w:val="20"/>
          <w:lang w:val="es-MX"/>
        </w:rPr>
        <w:t>.</w:t>
      </w:r>
    </w:p>
    <w:p w14:paraId="363AC841" w14:textId="77777777" w:rsidR="00FB3C74" w:rsidRDefault="00FB3C74" w:rsidP="00FB3C74">
      <w:pPr>
        <w:pStyle w:val="Prrafodelista"/>
        <w:widowControl w:val="0"/>
        <w:tabs>
          <w:tab w:val="center" w:pos="567"/>
        </w:tabs>
        <w:autoSpaceDE w:val="0"/>
        <w:autoSpaceDN w:val="0"/>
        <w:adjustRightInd w:val="0"/>
        <w:ind w:left="0" w:right="-90"/>
        <w:rPr>
          <w:szCs w:val="20"/>
          <w:lang w:val="es-MX"/>
        </w:rPr>
      </w:pPr>
    </w:p>
    <w:p w14:paraId="48C67351" w14:textId="4B1D306C" w:rsidR="00FB3C74" w:rsidRPr="00FB3C74" w:rsidRDefault="00FB3C74" w:rsidP="00FB3C74">
      <w:pPr>
        <w:pStyle w:val="Prrafodelista"/>
        <w:widowControl w:val="0"/>
        <w:tabs>
          <w:tab w:val="center" w:pos="567"/>
        </w:tabs>
        <w:autoSpaceDE w:val="0"/>
        <w:autoSpaceDN w:val="0"/>
        <w:adjustRightInd w:val="0"/>
        <w:ind w:left="0" w:right="-90"/>
        <w:rPr>
          <w:szCs w:val="20"/>
          <w:lang w:val="es-MX"/>
        </w:rPr>
      </w:pPr>
      <w:r>
        <w:t>Por unanimidad</w:t>
      </w:r>
      <w:r w:rsidRPr="0029137A">
        <w:t>, que:</w:t>
      </w:r>
    </w:p>
    <w:p w14:paraId="1591BD47" w14:textId="77777777" w:rsidR="00FB3C74" w:rsidRPr="00FB3C74" w:rsidRDefault="00FB3C74" w:rsidP="00FB3C74">
      <w:pPr>
        <w:widowControl w:val="0"/>
        <w:tabs>
          <w:tab w:val="center" w:pos="567"/>
        </w:tabs>
        <w:autoSpaceDE w:val="0"/>
        <w:autoSpaceDN w:val="0"/>
        <w:adjustRightInd w:val="0"/>
        <w:ind w:right="-90"/>
        <w:rPr>
          <w:szCs w:val="20"/>
          <w:lang w:val="es-MX"/>
        </w:rPr>
      </w:pPr>
    </w:p>
    <w:p w14:paraId="1BFD20BD" w14:textId="63E94079" w:rsidR="0060553A" w:rsidRPr="009D1266"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9D1266">
        <w:rPr>
          <w:szCs w:val="20"/>
          <w:lang w:val="es-MX"/>
        </w:rPr>
        <w:t>El Estado es responsable por la violación</w:t>
      </w:r>
      <w:r>
        <w:rPr>
          <w:szCs w:val="20"/>
          <w:lang w:val="es-MX"/>
        </w:rPr>
        <w:t xml:space="preserve"> a la integridad personal, reconocida en el artículo 5.1 de la Convención Americana, en perjuicio de </w:t>
      </w:r>
      <w:r w:rsidR="00B30361">
        <w:rPr>
          <w:szCs w:val="20"/>
          <w:lang w:val="es-MX"/>
        </w:rPr>
        <w:t>los familiares de las víctimas listad</w:t>
      </w:r>
      <w:r w:rsidR="00FE0773">
        <w:rPr>
          <w:szCs w:val="20"/>
          <w:lang w:val="es-MX"/>
        </w:rPr>
        <w:t>os como familiares en el A</w:t>
      </w:r>
      <w:r w:rsidR="004117F1">
        <w:rPr>
          <w:szCs w:val="20"/>
          <w:lang w:val="es-MX"/>
        </w:rPr>
        <w:t>nexo 2</w:t>
      </w:r>
      <w:r w:rsidR="00B30361">
        <w:rPr>
          <w:szCs w:val="20"/>
          <w:lang w:val="es-MX"/>
        </w:rPr>
        <w:t xml:space="preserve"> adjuntado a la presente Sentencia</w:t>
      </w:r>
      <w:r w:rsidR="00B30361">
        <w:t xml:space="preserve">, en </w:t>
      </w:r>
      <w:r w:rsidR="003C01EF">
        <w:t xml:space="preserve">los términos de los párrafos </w:t>
      </w:r>
      <w:r w:rsidR="00F020B2">
        <w:t>191</w:t>
      </w:r>
      <w:r w:rsidR="003C01EF">
        <w:t xml:space="preserve"> a </w:t>
      </w:r>
      <w:r w:rsidR="00F020B2">
        <w:t>197</w:t>
      </w:r>
      <w:r w:rsidR="00B30361">
        <w:t xml:space="preserve"> de la presente Sentencia</w:t>
      </w:r>
      <w:r>
        <w:rPr>
          <w:szCs w:val="20"/>
          <w:lang w:val="es-MX"/>
        </w:rPr>
        <w:t>.</w:t>
      </w:r>
    </w:p>
    <w:p w14:paraId="58DDAA41" w14:textId="77777777" w:rsidR="0060553A" w:rsidRDefault="0060553A" w:rsidP="0060553A">
      <w:pPr>
        <w:pStyle w:val="Prrafodelista"/>
        <w:widowControl w:val="0"/>
        <w:tabs>
          <w:tab w:val="center" w:pos="567"/>
        </w:tabs>
        <w:autoSpaceDE w:val="0"/>
        <w:autoSpaceDN w:val="0"/>
        <w:adjustRightInd w:val="0"/>
        <w:ind w:left="0" w:right="-90"/>
        <w:rPr>
          <w:szCs w:val="20"/>
          <w:lang w:val="es-MX"/>
        </w:rPr>
      </w:pPr>
    </w:p>
    <w:p w14:paraId="048B0D71" w14:textId="77777777" w:rsidR="0060553A" w:rsidRPr="0029137A" w:rsidRDefault="0060553A" w:rsidP="0060553A">
      <w:pPr>
        <w:pStyle w:val="Prrafodelista2"/>
        <w:tabs>
          <w:tab w:val="left" w:pos="720"/>
        </w:tabs>
        <w:ind w:left="0" w:right="-90"/>
        <w:contextualSpacing/>
        <w:rPr>
          <w:b/>
          <w:bCs/>
        </w:rPr>
      </w:pPr>
      <w:r w:rsidRPr="0029137A">
        <w:rPr>
          <w:b/>
          <w:bCs/>
        </w:rPr>
        <w:t>Y DISPONE:</w:t>
      </w:r>
    </w:p>
    <w:p w14:paraId="658F4B91" w14:textId="77777777" w:rsidR="0060553A" w:rsidRDefault="0060553A" w:rsidP="0060553A">
      <w:pPr>
        <w:pStyle w:val="Prrafodelista2"/>
        <w:ind w:left="0" w:right="-90"/>
        <w:contextualSpacing/>
        <w:rPr>
          <w:rFonts w:asciiTheme="minorHAnsi" w:eastAsiaTheme="minorHAnsi" w:hAnsiTheme="minorHAnsi" w:cstheme="minorBidi"/>
          <w:b/>
          <w:bCs/>
          <w:sz w:val="22"/>
          <w:szCs w:val="22"/>
          <w:lang w:bidi="ar-SA"/>
        </w:rPr>
      </w:pPr>
    </w:p>
    <w:p w14:paraId="4552D743" w14:textId="77777777" w:rsidR="0060553A" w:rsidRPr="00E32C76" w:rsidRDefault="0060553A" w:rsidP="0060553A">
      <w:pPr>
        <w:pStyle w:val="Prrafodelista2"/>
        <w:ind w:left="0" w:right="-90"/>
        <w:contextualSpacing/>
      </w:pPr>
      <w:r>
        <w:t xml:space="preserve">Por </w:t>
      </w:r>
      <w:r w:rsidRPr="00F24B14">
        <w:t>unanimidad</w:t>
      </w:r>
      <w:r w:rsidRPr="0029137A">
        <w:t>, que:</w:t>
      </w:r>
    </w:p>
    <w:p w14:paraId="1618FA29" w14:textId="77777777" w:rsidR="0060553A" w:rsidRPr="00E32C76" w:rsidRDefault="0060553A" w:rsidP="0060553A">
      <w:pPr>
        <w:pStyle w:val="Prrafodelista"/>
        <w:widowControl w:val="0"/>
        <w:tabs>
          <w:tab w:val="center" w:pos="567"/>
        </w:tabs>
        <w:autoSpaceDE w:val="0"/>
        <w:autoSpaceDN w:val="0"/>
        <w:adjustRightInd w:val="0"/>
        <w:ind w:left="0" w:right="-90"/>
        <w:rPr>
          <w:szCs w:val="20"/>
        </w:rPr>
      </w:pPr>
    </w:p>
    <w:p w14:paraId="5741C20C" w14:textId="77777777" w:rsidR="0060553A" w:rsidRPr="0029137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Esta Sentencia constituye, por sí misma, una forma de reparación.</w:t>
      </w:r>
    </w:p>
    <w:p w14:paraId="10BE2752" w14:textId="77777777" w:rsidR="0060553A" w:rsidRPr="0029137A" w:rsidRDefault="0060553A" w:rsidP="0060553A">
      <w:pPr>
        <w:pStyle w:val="Prrafodelista"/>
        <w:widowControl w:val="0"/>
        <w:tabs>
          <w:tab w:val="center" w:pos="567"/>
        </w:tabs>
        <w:autoSpaceDE w:val="0"/>
        <w:autoSpaceDN w:val="0"/>
        <w:adjustRightInd w:val="0"/>
        <w:ind w:left="0" w:right="-90"/>
        <w:rPr>
          <w:szCs w:val="20"/>
          <w:lang w:val="es-MX"/>
        </w:rPr>
      </w:pPr>
    </w:p>
    <w:p w14:paraId="69F729E9" w14:textId="1C4613DE" w:rsidR="0060553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El Estado debe</w:t>
      </w:r>
      <w:r>
        <w:rPr>
          <w:szCs w:val="20"/>
          <w:lang w:val="es-MX"/>
        </w:rPr>
        <w:t>, dentro del plazo de seis meses contado a partir de la notificación de esta Sentencia,</w:t>
      </w:r>
      <w:r w:rsidRPr="0029137A">
        <w:rPr>
          <w:szCs w:val="20"/>
          <w:lang w:val="es-MX"/>
        </w:rPr>
        <w:t xml:space="preserve"> realizar las publicaci</w:t>
      </w:r>
      <w:r>
        <w:rPr>
          <w:szCs w:val="20"/>
          <w:lang w:val="es-MX"/>
        </w:rPr>
        <w:t xml:space="preserve">ones indicadas en </w:t>
      </w:r>
      <w:r w:rsidR="00390BAC">
        <w:rPr>
          <w:szCs w:val="20"/>
          <w:lang w:val="es-MX"/>
        </w:rPr>
        <w:t>los párrafos 217 y 218</w:t>
      </w:r>
      <w:r w:rsidRPr="0029137A">
        <w:rPr>
          <w:szCs w:val="20"/>
          <w:lang w:val="es-MX"/>
        </w:rPr>
        <w:t xml:space="preserve"> </w:t>
      </w:r>
      <w:r>
        <w:rPr>
          <w:szCs w:val="20"/>
          <w:lang w:val="es-MX"/>
        </w:rPr>
        <w:t xml:space="preserve">de la presente </w:t>
      </w:r>
      <w:r w:rsidRPr="0029137A">
        <w:rPr>
          <w:szCs w:val="20"/>
          <w:lang w:val="es-MX"/>
        </w:rPr>
        <w:t>Sentencia</w:t>
      </w:r>
      <w:r w:rsidR="00E54D1F">
        <w:rPr>
          <w:szCs w:val="20"/>
          <w:lang w:val="es-MX"/>
        </w:rPr>
        <w:t xml:space="preserve"> y</w:t>
      </w:r>
      <w:r w:rsidR="00F658A6">
        <w:rPr>
          <w:szCs w:val="20"/>
          <w:lang w:val="es-MX"/>
        </w:rPr>
        <w:t>,</w:t>
      </w:r>
      <w:r w:rsidR="00E54D1F">
        <w:rPr>
          <w:szCs w:val="20"/>
          <w:lang w:val="es-MX"/>
        </w:rPr>
        <w:t xml:space="preserve"> dentro del plazo de un año a partir de la notificación de esta Sentencia, realizar el acto público de reconocimiento de responsabilidad internacional y otorgar las becas de estudio en los términos fijados en los párrafos </w:t>
      </w:r>
      <w:r w:rsidR="00390BAC">
        <w:rPr>
          <w:szCs w:val="20"/>
          <w:lang w:val="es-MX"/>
        </w:rPr>
        <w:t>215</w:t>
      </w:r>
      <w:r w:rsidR="00E54D1F">
        <w:rPr>
          <w:szCs w:val="20"/>
          <w:lang w:val="es-MX"/>
        </w:rPr>
        <w:t xml:space="preserve"> y </w:t>
      </w:r>
      <w:r w:rsidR="00390BAC">
        <w:rPr>
          <w:szCs w:val="20"/>
          <w:lang w:val="es-MX"/>
        </w:rPr>
        <w:t>220</w:t>
      </w:r>
      <w:r w:rsidR="00E54D1F">
        <w:rPr>
          <w:szCs w:val="20"/>
          <w:lang w:val="es-MX"/>
        </w:rPr>
        <w:t xml:space="preserve"> de la presente Sentencia</w:t>
      </w:r>
      <w:r w:rsidRPr="0029137A">
        <w:rPr>
          <w:szCs w:val="20"/>
          <w:lang w:val="es-MX"/>
        </w:rPr>
        <w:t>.</w:t>
      </w:r>
    </w:p>
    <w:p w14:paraId="28110964" w14:textId="77777777" w:rsidR="0060553A" w:rsidRDefault="0060553A" w:rsidP="0060553A">
      <w:pPr>
        <w:pStyle w:val="Prrafodelista"/>
        <w:widowControl w:val="0"/>
        <w:tabs>
          <w:tab w:val="center" w:pos="567"/>
        </w:tabs>
        <w:autoSpaceDE w:val="0"/>
        <w:autoSpaceDN w:val="0"/>
        <w:adjustRightInd w:val="0"/>
        <w:ind w:left="0" w:right="-90"/>
        <w:rPr>
          <w:szCs w:val="20"/>
          <w:lang w:val="es-MX"/>
        </w:rPr>
      </w:pPr>
    </w:p>
    <w:p w14:paraId="30A20C55" w14:textId="4194EA0D" w:rsidR="0060553A" w:rsidRPr="00E06B74"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Pr>
          <w:szCs w:val="20"/>
          <w:lang w:val="es-MX"/>
        </w:rPr>
        <w:t xml:space="preserve">El Estado debe </w:t>
      </w:r>
      <w:r w:rsidRPr="004A27E5">
        <w:rPr>
          <w:szCs w:val="20"/>
          <w:lang w:val="es-ES"/>
        </w:rPr>
        <w:t>brindar, a través de sus instituciones de salud, la atención médica psicológica de manera gratuita e inmediata a las víctimas</w:t>
      </w:r>
      <w:r w:rsidR="00390BAC">
        <w:rPr>
          <w:szCs w:val="20"/>
          <w:lang w:val="es-ES"/>
        </w:rPr>
        <w:t xml:space="preserve"> y sus familiares</w:t>
      </w:r>
      <w:r>
        <w:rPr>
          <w:szCs w:val="20"/>
          <w:lang w:val="es-ES"/>
        </w:rPr>
        <w:t xml:space="preserve">, en el modo y plazo fijado en </w:t>
      </w:r>
      <w:r w:rsidR="00ED7892">
        <w:rPr>
          <w:szCs w:val="20"/>
          <w:lang w:val="es-ES"/>
        </w:rPr>
        <w:t>los párrafos</w:t>
      </w:r>
      <w:r>
        <w:rPr>
          <w:szCs w:val="20"/>
          <w:lang w:val="es-ES"/>
        </w:rPr>
        <w:t xml:space="preserve"> </w:t>
      </w:r>
      <w:r w:rsidR="00390BAC">
        <w:rPr>
          <w:szCs w:val="20"/>
          <w:lang w:val="es-ES"/>
        </w:rPr>
        <w:t>210, 212 y 213</w:t>
      </w:r>
      <w:r w:rsidR="00ED7892">
        <w:rPr>
          <w:szCs w:val="20"/>
          <w:lang w:val="es-ES"/>
        </w:rPr>
        <w:t xml:space="preserve"> </w:t>
      </w:r>
      <w:r>
        <w:rPr>
          <w:szCs w:val="20"/>
          <w:lang w:val="es-ES"/>
        </w:rPr>
        <w:t>de la presente Sentencia</w:t>
      </w:r>
      <w:r w:rsidRPr="004A27E5">
        <w:rPr>
          <w:szCs w:val="20"/>
          <w:lang w:val="es-ES"/>
        </w:rPr>
        <w:t>.</w:t>
      </w:r>
    </w:p>
    <w:p w14:paraId="14EC5685" w14:textId="77777777" w:rsidR="00E06B74" w:rsidRPr="00E06B74" w:rsidRDefault="00E06B74" w:rsidP="00E06B74">
      <w:pPr>
        <w:pStyle w:val="Prrafodelista"/>
        <w:rPr>
          <w:szCs w:val="20"/>
          <w:lang w:val="es-MX"/>
        </w:rPr>
      </w:pPr>
    </w:p>
    <w:p w14:paraId="406B524E" w14:textId="04AEE56C" w:rsidR="00E06B74" w:rsidRPr="007F1930" w:rsidRDefault="00E06B74" w:rsidP="00E06B74">
      <w:pPr>
        <w:pStyle w:val="Prrafodelista"/>
        <w:widowControl w:val="0"/>
        <w:numPr>
          <w:ilvl w:val="0"/>
          <w:numId w:val="28"/>
        </w:numPr>
        <w:tabs>
          <w:tab w:val="center" w:pos="567"/>
        </w:tabs>
        <w:autoSpaceDE w:val="0"/>
        <w:autoSpaceDN w:val="0"/>
        <w:adjustRightInd w:val="0"/>
        <w:ind w:left="0" w:right="-90" w:hanging="11"/>
        <w:rPr>
          <w:szCs w:val="20"/>
          <w:lang w:val="es-MX"/>
        </w:rPr>
      </w:pPr>
      <w:r>
        <w:rPr>
          <w:szCs w:val="20"/>
          <w:lang w:val="es-MX"/>
        </w:rPr>
        <w:t xml:space="preserve">El Estado debe </w:t>
      </w:r>
      <w:r>
        <w:rPr>
          <w:szCs w:val="20"/>
          <w:lang w:val="es-ES"/>
        </w:rPr>
        <w:t>garantizar</w:t>
      </w:r>
      <w:r w:rsidRPr="004A27E5">
        <w:rPr>
          <w:szCs w:val="20"/>
          <w:lang w:val="es-ES"/>
        </w:rPr>
        <w:t>, a través de sus instituciones de salud,</w:t>
      </w:r>
      <w:r>
        <w:rPr>
          <w:szCs w:val="20"/>
          <w:lang w:val="es-ES"/>
        </w:rPr>
        <w:t xml:space="preserve"> que</w:t>
      </w:r>
      <w:r w:rsidRPr="004A27E5">
        <w:rPr>
          <w:szCs w:val="20"/>
          <w:lang w:val="es-ES"/>
        </w:rPr>
        <w:t xml:space="preserve"> la atención médica </w:t>
      </w:r>
      <w:r>
        <w:rPr>
          <w:szCs w:val="20"/>
          <w:lang w:val="es-ES"/>
        </w:rPr>
        <w:t>se otorgue en la clínica más cercana al lugar de residencia de las víctimas, y que asuma los costos de traslado de aquellas que se encuentren alejadas, en los término</w:t>
      </w:r>
      <w:r w:rsidR="003C01EF">
        <w:rPr>
          <w:szCs w:val="20"/>
          <w:lang w:val="es-ES"/>
        </w:rPr>
        <w:t xml:space="preserve">s fijados en el párrafo </w:t>
      </w:r>
      <w:r w:rsidR="00390BAC">
        <w:rPr>
          <w:szCs w:val="20"/>
          <w:lang w:val="es-ES"/>
        </w:rPr>
        <w:t>211</w:t>
      </w:r>
      <w:r>
        <w:rPr>
          <w:szCs w:val="20"/>
          <w:lang w:val="es-ES"/>
        </w:rPr>
        <w:t xml:space="preserve"> de la presente Sentencia</w:t>
      </w:r>
      <w:r w:rsidRPr="004A27E5">
        <w:rPr>
          <w:szCs w:val="20"/>
          <w:lang w:val="es-ES"/>
        </w:rPr>
        <w:t>.</w:t>
      </w:r>
    </w:p>
    <w:p w14:paraId="0697461D" w14:textId="77777777" w:rsidR="007F1930" w:rsidRPr="007F1930" w:rsidRDefault="007F1930" w:rsidP="007F1930">
      <w:pPr>
        <w:pStyle w:val="Prrafodelista"/>
        <w:rPr>
          <w:szCs w:val="20"/>
          <w:lang w:val="es-MX"/>
        </w:rPr>
      </w:pPr>
    </w:p>
    <w:p w14:paraId="4A8A6C15" w14:textId="2C69BBC8" w:rsidR="007F1930" w:rsidRPr="00E06B74" w:rsidRDefault="007F1930" w:rsidP="00E06B74">
      <w:pPr>
        <w:pStyle w:val="Prrafodelista"/>
        <w:widowControl w:val="0"/>
        <w:numPr>
          <w:ilvl w:val="0"/>
          <w:numId w:val="28"/>
        </w:numPr>
        <w:tabs>
          <w:tab w:val="center" w:pos="567"/>
        </w:tabs>
        <w:autoSpaceDE w:val="0"/>
        <w:autoSpaceDN w:val="0"/>
        <w:adjustRightInd w:val="0"/>
        <w:ind w:left="0" w:right="-90" w:hanging="11"/>
        <w:rPr>
          <w:szCs w:val="20"/>
          <w:lang w:val="es-MX"/>
        </w:rPr>
      </w:pPr>
      <w:r>
        <w:rPr>
          <w:szCs w:val="20"/>
          <w:lang w:val="es-MX"/>
        </w:rPr>
        <w:t xml:space="preserve">El Estado debe </w:t>
      </w:r>
      <w:r w:rsidR="002039C4">
        <w:rPr>
          <w:szCs w:val="20"/>
          <w:lang w:val="es-MX"/>
        </w:rPr>
        <w:t xml:space="preserve">implementar mecanismos de fiscalización y supervisión de los servicios de salud, mejorar la accesibilidad, disponibilidad y calidad de las prestaciones de salud para personas </w:t>
      </w:r>
      <w:r w:rsidR="004117F1">
        <w:rPr>
          <w:szCs w:val="20"/>
          <w:lang w:val="es-MX"/>
        </w:rPr>
        <w:t xml:space="preserve">que viven </w:t>
      </w:r>
      <w:r w:rsidR="002039C4">
        <w:rPr>
          <w:szCs w:val="20"/>
          <w:lang w:val="es-MX"/>
        </w:rPr>
        <w:t>con</w:t>
      </w:r>
      <w:r w:rsidR="004117F1">
        <w:rPr>
          <w:szCs w:val="20"/>
          <w:lang w:val="es-MX"/>
        </w:rPr>
        <w:t xml:space="preserve"> el</w:t>
      </w:r>
      <w:r w:rsidR="002039C4">
        <w:rPr>
          <w:szCs w:val="20"/>
          <w:lang w:val="es-MX"/>
        </w:rPr>
        <w:t xml:space="preserve"> VIH, </w:t>
      </w:r>
      <w:r w:rsidR="00BD0EDF" w:rsidRPr="00A63AF0">
        <w:rPr>
          <w:szCs w:val="20"/>
          <w:lang w:val="es-MX"/>
        </w:rPr>
        <w:t xml:space="preserve">garantizar la provisión de antirretrovirales y la demás medicación </w:t>
      </w:r>
      <w:r w:rsidR="00A24591" w:rsidRPr="00A63AF0">
        <w:rPr>
          <w:szCs w:val="20"/>
          <w:lang w:val="es-MX"/>
        </w:rPr>
        <w:t>indicada</w:t>
      </w:r>
      <w:r w:rsidR="00BD0EDF" w:rsidRPr="00A63AF0">
        <w:rPr>
          <w:szCs w:val="20"/>
          <w:lang w:val="es-MX"/>
        </w:rPr>
        <w:t xml:space="preserve"> a toda persona afectada</w:t>
      </w:r>
      <w:r w:rsidR="00A24591" w:rsidRPr="00A63AF0">
        <w:rPr>
          <w:szCs w:val="20"/>
          <w:lang w:val="es-MX"/>
        </w:rPr>
        <w:t>, ofrecer a la población las pruebas diagnósticas para detección del VIH,</w:t>
      </w:r>
      <w:r w:rsidR="00A24591">
        <w:rPr>
          <w:szCs w:val="20"/>
          <w:lang w:val="es-MX"/>
        </w:rPr>
        <w:t xml:space="preserve"> </w:t>
      </w:r>
      <w:r w:rsidR="002039C4">
        <w:rPr>
          <w:szCs w:val="20"/>
          <w:lang w:val="es-MX"/>
        </w:rPr>
        <w:t>implementar un programa de capacitación para funcionarios del sistema de salud, garantizar tratamiento médico adecuado a mujeres embarazadas</w:t>
      </w:r>
      <w:r w:rsidR="004117F1">
        <w:rPr>
          <w:szCs w:val="20"/>
          <w:lang w:val="es-MX"/>
        </w:rPr>
        <w:t xml:space="preserve"> que viven</w:t>
      </w:r>
      <w:r w:rsidR="002039C4">
        <w:rPr>
          <w:szCs w:val="20"/>
          <w:lang w:val="es-MX"/>
        </w:rPr>
        <w:t xml:space="preserve"> con</w:t>
      </w:r>
      <w:r w:rsidR="004117F1">
        <w:rPr>
          <w:szCs w:val="20"/>
          <w:lang w:val="es-MX"/>
        </w:rPr>
        <w:t xml:space="preserve"> el</w:t>
      </w:r>
      <w:r w:rsidR="002039C4">
        <w:rPr>
          <w:szCs w:val="20"/>
          <w:lang w:val="es-MX"/>
        </w:rPr>
        <w:t xml:space="preserve"> VIH, y realizar una campaña nacional de concientización y sensibilización</w:t>
      </w:r>
      <w:r w:rsidR="005E0561">
        <w:rPr>
          <w:szCs w:val="20"/>
          <w:lang w:val="es-MX"/>
        </w:rPr>
        <w:t xml:space="preserve"> en los términos f</w:t>
      </w:r>
      <w:r w:rsidR="002039C4">
        <w:rPr>
          <w:szCs w:val="20"/>
          <w:lang w:val="es-MX"/>
        </w:rPr>
        <w:t xml:space="preserve">ijados en los párrafos </w:t>
      </w:r>
      <w:r w:rsidR="00390BAC" w:rsidRPr="00390BAC">
        <w:rPr>
          <w:szCs w:val="20"/>
          <w:lang w:val="es-MX"/>
        </w:rPr>
        <w:t>225</w:t>
      </w:r>
      <w:r w:rsidR="002039C4" w:rsidRPr="00390BAC">
        <w:rPr>
          <w:szCs w:val="20"/>
          <w:lang w:val="es-MX"/>
        </w:rPr>
        <w:t xml:space="preserve"> a </w:t>
      </w:r>
      <w:r w:rsidR="00390BAC">
        <w:rPr>
          <w:szCs w:val="20"/>
          <w:lang w:val="es-MX"/>
        </w:rPr>
        <w:t>230</w:t>
      </w:r>
      <w:r w:rsidR="005E0561">
        <w:rPr>
          <w:szCs w:val="20"/>
          <w:lang w:val="es-MX"/>
        </w:rPr>
        <w:t xml:space="preserve"> de la Sentencia.</w:t>
      </w:r>
    </w:p>
    <w:p w14:paraId="53BFEBE6" w14:textId="77777777" w:rsidR="0060553A" w:rsidRDefault="0060553A" w:rsidP="0060553A">
      <w:pPr>
        <w:pStyle w:val="Prrafodelista"/>
        <w:widowControl w:val="0"/>
        <w:tabs>
          <w:tab w:val="center" w:pos="567"/>
        </w:tabs>
        <w:autoSpaceDE w:val="0"/>
        <w:autoSpaceDN w:val="0"/>
        <w:adjustRightInd w:val="0"/>
        <w:ind w:left="0" w:right="-90"/>
        <w:rPr>
          <w:szCs w:val="20"/>
          <w:lang w:val="es-MX"/>
        </w:rPr>
      </w:pPr>
    </w:p>
    <w:p w14:paraId="791F4111" w14:textId="113EF268" w:rsidR="0060553A" w:rsidRPr="005F2849"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5F2849">
        <w:rPr>
          <w:szCs w:val="20"/>
          <w:lang w:val="es-MX"/>
        </w:rPr>
        <w:t xml:space="preserve">El Estado debe pagar las cantidades fijadas en </w:t>
      </w:r>
      <w:r>
        <w:rPr>
          <w:szCs w:val="20"/>
          <w:lang w:val="es-MX"/>
        </w:rPr>
        <w:t>los párrafos</w:t>
      </w:r>
      <w:r w:rsidR="002039C4">
        <w:rPr>
          <w:szCs w:val="20"/>
          <w:lang w:val="es-MX"/>
        </w:rPr>
        <w:t xml:space="preserve"> </w:t>
      </w:r>
      <w:r w:rsidR="003772E2">
        <w:rPr>
          <w:szCs w:val="20"/>
          <w:lang w:val="es-MX"/>
        </w:rPr>
        <w:t>234</w:t>
      </w:r>
      <w:r w:rsidR="005E0561">
        <w:rPr>
          <w:szCs w:val="20"/>
          <w:lang w:val="es-MX"/>
        </w:rPr>
        <w:t>,</w:t>
      </w:r>
      <w:r w:rsidR="002039C4">
        <w:rPr>
          <w:szCs w:val="20"/>
          <w:lang w:val="es-MX"/>
        </w:rPr>
        <w:t xml:space="preserve"> </w:t>
      </w:r>
      <w:r w:rsidR="003772E2">
        <w:rPr>
          <w:szCs w:val="20"/>
          <w:lang w:val="es-MX"/>
        </w:rPr>
        <w:t>239</w:t>
      </w:r>
      <w:r w:rsidR="005E0561">
        <w:rPr>
          <w:szCs w:val="20"/>
          <w:lang w:val="es-MX"/>
        </w:rPr>
        <w:t xml:space="preserve"> y </w:t>
      </w:r>
      <w:r w:rsidR="003772E2">
        <w:rPr>
          <w:szCs w:val="20"/>
          <w:lang w:val="es-MX"/>
        </w:rPr>
        <w:t>243</w:t>
      </w:r>
      <w:r w:rsidRPr="005F2849">
        <w:rPr>
          <w:szCs w:val="20"/>
          <w:lang w:val="es-MX"/>
        </w:rPr>
        <w:t xml:space="preserve"> de la presente Sentencia, por concepto de compensación por daño material e inmaterial y por el reintegro de costas y gastos.</w:t>
      </w:r>
    </w:p>
    <w:p w14:paraId="3F103225" w14:textId="77777777" w:rsidR="0060553A" w:rsidRPr="00BF545D" w:rsidRDefault="0060553A" w:rsidP="0060553A">
      <w:pPr>
        <w:pStyle w:val="Prrafodelista"/>
        <w:widowControl w:val="0"/>
        <w:tabs>
          <w:tab w:val="center" w:pos="567"/>
        </w:tabs>
        <w:autoSpaceDE w:val="0"/>
        <w:autoSpaceDN w:val="0"/>
        <w:adjustRightInd w:val="0"/>
        <w:ind w:left="0" w:right="-90"/>
        <w:rPr>
          <w:szCs w:val="20"/>
          <w:lang w:val="es-MX"/>
        </w:rPr>
      </w:pPr>
    </w:p>
    <w:p w14:paraId="6B6090C7" w14:textId="442E093B" w:rsidR="0060553A" w:rsidRPr="0029137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El Estado debe reintegrar al Fondo de Asistencia Legal de Víctimas de la Corte Interamericana de Derechos Humanos</w:t>
      </w:r>
      <w:r>
        <w:rPr>
          <w:szCs w:val="20"/>
          <w:lang w:val="es-MX"/>
        </w:rPr>
        <w:t>,</w:t>
      </w:r>
      <w:r w:rsidRPr="0029137A">
        <w:rPr>
          <w:szCs w:val="20"/>
          <w:lang w:val="es-MX"/>
        </w:rPr>
        <w:t xml:space="preserve"> la cantidad erogada durante la tramitación del presente caso, en los términos del párrafo </w:t>
      </w:r>
      <w:r w:rsidR="003772E2">
        <w:rPr>
          <w:szCs w:val="20"/>
          <w:lang w:val="es-MX"/>
        </w:rPr>
        <w:t>245</w:t>
      </w:r>
      <w:r w:rsidRPr="0029137A">
        <w:rPr>
          <w:szCs w:val="20"/>
          <w:lang w:val="es-MX"/>
        </w:rPr>
        <w:t xml:space="preserve"> de esta Sentencia.</w:t>
      </w:r>
    </w:p>
    <w:p w14:paraId="729F0C3D" w14:textId="77777777" w:rsidR="0060553A" w:rsidRPr="00BF545D" w:rsidRDefault="0060553A" w:rsidP="0060553A">
      <w:pPr>
        <w:pStyle w:val="Prrafodelista"/>
        <w:widowControl w:val="0"/>
        <w:tabs>
          <w:tab w:val="center" w:pos="567"/>
        </w:tabs>
        <w:autoSpaceDE w:val="0"/>
        <w:autoSpaceDN w:val="0"/>
        <w:adjustRightInd w:val="0"/>
        <w:ind w:left="0" w:right="-90"/>
        <w:rPr>
          <w:szCs w:val="20"/>
          <w:lang w:val="es-MX"/>
        </w:rPr>
      </w:pPr>
    </w:p>
    <w:p w14:paraId="5AA57A38" w14:textId="16ED3B62" w:rsidR="0060553A" w:rsidRPr="0029137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El Estado debe, dentro del plazo de un año contado a partir de la notificación de esta Sentencia, rendir al Tribunal un informe sobre las medidas adoptadas para cumplir con la misma.</w:t>
      </w:r>
    </w:p>
    <w:p w14:paraId="194E8C24" w14:textId="77777777" w:rsidR="0060553A" w:rsidRPr="00BF545D" w:rsidRDefault="0060553A" w:rsidP="0060553A">
      <w:pPr>
        <w:pStyle w:val="Prrafodelista"/>
        <w:widowControl w:val="0"/>
        <w:tabs>
          <w:tab w:val="center" w:pos="567"/>
        </w:tabs>
        <w:autoSpaceDE w:val="0"/>
        <w:autoSpaceDN w:val="0"/>
        <w:adjustRightInd w:val="0"/>
        <w:ind w:left="0" w:right="-90"/>
        <w:rPr>
          <w:szCs w:val="20"/>
          <w:lang w:val="es-MX"/>
        </w:rPr>
      </w:pPr>
    </w:p>
    <w:p w14:paraId="7562F3BA" w14:textId="77777777" w:rsidR="0060553A" w:rsidRPr="0029137A" w:rsidRDefault="0060553A" w:rsidP="0060553A">
      <w:pPr>
        <w:pStyle w:val="Prrafodelista"/>
        <w:widowControl w:val="0"/>
        <w:numPr>
          <w:ilvl w:val="0"/>
          <w:numId w:val="28"/>
        </w:numPr>
        <w:tabs>
          <w:tab w:val="center" w:pos="567"/>
        </w:tabs>
        <w:autoSpaceDE w:val="0"/>
        <w:autoSpaceDN w:val="0"/>
        <w:adjustRightInd w:val="0"/>
        <w:ind w:left="0" w:right="-90" w:hanging="11"/>
        <w:rPr>
          <w:szCs w:val="20"/>
          <w:lang w:val="es-MX"/>
        </w:rPr>
      </w:pPr>
      <w:r w:rsidRPr="0029137A">
        <w:rPr>
          <w:szCs w:val="20"/>
          <w:lang w:val="es-MX"/>
        </w:rPr>
        <w:t xml:space="preserve">La Corte supervisará el cumplimiento íntegro de esta Sentencia, en ejercicio de sus atribuciones y en cumplimiento de sus deberes conforme a la Convención Americana sobre </w:t>
      </w:r>
      <w:r w:rsidRPr="0029137A">
        <w:rPr>
          <w:szCs w:val="20"/>
          <w:lang w:val="es-MX"/>
        </w:rPr>
        <w:lastRenderedPageBreak/>
        <w:t>Derechos Humanos, y dará por concluido el presente caso una vez que el Estado haya dado cabal cumplimiento a lo dispuesto en la misma.</w:t>
      </w:r>
    </w:p>
    <w:p w14:paraId="702D1EAE" w14:textId="77777777" w:rsidR="0060553A" w:rsidRDefault="0060553A" w:rsidP="0060553A">
      <w:pPr>
        <w:rPr>
          <w:lang w:val="es-MX"/>
        </w:rPr>
      </w:pPr>
    </w:p>
    <w:p w14:paraId="0DFED9A6" w14:textId="05873322" w:rsidR="0060553A" w:rsidRDefault="00DD38ED" w:rsidP="0060553A">
      <w:pPr>
        <w:rPr>
          <w:lang w:val="es-MX"/>
        </w:rPr>
      </w:pPr>
      <w:r w:rsidRPr="00E44260">
        <w:rPr>
          <w:lang w:val="es-MX"/>
        </w:rPr>
        <w:t>El Juez Eduardo Ferrer Mac-Gregor Poisot dio a conocer a la Corte su voto individual concurrente, al que se adhieron la Jueza Elizabeth Odio Benito y el Juez Patricio Pazmiño Freire. El Juez Humberto Antonio Sierra Porto dio a conocer a la Corte su voto individual parcialmente disidente.</w:t>
      </w:r>
    </w:p>
    <w:p w14:paraId="04F06018" w14:textId="77777777" w:rsidR="0060553A" w:rsidRDefault="0060553A" w:rsidP="0060553A">
      <w:pPr>
        <w:rPr>
          <w:szCs w:val="20"/>
          <w:lang w:val="es-MX"/>
        </w:rPr>
      </w:pPr>
    </w:p>
    <w:p w14:paraId="2E798517" w14:textId="77777777" w:rsidR="0060553A" w:rsidRDefault="0060553A" w:rsidP="0060553A">
      <w:pPr>
        <w:rPr>
          <w:szCs w:val="20"/>
          <w:lang w:val="es-MX"/>
        </w:rPr>
      </w:pPr>
    </w:p>
    <w:p w14:paraId="06F391BC" w14:textId="018415F2" w:rsidR="0060553A" w:rsidRDefault="0060553A" w:rsidP="0060553A">
      <w:pPr>
        <w:rPr>
          <w:szCs w:val="20"/>
          <w:lang w:val="es-MX"/>
        </w:rPr>
      </w:pPr>
      <w:r>
        <w:rPr>
          <w:szCs w:val="20"/>
          <w:lang w:val="es-MX"/>
        </w:rPr>
        <w:t xml:space="preserve">Emitida en español en San José, Costa Rica, el </w:t>
      </w:r>
      <w:r w:rsidR="00A63AF0">
        <w:rPr>
          <w:szCs w:val="20"/>
          <w:lang w:val="es-MX"/>
        </w:rPr>
        <w:t>23</w:t>
      </w:r>
      <w:r>
        <w:rPr>
          <w:szCs w:val="20"/>
          <w:lang w:val="es-MX"/>
        </w:rPr>
        <w:t xml:space="preserve"> de </w:t>
      </w:r>
      <w:r w:rsidR="002039C4">
        <w:rPr>
          <w:szCs w:val="20"/>
          <w:lang w:val="es-MX"/>
        </w:rPr>
        <w:t>agosto</w:t>
      </w:r>
      <w:r>
        <w:rPr>
          <w:szCs w:val="20"/>
          <w:lang w:val="es-MX"/>
        </w:rPr>
        <w:t xml:space="preserve"> de 2018.</w:t>
      </w:r>
    </w:p>
    <w:p w14:paraId="5385CAC3" w14:textId="77777777" w:rsidR="0060553A" w:rsidRPr="0060553A" w:rsidRDefault="0060553A" w:rsidP="0060553A">
      <w:pPr>
        <w:tabs>
          <w:tab w:val="left" w:pos="709"/>
        </w:tabs>
        <w:spacing w:before="240"/>
        <w:rPr>
          <w:lang w:val="es-MX"/>
        </w:rPr>
      </w:pPr>
    </w:p>
    <w:p w14:paraId="600D8A34" w14:textId="77777777" w:rsidR="00C571EC" w:rsidRDefault="00C571EC">
      <w:pPr>
        <w:spacing w:after="200" w:line="276" w:lineRule="auto"/>
        <w:jc w:val="left"/>
      </w:pPr>
      <w:r>
        <w:br w:type="page"/>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34"/>
        <w:gridCol w:w="26"/>
        <w:gridCol w:w="2950"/>
        <w:gridCol w:w="567"/>
        <w:gridCol w:w="4927"/>
      </w:tblGrid>
      <w:tr w:rsidR="00C571EC" w:rsidRPr="0068359D" w14:paraId="6FD03B0B" w14:textId="77777777" w:rsidTr="00F608A7">
        <w:trPr>
          <w:trHeight w:val="983"/>
        </w:trPr>
        <w:tc>
          <w:tcPr>
            <w:tcW w:w="9004" w:type="dxa"/>
            <w:gridSpan w:val="5"/>
          </w:tcPr>
          <w:p w14:paraId="65AE6E74" w14:textId="7CA6214A" w:rsidR="00C571EC" w:rsidRPr="0068359D" w:rsidRDefault="00F658A6" w:rsidP="009369B5">
            <w:pPr>
              <w:pStyle w:val="Ttulo1"/>
              <w:spacing w:after="0"/>
              <w:outlineLvl w:val="0"/>
            </w:pPr>
            <w:bookmarkStart w:id="149" w:name="_Toc527466507"/>
            <w:r>
              <w:lastRenderedPageBreak/>
              <w:t>ANEXO 1</w:t>
            </w:r>
            <w:r w:rsidR="00C571EC" w:rsidRPr="0068359D">
              <w:t>. LISTADO DE</w:t>
            </w:r>
            <w:r w:rsidR="009A21C5">
              <w:t xml:space="preserve"> presuntas</w:t>
            </w:r>
            <w:r w:rsidR="00C571EC" w:rsidRPr="0068359D">
              <w:t xml:space="preserve"> VÍCTIMAS</w:t>
            </w:r>
            <w:r>
              <w:t xml:space="preserve"> REMITIDO POR LA </w:t>
            </w:r>
            <w:r w:rsidR="009369B5">
              <w:t>cidh</w:t>
            </w:r>
            <w:bookmarkEnd w:id="149"/>
          </w:p>
        </w:tc>
      </w:tr>
      <w:tr w:rsidR="00C571EC" w:rsidRPr="00F658A6" w14:paraId="25BF26CC" w14:textId="77777777" w:rsidTr="00F608A7">
        <w:tc>
          <w:tcPr>
            <w:tcW w:w="9004" w:type="dxa"/>
            <w:gridSpan w:val="5"/>
          </w:tcPr>
          <w:p w14:paraId="22760C36" w14:textId="1B9F7434" w:rsidR="00C571EC" w:rsidRPr="00F658A6" w:rsidRDefault="00C571EC" w:rsidP="00F608A7">
            <w:pPr>
              <w:jc w:val="center"/>
              <w:rPr>
                <w:b/>
                <w:sz w:val="16"/>
                <w:szCs w:val="16"/>
              </w:rPr>
            </w:pPr>
            <w:r w:rsidRPr="00F658A6">
              <w:rPr>
                <w:b/>
                <w:sz w:val="16"/>
                <w:szCs w:val="16"/>
              </w:rPr>
              <w:t xml:space="preserve">A. </w:t>
            </w:r>
            <w:r w:rsidR="00F658A6" w:rsidRPr="00F658A6">
              <w:rPr>
                <w:b/>
                <w:sz w:val="16"/>
                <w:szCs w:val="16"/>
              </w:rPr>
              <w:t xml:space="preserve">PRESUNTAS </w:t>
            </w:r>
            <w:r w:rsidRPr="00F658A6">
              <w:rPr>
                <w:b/>
                <w:sz w:val="16"/>
                <w:szCs w:val="16"/>
              </w:rPr>
              <w:t>VÍCTIMAS FALLECIDAS</w:t>
            </w:r>
          </w:p>
        </w:tc>
      </w:tr>
      <w:tr w:rsidR="00C571EC" w:rsidRPr="00F658A6" w14:paraId="38BFD19A" w14:textId="77777777" w:rsidTr="00F608A7">
        <w:tc>
          <w:tcPr>
            <w:tcW w:w="534" w:type="dxa"/>
          </w:tcPr>
          <w:p w14:paraId="314015E9" w14:textId="754928AF" w:rsidR="00C571EC" w:rsidRPr="00F658A6" w:rsidRDefault="00F658A6" w:rsidP="00F608A7">
            <w:pPr>
              <w:jc w:val="center"/>
              <w:rPr>
                <w:b/>
                <w:sz w:val="16"/>
                <w:szCs w:val="16"/>
              </w:rPr>
            </w:pPr>
            <w:r>
              <w:rPr>
                <w:b/>
                <w:sz w:val="16"/>
                <w:szCs w:val="16"/>
              </w:rPr>
              <w:t>N°</w:t>
            </w:r>
          </w:p>
        </w:tc>
        <w:tc>
          <w:tcPr>
            <w:tcW w:w="2976" w:type="dxa"/>
            <w:gridSpan w:val="2"/>
          </w:tcPr>
          <w:p w14:paraId="02954F29" w14:textId="78C93B75" w:rsidR="00C571EC" w:rsidRPr="00F658A6" w:rsidRDefault="00F658A6" w:rsidP="00F608A7">
            <w:pPr>
              <w:jc w:val="center"/>
              <w:rPr>
                <w:b/>
                <w:sz w:val="16"/>
                <w:szCs w:val="16"/>
              </w:rPr>
            </w:pPr>
            <w:r w:rsidRPr="00F658A6">
              <w:rPr>
                <w:b/>
                <w:sz w:val="16"/>
                <w:szCs w:val="16"/>
              </w:rPr>
              <w:t xml:space="preserve">PRESUNTA </w:t>
            </w:r>
            <w:r w:rsidR="00C571EC" w:rsidRPr="00F658A6">
              <w:rPr>
                <w:b/>
                <w:sz w:val="16"/>
                <w:szCs w:val="16"/>
              </w:rPr>
              <w:t>VÍCTIMA</w:t>
            </w:r>
          </w:p>
        </w:tc>
        <w:tc>
          <w:tcPr>
            <w:tcW w:w="567" w:type="dxa"/>
          </w:tcPr>
          <w:p w14:paraId="350A7E42" w14:textId="1D9A5EEC" w:rsidR="00C571EC" w:rsidRPr="00F658A6" w:rsidRDefault="00C571EC" w:rsidP="00F608A7">
            <w:pPr>
              <w:jc w:val="center"/>
              <w:rPr>
                <w:b/>
                <w:sz w:val="16"/>
                <w:szCs w:val="16"/>
              </w:rPr>
            </w:pPr>
            <w:r w:rsidRPr="00F658A6">
              <w:rPr>
                <w:b/>
                <w:sz w:val="16"/>
                <w:szCs w:val="16"/>
              </w:rPr>
              <w:t>N</w:t>
            </w:r>
            <w:r w:rsidR="00F658A6">
              <w:rPr>
                <w:b/>
                <w:sz w:val="16"/>
                <w:szCs w:val="16"/>
              </w:rPr>
              <w:t>°</w:t>
            </w:r>
          </w:p>
        </w:tc>
        <w:tc>
          <w:tcPr>
            <w:tcW w:w="4927" w:type="dxa"/>
          </w:tcPr>
          <w:p w14:paraId="6E9A83D1" w14:textId="1A596677" w:rsidR="00C571EC" w:rsidRPr="00F658A6" w:rsidRDefault="00801BAD" w:rsidP="00F608A7">
            <w:pPr>
              <w:jc w:val="center"/>
              <w:rPr>
                <w:b/>
                <w:sz w:val="16"/>
                <w:szCs w:val="16"/>
              </w:rPr>
            </w:pPr>
            <w:r w:rsidRPr="00F658A6">
              <w:rPr>
                <w:b/>
                <w:sz w:val="16"/>
                <w:szCs w:val="16"/>
              </w:rPr>
              <w:t>FAMILIARES</w:t>
            </w:r>
          </w:p>
        </w:tc>
      </w:tr>
      <w:tr w:rsidR="00C571EC" w:rsidRPr="00F658A6" w14:paraId="64DBCB4D" w14:textId="77777777" w:rsidTr="00F608A7">
        <w:tc>
          <w:tcPr>
            <w:tcW w:w="534" w:type="dxa"/>
            <w:vMerge w:val="restart"/>
            <w:vAlign w:val="center"/>
          </w:tcPr>
          <w:p w14:paraId="31D8D158" w14:textId="77777777" w:rsidR="00C571EC" w:rsidRPr="00F658A6" w:rsidRDefault="00C571EC" w:rsidP="00F608A7">
            <w:pPr>
              <w:jc w:val="left"/>
              <w:rPr>
                <w:sz w:val="16"/>
                <w:szCs w:val="16"/>
              </w:rPr>
            </w:pPr>
            <w:r w:rsidRPr="00F658A6">
              <w:rPr>
                <w:sz w:val="16"/>
                <w:szCs w:val="16"/>
              </w:rPr>
              <w:t>1</w:t>
            </w:r>
          </w:p>
        </w:tc>
        <w:tc>
          <w:tcPr>
            <w:tcW w:w="2976" w:type="dxa"/>
            <w:gridSpan w:val="2"/>
            <w:vMerge w:val="restart"/>
            <w:vAlign w:val="center"/>
          </w:tcPr>
          <w:p w14:paraId="16124CBF" w14:textId="5AFAFC20" w:rsidR="00C571EC" w:rsidRPr="00F658A6" w:rsidRDefault="00C571EC" w:rsidP="00F608A7">
            <w:pPr>
              <w:jc w:val="left"/>
              <w:rPr>
                <w:sz w:val="16"/>
                <w:szCs w:val="16"/>
              </w:rPr>
            </w:pPr>
            <w:r w:rsidRPr="00F658A6">
              <w:rPr>
                <w:sz w:val="16"/>
                <w:szCs w:val="16"/>
              </w:rPr>
              <w:t>Facundo Gómez Reyes</w:t>
            </w:r>
          </w:p>
          <w:p w14:paraId="65E3F2FC" w14:textId="77777777" w:rsidR="009D4A7A" w:rsidRPr="00F658A6" w:rsidRDefault="009D4A7A" w:rsidP="00F608A7">
            <w:pPr>
              <w:jc w:val="left"/>
              <w:rPr>
                <w:sz w:val="16"/>
                <w:szCs w:val="16"/>
              </w:rPr>
            </w:pPr>
          </w:p>
        </w:tc>
        <w:tc>
          <w:tcPr>
            <w:tcW w:w="567" w:type="dxa"/>
            <w:tcBorders>
              <w:bottom w:val="single" w:sz="4" w:space="0" w:color="auto"/>
            </w:tcBorders>
            <w:vAlign w:val="center"/>
          </w:tcPr>
          <w:p w14:paraId="74ED9B77" w14:textId="77777777" w:rsidR="00C571EC" w:rsidRPr="00F658A6" w:rsidRDefault="00C571EC" w:rsidP="00F608A7">
            <w:pPr>
              <w:jc w:val="left"/>
              <w:rPr>
                <w:sz w:val="16"/>
                <w:szCs w:val="16"/>
              </w:rPr>
            </w:pPr>
            <w:r w:rsidRPr="00F658A6">
              <w:rPr>
                <w:sz w:val="16"/>
                <w:szCs w:val="16"/>
              </w:rPr>
              <w:t>1</w:t>
            </w:r>
          </w:p>
        </w:tc>
        <w:tc>
          <w:tcPr>
            <w:tcW w:w="4927" w:type="dxa"/>
            <w:tcBorders>
              <w:bottom w:val="single" w:sz="4" w:space="0" w:color="auto"/>
            </w:tcBorders>
            <w:vAlign w:val="center"/>
          </w:tcPr>
          <w:p w14:paraId="5A720FFA" w14:textId="1E19BDB1" w:rsidR="00C571EC" w:rsidRPr="00F658A6" w:rsidRDefault="00C571EC" w:rsidP="00F608A7">
            <w:pPr>
              <w:jc w:val="left"/>
              <w:rPr>
                <w:sz w:val="16"/>
                <w:szCs w:val="16"/>
              </w:rPr>
            </w:pPr>
            <w:r w:rsidRPr="00F658A6">
              <w:rPr>
                <w:sz w:val="16"/>
                <w:szCs w:val="16"/>
              </w:rPr>
              <w:t>M</w:t>
            </w:r>
            <w:r w:rsidR="00C03348" w:rsidRPr="00F658A6">
              <w:rPr>
                <w:sz w:val="16"/>
                <w:szCs w:val="16"/>
              </w:rPr>
              <w:t>aría Elena Morales Villafuerte (Espos</w:t>
            </w:r>
            <w:r w:rsidRPr="00F658A6">
              <w:rPr>
                <w:sz w:val="16"/>
                <w:szCs w:val="16"/>
              </w:rPr>
              <w:t>a)</w:t>
            </w:r>
          </w:p>
        </w:tc>
      </w:tr>
      <w:tr w:rsidR="00C571EC" w:rsidRPr="00F658A6" w14:paraId="5F1CDCEB" w14:textId="77777777" w:rsidTr="00F608A7">
        <w:tc>
          <w:tcPr>
            <w:tcW w:w="534" w:type="dxa"/>
            <w:vMerge/>
            <w:vAlign w:val="center"/>
          </w:tcPr>
          <w:p w14:paraId="5F132EE0" w14:textId="77777777" w:rsidR="00C571EC" w:rsidRPr="00F658A6" w:rsidRDefault="00C571EC" w:rsidP="00F608A7">
            <w:pPr>
              <w:jc w:val="left"/>
              <w:rPr>
                <w:sz w:val="16"/>
                <w:szCs w:val="16"/>
              </w:rPr>
            </w:pPr>
          </w:p>
        </w:tc>
        <w:tc>
          <w:tcPr>
            <w:tcW w:w="2976" w:type="dxa"/>
            <w:gridSpan w:val="2"/>
            <w:vMerge/>
            <w:vAlign w:val="center"/>
          </w:tcPr>
          <w:p w14:paraId="7DFA2269" w14:textId="77777777" w:rsidR="00C571EC" w:rsidRPr="00F658A6" w:rsidRDefault="00C571EC" w:rsidP="00F608A7">
            <w:pPr>
              <w:jc w:val="left"/>
              <w:rPr>
                <w:sz w:val="16"/>
                <w:szCs w:val="16"/>
              </w:rPr>
            </w:pPr>
          </w:p>
        </w:tc>
        <w:tc>
          <w:tcPr>
            <w:tcW w:w="567" w:type="dxa"/>
            <w:tcBorders>
              <w:bottom w:val="single" w:sz="4" w:space="0" w:color="auto"/>
            </w:tcBorders>
            <w:vAlign w:val="center"/>
          </w:tcPr>
          <w:p w14:paraId="00070A96" w14:textId="77777777" w:rsidR="00C571EC" w:rsidRPr="00F658A6" w:rsidRDefault="00C571EC" w:rsidP="00F608A7">
            <w:pPr>
              <w:jc w:val="left"/>
              <w:rPr>
                <w:sz w:val="16"/>
                <w:szCs w:val="16"/>
              </w:rPr>
            </w:pPr>
            <w:r w:rsidRPr="00F658A6">
              <w:rPr>
                <w:sz w:val="16"/>
                <w:szCs w:val="16"/>
              </w:rPr>
              <w:t>2</w:t>
            </w:r>
          </w:p>
        </w:tc>
        <w:tc>
          <w:tcPr>
            <w:tcW w:w="4927" w:type="dxa"/>
            <w:tcBorders>
              <w:bottom w:val="single" w:sz="4" w:space="0" w:color="auto"/>
            </w:tcBorders>
            <w:vAlign w:val="center"/>
          </w:tcPr>
          <w:p w14:paraId="292DDA4F" w14:textId="2801C9AA" w:rsidR="00C571EC" w:rsidRPr="00F658A6" w:rsidRDefault="00C571EC" w:rsidP="00F608A7">
            <w:pPr>
              <w:jc w:val="left"/>
              <w:rPr>
                <w:sz w:val="16"/>
                <w:szCs w:val="16"/>
              </w:rPr>
            </w:pPr>
            <w:r w:rsidRPr="00F658A6">
              <w:rPr>
                <w:sz w:val="16"/>
                <w:szCs w:val="16"/>
              </w:rPr>
              <w:t xml:space="preserve">Brandon David </w:t>
            </w:r>
            <w:r w:rsidR="0002668E" w:rsidRPr="00F658A6">
              <w:rPr>
                <w:sz w:val="16"/>
                <w:szCs w:val="16"/>
              </w:rPr>
              <w:t xml:space="preserve">Adalberto </w:t>
            </w:r>
            <w:r w:rsidRPr="00F658A6">
              <w:rPr>
                <w:sz w:val="16"/>
                <w:szCs w:val="16"/>
              </w:rPr>
              <w:t>Gómez Morales (Hijo)</w:t>
            </w:r>
          </w:p>
        </w:tc>
      </w:tr>
      <w:tr w:rsidR="00C571EC" w:rsidRPr="00F658A6" w14:paraId="76682A95" w14:textId="77777777" w:rsidTr="00F608A7">
        <w:tc>
          <w:tcPr>
            <w:tcW w:w="534" w:type="dxa"/>
            <w:vAlign w:val="center"/>
          </w:tcPr>
          <w:p w14:paraId="01068D1D" w14:textId="77777777" w:rsidR="00C571EC" w:rsidRPr="00F658A6" w:rsidRDefault="00C571EC" w:rsidP="00F608A7">
            <w:pPr>
              <w:jc w:val="left"/>
              <w:rPr>
                <w:sz w:val="16"/>
                <w:szCs w:val="16"/>
              </w:rPr>
            </w:pPr>
            <w:r w:rsidRPr="00F658A6">
              <w:rPr>
                <w:sz w:val="16"/>
                <w:szCs w:val="16"/>
              </w:rPr>
              <w:t>2</w:t>
            </w:r>
          </w:p>
        </w:tc>
        <w:tc>
          <w:tcPr>
            <w:tcW w:w="2976" w:type="dxa"/>
            <w:gridSpan w:val="2"/>
            <w:tcBorders>
              <w:top w:val="single" w:sz="4" w:space="0" w:color="auto"/>
            </w:tcBorders>
            <w:vAlign w:val="center"/>
          </w:tcPr>
          <w:p w14:paraId="73604B9A" w14:textId="69A744CB" w:rsidR="00C571EC" w:rsidRPr="00F658A6" w:rsidRDefault="00C571EC" w:rsidP="00F608A7">
            <w:pPr>
              <w:jc w:val="left"/>
              <w:rPr>
                <w:sz w:val="16"/>
                <w:szCs w:val="16"/>
              </w:rPr>
            </w:pPr>
            <w:r w:rsidRPr="00F658A6">
              <w:rPr>
                <w:sz w:val="16"/>
                <w:szCs w:val="16"/>
              </w:rPr>
              <w:t>Reina López Mujica</w:t>
            </w:r>
          </w:p>
        </w:tc>
        <w:tc>
          <w:tcPr>
            <w:tcW w:w="567" w:type="dxa"/>
            <w:tcBorders>
              <w:top w:val="single" w:sz="4" w:space="0" w:color="auto"/>
            </w:tcBorders>
            <w:vAlign w:val="center"/>
          </w:tcPr>
          <w:p w14:paraId="50414A62" w14:textId="77777777" w:rsidR="00C571EC" w:rsidRPr="00F658A6" w:rsidRDefault="00C571EC" w:rsidP="00F608A7">
            <w:pPr>
              <w:jc w:val="left"/>
              <w:rPr>
                <w:sz w:val="16"/>
                <w:szCs w:val="16"/>
              </w:rPr>
            </w:pPr>
          </w:p>
        </w:tc>
        <w:tc>
          <w:tcPr>
            <w:tcW w:w="4927" w:type="dxa"/>
            <w:tcBorders>
              <w:top w:val="single" w:sz="4" w:space="0" w:color="auto"/>
            </w:tcBorders>
            <w:vAlign w:val="center"/>
          </w:tcPr>
          <w:p w14:paraId="73CF6525" w14:textId="65D6E1C8" w:rsidR="00C571EC" w:rsidRPr="00F658A6" w:rsidRDefault="0097610B" w:rsidP="00F608A7">
            <w:pPr>
              <w:jc w:val="left"/>
              <w:rPr>
                <w:sz w:val="16"/>
                <w:szCs w:val="16"/>
              </w:rPr>
            </w:pPr>
            <w:r w:rsidRPr="00F658A6">
              <w:rPr>
                <w:sz w:val="16"/>
                <w:szCs w:val="16"/>
              </w:rPr>
              <w:t>No hay información disponible.</w:t>
            </w:r>
          </w:p>
        </w:tc>
      </w:tr>
      <w:tr w:rsidR="00C571EC" w:rsidRPr="00F658A6" w14:paraId="00929983" w14:textId="77777777" w:rsidTr="00F608A7">
        <w:tc>
          <w:tcPr>
            <w:tcW w:w="534" w:type="dxa"/>
            <w:vMerge w:val="restart"/>
            <w:vAlign w:val="center"/>
          </w:tcPr>
          <w:p w14:paraId="153696C9" w14:textId="77777777" w:rsidR="00C571EC" w:rsidRPr="00F658A6" w:rsidRDefault="00C571EC" w:rsidP="00F608A7">
            <w:pPr>
              <w:jc w:val="left"/>
              <w:rPr>
                <w:sz w:val="16"/>
                <w:szCs w:val="16"/>
              </w:rPr>
            </w:pPr>
            <w:r w:rsidRPr="00F658A6">
              <w:rPr>
                <w:sz w:val="16"/>
                <w:szCs w:val="16"/>
              </w:rPr>
              <w:t>3</w:t>
            </w:r>
          </w:p>
        </w:tc>
        <w:tc>
          <w:tcPr>
            <w:tcW w:w="2976" w:type="dxa"/>
            <w:gridSpan w:val="2"/>
            <w:vMerge w:val="restart"/>
            <w:vAlign w:val="center"/>
          </w:tcPr>
          <w:p w14:paraId="6A434BD9" w14:textId="38F1D785" w:rsidR="00C571EC" w:rsidRPr="00F658A6" w:rsidRDefault="006B3158" w:rsidP="00F608A7">
            <w:pPr>
              <w:jc w:val="left"/>
              <w:rPr>
                <w:sz w:val="16"/>
                <w:szCs w:val="16"/>
              </w:rPr>
            </w:pPr>
            <w:r>
              <w:rPr>
                <w:sz w:val="16"/>
                <w:szCs w:val="16"/>
              </w:rPr>
              <w:t>Ismar Ramí</w:t>
            </w:r>
            <w:r w:rsidR="00C571EC" w:rsidRPr="00F658A6">
              <w:rPr>
                <w:sz w:val="16"/>
                <w:szCs w:val="16"/>
              </w:rPr>
              <w:t>rez Chajón</w:t>
            </w:r>
          </w:p>
        </w:tc>
        <w:tc>
          <w:tcPr>
            <w:tcW w:w="567" w:type="dxa"/>
            <w:vAlign w:val="center"/>
          </w:tcPr>
          <w:p w14:paraId="32C1B1D4" w14:textId="77777777" w:rsidR="00C571EC" w:rsidRPr="00F658A6" w:rsidRDefault="00C571EC" w:rsidP="00F608A7">
            <w:pPr>
              <w:jc w:val="left"/>
              <w:rPr>
                <w:sz w:val="16"/>
                <w:szCs w:val="16"/>
              </w:rPr>
            </w:pPr>
            <w:r w:rsidRPr="00F658A6">
              <w:rPr>
                <w:sz w:val="16"/>
                <w:szCs w:val="16"/>
              </w:rPr>
              <w:t>1</w:t>
            </w:r>
          </w:p>
        </w:tc>
        <w:tc>
          <w:tcPr>
            <w:tcW w:w="4927" w:type="dxa"/>
            <w:vAlign w:val="center"/>
          </w:tcPr>
          <w:p w14:paraId="4BCFDE5E" w14:textId="77777777" w:rsidR="00C571EC" w:rsidRPr="00F658A6" w:rsidRDefault="00C571EC" w:rsidP="00F608A7">
            <w:pPr>
              <w:jc w:val="left"/>
              <w:rPr>
                <w:sz w:val="16"/>
                <w:szCs w:val="16"/>
              </w:rPr>
            </w:pPr>
            <w:r w:rsidRPr="00F658A6">
              <w:rPr>
                <w:sz w:val="16"/>
                <w:szCs w:val="16"/>
              </w:rPr>
              <w:t>María de Jesús Chajón de León (Madre)</w:t>
            </w:r>
          </w:p>
        </w:tc>
      </w:tr>
      <w:tr w:rsidR="00C571EC" w:rsidRPr="00F658A6" w14:paraId="242B6316" w14:textId="77777777" w:rsidTr="00F608A7">
        <w:tc>
          <w:tcPr>
            <w:tcW w:w="534" w:type="dxa"/>
            <w:vMerge/>
            <w:vAlign w:val="center"/>
          </w:tcPr>
          <w:p w14:paraId="1317F682" w14:textId="77777777" w:rsidR="00C571EC" w:rsidRPr="00F658A6" w:rsidRDefault="00C571EC" w:rsidP="00F608A7">
            <w:pPr>
              <w:jc w:val="left"/>
              <w:rPr>
                <w:sz w:val="16"/>
                <w:szCs w:val="16"/>
              </w:rPr>
            </w:pPr>
          </w:p>
        </w:tc>
        <w:tc>
          <w:tcPr>
            <w:tcW w:w="2976" w:type="dxa"/>
            <w:gridSpan w:val="2"/>
            <w:vMerge/>
            <w:vAlign w:val="center"/>
          </w:tcPr>
          <w:p w14:paraId="19588A62" w14:textId="77777777" w:rsidR="00C571EC" w:rsidRPr="00F658A6" w:rsidRDefault="00C571EC" w:rsidP="00F608A7">
            <w:pPr>
              <w:jc w:val="left"/>
              <w:rPr>
                <w:sz w:val="16"/>
                <w:szCs w:val="16"/>
              </w:rPr>
            </w:pPr>
          </w:p>
        </w:tc>
        <w:tc>
          <w:tcPr>
            <w:tcW w:w="567" w:type="dxa"/>
            <w:vAlign w:val="center"/>
          </w:tcPr>
          <w:p w14:paraId="74C19692" w14:textId="77777777" w:rsidR="00C571EC" w:rsidRPr="00F658A6" w:rsidRDefault="00C571EC" w:rsidP="00F608A7">
            <w:pPr>
              <w:jc w:val="left"/>
              <w:rPr>
                <w:sz w:val="16"/>
                <w:szCs w:val="16"/>
              </w:rPr>
            </w:pPr>
            <w:r w:rsidRPr="00F658A6">
              <w:rPr>
                <w:sz w:val="16"/>
                <w:szCs w:val="16"/>
              </w:rPr>
              <w:t>2</w:t>
            </w:r>
          </w:p>
        </w:tc>
        <w:tc>
          <w:tcPr>
            <w:tcW w:w="4927" w:type="dxa"/>
            <w:vAlign w:val="center"/>
          </w:tcPr>
          <w:p w14:paraId="41BA53BD" w14:textId="77777777" w:rsidR="00C571EC" w:rsidRPr="00F658A6" w:rsidRDefault="00C571EC" w:rsidP="00F608A7">
            <w:pPr>
              <w:jc w:val="left"/>
              <w:rPr>
                <w:sz w:val="16"/>
                <w:szCs w:val="16"/>
              </w:rPr>
            </w:pPr>
            <w:r w:rsidRPr="00F658A6">
              <w:rPr>
                <w:sz w:val="16"/>
                <w:szCs w:val="16"/>
              </w:rPr>
              <w:t>Edna Yolanda Ramírez Chajón (Hermana)</w:t>
            </w:r>
          </w:p>
        </w:tc>
      </w:tr>
      <w:tr w:rsidR="00C571EC" w:rsidRPr="00F658A6" w14:paraId="3EE09F0B" w14:textId="77777777" w:rsidTr="00F608A7">
        <w:tc>
          <w:tcPr>
            <w:tcW w:w="534" w:type="dxa"/>
            <w:vMerge/>
            <w:vAlign w:val="center"/>
          </w:tcPr>
          <w:p w14:paraId="2F850C46" w14:textId="77777777" w:rsidR="00C571EC" w:rsidRPr="00F658A6" w:rsidRDefault="00C571EC" w:rsidP="00F608A7">
            <w:pPr>
              <w:jc w:val="left"/>
              <w:rPr>
                <w:sz w:val="16"/>
                <w:szCs w:val="16"/>
              </w:rPr>
            </w:pPr>
          </w:p>
        </w:tc>
        <w:tc>
          <w:tcPr>
            <w:tcW w:w="2976" w:type="dxa"/>
            <w:gridSpan w:val="2"/>
            <w:vMerge/>
            <w:vAlign w:val="center"/>
          </w:tcPr>
          <w:p w14:paraId="1E34A5A2" w14:textId="77777777" w:rsidR="00C571EC" w:rsidRPr="00F658A6" w:rsidRDefault="00C571EC" w:rsidP="00F608A7">
            <w:pPr>
              <w:jc w:val="left"/>
              <w:rPr>
                <w:sz w:val="16"/>
                <w:szCs w:val="16"/>
              </w:rPr>
            </w:pPr>
          </w:p>
        </w:tc>
        <w:tc>
          <w:tcPr>
            <w:tcW w:w="567" w:type="dxa"/>
            <w:vAlign w:val="center"/>
          </w:tcPr>
          <w:p w14:paraId="64C30746" w14:textId="77777777" w:rsidR="00C571EC" w:rsidRPr="00F658A6" w:rsidRDefault="00C571EC" w:rsidP="00F608A7">
            <w:pPr>
              <w:jc w:val="left"/>
              <w:rPr>
                <w:sz w:val="16"/>
                <w:szCs w:val="16"/>
              </w:rPr>
            </w:pPr>
            <w:r w:rsidRPr="00F658A6">
              <w:rPr>
                <w:sz w:val="16"/>
                <w:szCs w:val="16"/>
              </w:rPr>
              <w:t>3</w:t>
            </w:r>
          </w:p>
        </w:tc>
        <w:tc>
          <w:tcPr>
            <w:tcW w:w="4927" w:type="dxa"/>
            <w:vAlign w:val="center"/>
          </w:tcPr>
          <w:p w14:paraId="28FAF6F3" w14:textId="5C35BBAC" w:rsidR="00C571EC" w:rsidRPr="00F658A6" w:rsidRDefault="00C571EC" w:rsidP="00F608A7">
            <w:pPr>
              <w:jc w:val="left"/>
              <w:rPr>
                <w:sz w:val="16"/>
                <w:szCs w:val="16"/>
              </w:rPr>
            </w:pPr>
            <w:r w:rsidRPr="00F658A6">
              <w:rPr>
                <w:sz w:val="16"/>
                <w:szCs w:val="16"/>
              </w:rPr>
              <w:t>Carlos Fernando Coc Chajón (Hermano)</w:t>
            </w:r>
          </w:p>
        </w:tc>
      </w:tr>
      <w:tr w:rsidR="00C571EC" w:rsidRPr="00F658A6" w14:paraId="40663B7C" w14:textId="77777777" w:rsidTr="00F608A7">
        <w:tc>
          <w:tcPr>
            <w:tcW w:w="534" w:type="dxa"/>
            <w:vMerge/>
            <w:vAlign w:val="center"/>
          </w:tcPr>
          <w:p w14:paraId="4A424FDF" w14:textId="77777777" w:rsidR="00C571EC" w:rsidRPr="00F658A6" w:rsidRDefault="00C571EC" w:rsidP="00F608A7">
            <w:pPr>
              <w:jc w:val="left"/>
              <w:rPr>
                <w:sz w:val="16"/>
                <w:szCs w:val="16"/>
              </w:rPr>
            </w:pPr>
          </w:p>
        </w:tc>
        <w:tc>
          <w:tcPr>
            <w:tcW w:w="2976" w:type="dxa"/>
            <w:gridSpan w:val="2"/>
            <w:vMerge/>
            <w:vAlign w:val="center"/>
          </w:tcPr>
          <w:p w14:paraId="6CFF06E9" w14:textId="77777777" w:rsidR="00C571EC" w:rsidRPr="00F658A6" w:rsidRDefault="00C571EC" w:rsidP="00F608A7">
            <w:pPr>
              <w:jc w:val="left"/>
              <w:rPr>
                <w:sz w:val="16"/>
                <w:szCs w:val="16"/>
              </w:rPr>
            </w:pPr>
          </w:p>
        </w:tc>
        <w:tc>
          <w:tcPr>
            <w:tcW w:w="567" w:type="dxa"/>
            <w:vAlign w:val="center"/>
          </w:tcPr>
          <w:p w14:paraId="0EB8FDE0" w14:textId="77777777" w:rsidR="00C571EC" w:rsidRPr="00F658A6" w:rsidRDefault="00C571EC" w:rsidP="00F608A7">
            <w:pPr>
              <w:jc w:val="left"/>
              <w:rPr>
                <w:sz w:val="16"/>
                <w:szCs w:val="16"/>
              </w:rPr>
            </w:pPr>
            <w:r w:rsidRPr="00F658A6">
              <w:rPr>
                <w:sz w:val="16"/>
                <w:szCs w:val="16"/>
              </w:rPr>
              <w:t>4</w:t>
            </w:r>
          </w:p>
        </w:tc>
        <w:tc>
          <w:tcPr>
            <w:tcW w:w="4927" w:type="dxa"/>
            <w:vAlign w:val="center"/>
          </w:tcPr>
          <w:p w14:paraId="69F03D22" w14:textId="0319EF9F" w:rsidR="00C571EC" w:rsidRPr="00F658A6" w:rsidRDefault="001F662B" w:rsidP="00F608A7">
            <w:pPr>
              <w:jc w:val="left"/>
              <w:rPr>
                <w:sz w:val="16"/>
                <w:szCs w:val="16"/>
              </w:rPr>
            </w:pPr>
            <w:r w:rsidRPr="00F658A6">
              <w:rPr>
                <w:sz w:val="16"/>
                <w:szCs w:val="16"/>
              </w:rPr>
              <w:t>Ariel Coc</w:t>
            </w:r>
            <w:r w:rsidR="00C571EC" w:rsidRPr="00F658A6">
              <w:rPr>
                <w:sz w:val="16"/>
                <w:szCs w:val="16"/>
              </w:rPr>
              <w:t xml:space="preserve"> Chajón (Hermano)</w:t>
            </w:r>
          </w:p>
        </w:tc>
      </w:tr>
      <w:tr w:rsidR="00C571EC" w:rsidRPr="00F658A6" w14:paraId="4853C20B" w14:textId="77777777" w:rsidTr="00F608A7">
        <w:tc>
          <w:tcPr>
            <w:tcW w:w="534" w:type="dxa"/>
            <w:vMerge/>
            <w:vAlign w:val="center"/>
          </w:tcPr>
          <w:p w14:paraId="2D04E0BC" w14:textId="77777777" w:rsidR="00C571EC" w:rsidRPr="00F658A6" w:rsidRDefault="00C571EC" w:rsidP="00F608A7">
            <w:pPr>
              <w:jc w:val="left"/>
              <w:rPr>
                <w:sz w:val="16"/>
                <w:szCs w:val="16"/>
              </w:rPr>
            </w:pPr>
          </w:p>
        </w:tc>
        <w:tc>
          <w:tcPr>
            <w:tcW w:w="2976" w:type="dxa"/>
            <w:gridSpan w:val="2"/>
            <w:vMerge/>
            <w:vAlign w:val="center"/>
          </w:tcPr>
          <w:p w14:paraId="2F2E5A39" w14:textId="77777777" w:rsidR="00C571EC" w:rsidRPr="00F658A6" w:rsidRDefault="00C571EC" w:rsidP="00F608A7">
            <w:pPr>
              <w:jc w:val="left"/>
              <w:rPr>
                <w:sz w:val="16"/>
                <w:szCs w:val="16"/>
              </w:rPr>
            </w:pPr>
          </w:p>
        </w:tc>
        <w:tc>
          <w:tcPr>
            <w:tcW w:w="567" w:type="dxa"/>
            <w:vAlign w:val="center"/>
          </w:tcPr>
          <w:p w14:paraId="204812F4" w14:textId="77777777" w:rsidR="00C571EC" w:rsidRPr="00F658A6" w:rsidRDefault="00C571EC" w:rsidP="00F608A7">
            <w:pPr>
              <w:jc w:val="left"/>
              <w:rPr>
                <w:sz w:val="16"/>
                <w:szCs w:val="16"/>
              </w:rPr>
            </w:pPr>
            <w:r w:rsidRPr="00F658A6">
              <w:rPr>
                <w:sz w:val="16"/>
                <w:szCs w:val="16"/>
              </w:rPr>
              <w:t>5</w:t>
            </w:r>
          </w:p>
        </w:tc>
        <w:tc>
          <w:tcPr>
            <w:tcW w:w="4927" w:type="dxa"/>
            <w:vAlign w:val="center"/>
          </w:tcPr>
          <w:p w14:paraId="080BD0BE" w14:textId="77777777" w:rsidR="00C571EC" w:rsidRPr="00F658A6" w:rsidRDefault="00C571EC" w:rsidP="00F608A7">
            <w:pPr>
              <w:jc w:val="left"/>
              <w:rPr>
                <w:sz w:val="16"/>
                <w:szCs w:val="16"/>
              </w:rPr>
            </w:pPr>
            <w:r w:rsidRPr="00F658A6">
              <w:rPr>
                <w:sz w:val="16"/>
                <w:szCs w:val="16"/>
              </w:rPr>
              <w:t>Abner Antonio Ramírez Mejía (Sobrino)</w:t>
            </w:r>
          </w:p>
        </w:tc>
      </w:tr>
      <w:tr w:rsidR="00C571EC" w:rsidRPr="00F658A6" w14:paraId="5DDECEA8" w14:textId="77777777" w:rsidTr="00F608A7">
        <w:tc>
          <w:tcPr>
            <w:tcW w:w="534" w:type="dxa"/>
            <w:vMerge/>
            <w:vAlign w:val="center"/>
          </w:tcPr>
          <w:p w14:paraId="5048029A" w14:textId="77777777" w:rsidR="00C571EC" w:rsidRPr="00F658A6" w:rsidRDefault="00C571EC" w:rsidP="00F608A7">
            <w:pPr>
              <w:jc w:val="left"/>
              <w:rPr>
                <w:sz w:val="16"/>
                <w:szCs w:val="16"/>
              </w:rPr>
            </w:pPr>
          </w:p>
        </w:tc>
        <w:tc>
          <w:tcPr>
            <w:tcW w:w="2976" w:type="dxa"/>
            <w:gridSpan w:val="2"/>
            <w:vMerge/>
            <w:vAlign w:val="center"/>
          </w:tcPr>
          <w:p w14:paraId="7598A948" w14:textId="77777777" w:rsidR="00C571EC" w:rsidRPr="00F658A6" w:rsidRDefault="00C571EC" w:rsidP="00F608A7">
            <w:pPr>
              <w:jc w:val="left"/>
              <w:rPr>
                <w:sz w:val="16"/>
                <w:szCs w:val="16"/>
              </w:rPr>
            </w:pPr>
          </w:p>
        </w:tc>
        <w:tc>
          <w:tcPr>
            <w:tcW w:w="567" w:type="dxa"/>
            <w:vAlign w:val="center"/>
          </w:tcPr>
          <w:p w14:paraId="7CA3191A" w14:textId="77777777" w:rsidR="00C571EC" w:rsidRPr="00F658A6" w:rsidRDefault="00C571EC" w:rsidP="00F608A7">
            <w:pPr>
              <w:jc w:val="left"/>
              <w:rPr>
                <w:sz w:val="16"/>
                <w:szCs w:val="16"/>
              </w:rPr>
            </w:pPr>
            <w:r w:rsidRPr="00F658A6">
              <w:rPr>
                <w:sz w:val="16"/>
                <w:szCs w:val="16"/>
              </w:rPr>
              <w:t>6</w:t>
            </w:r>
          </w:p>
        </w:tc>
        <w:tc>
          <w:tcPr>
            <w:tcW w:w="4927" w:type="dxa"/>
            <w:vAlign w:val="center"/>
          </w:tcPr>
          <w:p w14:paraId="1806F482" w14:textId="77777777" w:rsidR="00C571EC" w:rsidRPr="00F658A6" w:rsidRDefault="00C571EC" w:rsidP="00F608A7">
            <w:pPr>
              <w:jc w:val="left"/>
              <w:rPr>
                <w:sz w:val="16"/>
                <w:szCs w:val="16"/>
              </w:rPr>
            </w:pPr>
            <w:r w:rsidRPr="00F658A6">
              <w:rPr>
                <w:sz w:val="16"/>
                <w:szCs w:val="16"/>
              </w:rPr>
              <w:t>Karla Susely Ramírez Mejía (Sobrina)</w:t>
            </w:r>
          </w:p>
        </w:tc>
      </w:tr>
      <w:tr w:rsidR="00C571EC" w:rsidRPr="00F658A6" w14:paraId="0C272434" w14:textId="77777777" w:rsidTr="00F608A7">
        <w:tc>
          <w:tcPr>
            <w:tcW w:w="534" w:type="dxa"/>
            <w:vMerge/>
            <w:vAlign w:val="center"/>
          </w:tcPr>
          <w:p w14:paraId="47AADC0C" w14:textId="77777777" w:rsidR="00C571EC" w:rsidRPr="00F658A6" w:rsidRDefault="00C571EC" w:rsidP="00F608A7">
            <w:pPr>
              <w:jc w:val="left"/>
              <w:rPr>
                <w:sz w:val="16"/>
                <w:szCs w:val="16"/>
              </w:rPr>
            </w:pPr>
          </w:p>
        </w:tc>
        <w:tc>
          <w:tcPr>
            <w:tcW w:w="2976" w:type="dxa"/>
            <w:gridSpan w:val="2"/>
            <w:vMerge/>
            <w:vAlign w:val="center"/>
          </w:tcPr>
          <w:p w14:paraId="00C88A1C" w14:textId="77777777" w:rsidR="00C571EC" w:rsidRPr="00F658A6" w:rsidRDefault="00C571EC" w:rsidP="00F608A7">
            <w:pPr>
              <w:jc w:val="left"/>
              <w:rPr>
                <w:sz w:val="16"/>
                <w:szCs w:val="16"/>
              </w:rPr>
            </w:pPr>
          </w:p>
        </w:tc>
        <w:tc>
          <w:tcPr>
            <w:tcW w:w="567" w:type="dxa"/>
            <w:vAlign w:val="center"/>
          </w:tcPr>
          <w:p w14:paraId="28670E2B" w14:textId="77777777" w:rsidR="00C571EC" w:rsidRPr="00F658A6" w:rsidRDefault="00C571EC" w:rsidP="00F608A7">
            <w:pPr>
              <w:jc w:val="left"/>
              <w:rPr>
                <w:sz w:val="16"/>
                <w:szCs w:val="16"/>
              </w:rPr>
            </w:pPr>
            <w:r w:rsidRPr="00F658A6">
              <w:rPr>
                <w:sz w:val="16"/>
                <w:szCs w:val="16"/>
              </w:rPr>
              <w:t>7</w:t>
            </w:r>
          </w:p>
        </w:tc>
        <w:tc>
          <w:tcPr>
            <w:tcW w:w="4927" w:type="dxa"/>
            <w:vAlign w:val="center"/>
          </w:tcPr>
          <w:p w14:paraId="149751BB" w14:textId="59B9CEF2" w:rsidR="00C571EC" w:rsidRPr="00F658A6" w:rsidRDefault="00A619AD" w:rsidP="00F608A7">
            <w:pPr>
              <w:jc w:val="left"/>
              <w:rPr>
                <w:sz w:val="16"/>
                <w:szCs w:val="16"/>
              </w:rPr>
            </w:pPr>
            <w:r w:rsidRPr="00F658A6">
              <w:rPr>
                <w:sz w:val="16"/>
                <w:szCs w:val="16"/>
              </w:rPr>
              <w:t>Luis Rolando Cuscul Pivaral (Pareja)</w:t>
            </w:r>
          </w:p>
        </w:tc>
      </w:tr>
      <w:tr w:rsidR="00C571EC" w:rsidRPr="00F658A6" w14:paraId="01881F6C" w14:textId="77777777" w:rsidTr="00F608A7">
        <w:tc>
          <w:tcPr>
            <w:tcW w:w="534" w:type="dxa"/>
            <w:vMerge w:val="restart"/>
            <w:vAlign w:val="center"/>
          </w:tcPr>
          <w:p w14:paraId="54A48FA1" w14:textId="77777777" w:rsidR="00C571EC" w:rsidRPr="00F658A6" w:rsidRDefault="00C571EC" w:rsidP="00F608A7">
            <w:pPr>
              <w:jc w:val="left"/>
              <w:rPr>
                <w:sz w:val="16"/>
                <w:szCs w:val="16"/>
              </w:rPr>
            </w:pPr>
            <w:r w:rsidRPr="00F658A6">
              <w:rPr>
                <w:sz w:val="16"/>
                <w:szCs w:val="16"/>
              </w:rPr>
              <w:t>4</w:t>
            </w:r>
          </w:p>
        </w:tc>
        <w:tc>
          <w:tcPr>
            <w:tcW w:w="2976" w:type="dxa"/>
            <w:gridSpan w:val="2"/>
            <w:vMerge w:val="restart"/>
            <w:vAlign w:val="center"/>
          </w:tcPr>
          <w:p w14:paraId="4827068A" w14:textId="175EF61A" w:rsidR="00C571EC" w:rsidRPr="00F658A6" w:rsidRDefault="00C571EC" w:rsidP="00F608A7">
            <w:pPr>
              <w:jc w:val="left"/>
              <w:rPr>
                <w:sz w:val="16"/>
                <w:szCs w:val="16"/>
              </w:rPr>
            </w:pPr>
            <w:r w:rsidRPr="00F658A6">
              <w:rPr>
                <w:sz w:val="16"/>
                <w:szCs w:val="16"/>
              </w:rPr>
              <w:t>Petrona López Robledo</w:t>
            </w:r>
          </w:p>
        </w:tc>
        <w:tc>
          <w:tcPr>
            <w:tcW w:w="567" w:type="dxa"/>
            <w:vAlign w:val="center"/>
          </w:tcPr>
          <w:p w14:paraId="1C32C5B6" w14:textId="77777777" w:rsidR="00C571EC" w:rsidRPr="00F658A6" w:rsidRDefault="00C571EC" w:rsidP="00F608A7">
            <w:pPr>
              <w:jc w:val="left"/>
              <w:rPr>
                <w:sz w:val="16"/>
                <w:szCs w:val="16"/>
              </w:rPr>
            </w:pPr>
            <w:r w:rsidRPr="00F658A6">
              <w:rPr>
                <w:sz w:val="16"/>
                <w:szCs w:val="16"/>
              </w:rPr>
              <w:t>1</w:t>
            </w:r>
          </w:p>
        </w:tc>
        <w:tc>
          <w:tcPr>
            <w:tcW w:w="4927" w:type="dxa"/>
            <w:vAlign w:val="center"/>
          </w:tcPr>
          <w:p w14:paraId="62D787F8" w14:textId="77777777" w:rsidR="00C571EC" w:rsidRPr="00F658A6" w:rsidRDefault="00C571EC" w:rsidP="00F608A7">
            <w:pPr>
              <w:jc w:val="left"/>
              <w:rPr>
                <w:sz w:val="16"/>
                <w:szCs w:val="16"/>
              </w:rPr>
            </w:pPr>
            <w:r w:rsidRPr="00F658A6">
              <w:rPr>
                <w:sz w:val="16"/>
                <w:szCs w:val="16"/>
              </w:rPr>
              <w:t>Marelyn Damaisa Xum López (Hija)</w:t>
            </w:r>
          </w:p>
        </w:tc>
      </w:tr>
      <w:tr w:rsidR="00C571EC" w:rsidRPr="00F658A6" w14:paraId="28B214F5" w14:textId="77777777" w:rsidTr="00F608A7">
        <w:tc>
          <w:tcPr>
            <w:tcW w:w="534" w:type="dxa"/>
            <w:vMerge/>
            <w:vAlign w:val="center"/>
          </w:tcPr>
          <w:p w14:paraId="5E2A1C0B" w14:textId="77777777" w:rsidR="00C571EC" w:rsidRPr="00F658A6" w:rsidRDefault="00C571EC" w:rsidP="00F608A7">
            <w:pPr>
              <w:jc w:val="left"/>
              <w:rPr>
                <w:sz w:val="16"/>
                <w:szCs w:val="16"/>
              </w:rPr>
            </w:pPr>
          </w:p>
        </w:tc>
        <w:tc>
          <w:tcPr>
            <w:tcW w:w="2976" w:type="dxa"/>
            <w:gridSpan w:val="2"/>
            <w:vMerge/>
            <w:vAlign w:val="center"/>
          </w:tcPr>
          <w:p w14:paraId="1082B97A" w14:textId="77777777" w:rsidR="00C571EC" w:rsidRPr="00F658A6" w:rsidRDefault="00C571EC" w:rsidP="00F608A7">
            <w:pPr>
              <w:jc w:val="left"/>
              <w:rPr>
                <w:sz w:val="16"/>
                <w:szCs w:val="16"/>
              </w:rPr>
            </w:pPr>
          </w:p>
        </w:tc>
        <w:tc>
          <w:tcPr>
            <w:tcW w:w="567" w:type="dxa"/>
            <w:vAlign w:val="center"/>
          </w:tcPr>
          <w:p w14:paraId="02123658" w14:textId="77777777" w:rsidR="00C571EC" w:rsidRPr="00F658A6" w:rsidRDefault="00C571EC" w:rsidP="00F608A7">
            <w:pPr>
              <w:jc w:val="left"/>
              <w:rPr>
                <w:sz w:val="16"/>
                <w:szCs w:val="16"/>
              </w:rPr>
            </w:pPr>
            <w:r w:rsidRPr="00F658A6">
              <w:rPr>
                <w:sz w:val="16"/>
                <w:szCs w:val="16"/>
              </w:rPr>
              <w:t>2</w:t>
            </w:r>
          </w:p>
        </w:tc>
        <w:tc>
          <w:tcPr>
            <w:tcW w:w="4927" w:type="dxa"/>
            <w:vAlign w:val="center"/>
          </w:tcPr>
          <w:p w14:paraId="0FBB8A37" w14:textId="77777777" w:rsidR="00C571EC" w:rsidRPr="00F658A6" w:rsidRDefault="00C571EC" w:rsidP="00F608A7">
            <w:pPr>
              <w:jc w:val="left"/>
              <w:rPr>
                <w:sz w:val="16"/>
                <w:szCs w:val="16"/>
              </w:rPr>
            </w:pPr>
            <w:r w:rsidRPr="00F658A6">
              <w:rPr>
                <w:sz w:val="16"/>
                <w:szCs w:val="16"/>
              </w:rPr>
              <w:t>Juana Sugeidi Xum López (Hija)</w:t>
            </w:r>
          </w:p>
        </w:tc>
      </w:tr>
      <w:tr w:rsidR="00C571EC" w:rsidRPr="00F658A6" w14:paraId="59E764BB" w14:textId="77777777" w:rsidTr="00F608A7">
        <w:tc>
          <w:tcPr>
            <w:tcW w:w="534" w:type="dxa"/>
            <w:vMerge/>
            <w:vAlign w:val="center"/>
          </w:tcPr>
          <w:p w14:paraId="52DAD597" w14:textId="77777777" w:rsidR="00C571EC" w:rsidRPr="00F658A6" w:rsidRDefault="00C571EC" w:rsidP="00F608A7">
            <w:pPr>
              <w:jc w:val="left"/>
              <w:rPr>
                <w:sz w:val="16"/>
                <w:szCs w:val="16"/>
              </w:rPr>
            </w:pPr>
          </w:p>
        </w:tc>
        <w:tc>
          <w:tcPr>
            <w:tcW w:w="2976" w:type="dxa"/>
            <w:gridSpan w:val="2"/>
            <w:vMerge/>
            <w:vAlign w:val="center"/>
          </w:tcPr>
          <w:p w14:paraId="3040F2D9" w14:textId="77777777" w:rsidR="00C571EC" w:rsidRPr="00F658A6" w:rsidRDefault="00C571EC" w:rsidP="00F608A7">
            <w:pPr>
              <w:jc w:val="left"/>
              <w:rPr>
                <w:sz w:val="16"/>
                <w:szCs w:val="16"/>
              </w:rPr>
            </w:pPr>
          </w:p>
        </w:tc>
        <w:tc>
          <w:tcPr>
            <w:tcW w:w="567" w:type="dxa"/>
            <w:vAlign w:val="center"/>
          </w:tcPr>
          <w:p w14:paraId="46B14560" w14:textId="77777777" w:rsidR="00C571EC" w:rsidRPr="00F658A6" w:rsidRDefault="00C571EC" w:rsidP="00F608A7">
            <w:pPr>
              <w:jc w:val="left"/>
              <w:rPr>
                <w:sz w:val="16"/>
                <w:szCs w:val="16"/>
              </w:rPr>
            </w:pPr>
            <w:r w:rsidRPr="00F658A6">
              <w:rPr>
                <w:sz w:val="16"/>
                <w:szCs w:val="16"/>
              </w:rPr>
              <w:t>3</w:t>
            </w:r>
          </w:p>
        </w:tc>
        <w:tc>
          <w:tcPr>
            <w:tcW w:w="4927" w:type="dxa"/>
            <w:vAlign w:val="center"/>
          </w:tcPr>
          <w:p w14:paraId="19BF45D9" w14:textId="77777777" w:rsidR="00C571EC" w:rsidRPr="00F658A6" w:rsidRDefault="00C571EC" w:rsidP="00F608A7">
            <w:pPr>
              <w:jc w:val="left"/>
              <w:rPr>
                <w:sz w:val="16"/>
                <w:szCs w:val="16"/>
              </w:rPr>
            </w:pPr>
            <w:r w:rsidRPr="00F658A6">
              <w:rPr>
                <w:sz w:val="16"/>
                <w:szCs w:val="16"/>
              </w:rPr>
              <w:t>Marcela Xum Basilio (Tía)</w:t>
            </w:r>
          </w:p>
        </w:tc>
      </w:tr>
      <w:tr w:rsidR="00C571EC" w:rsidRPr="00F658A6" w14:paraId="57367EE6" w14:textId="77777777" w:rsidTr="00F608A7">
        <w:tc>
          <w:tcPr>
            <w:tcW w:w="534" w:type="dxa"/>
            <w:vMerge w:val="restart"/>
            <w:vAlign w:val="center"/>
          </w:tcPr>
          <w:p w14:paraId="1D103E0A" w14:textId="77777777" w:rsidR="00C571EC" w:rsidRPr="00F658A6" w:rsidRDefault="00C571EC" w:rsidP="00F608A7">
            <w:pPr>
              <w:jc w:val="left"/>
              <w:rPr>
                <w:sz w:val="16"/>
                <w:szCs w:val="16"/>
              </w:rPr>
            </w:pPr>
            <w:r w:rsidRPr="00F658A6">
              <w:rPr>
                <w:sz w:val="16"/>
                <w:szCs w:val="16"/>
              </w:rPr>
              <w:t>5</w:t>
            </w:r>
          </w:p>
        </w:tc>
        <w:tc>
          <w:tcPr>
            <w:tcW w:w="2976" w:type="dxa"/>
            <w:gridSpan w:val="2"/>
            <w:vMerge w:val="restart"/>
            <w:vAlign w:val="center"/>
          </w:tcPr>
          <w:p w14:paraId="1328D2E3" w14:textId="3113FF3D" w:rsidR="00C571EC" w:rsidRPr="00F658A6" w:rsidRDefault="00C571EC" w:rsidP="00F608A7">
            <w:pPr>
              <w:jc w:val="left"/>
              <w:rPr>
                <w:sz w:val="16"/>
                <w:szCs w:val="16"/>
              </w:rPr>
            </w:pPr>
            <w:r w:rsidRPr="00F658A6">
              <w:rPr>
                <w:sz w:val="16"/>
                <w:szCs w:val="16"/>
              </w:rPr>
              <w:t>Rita Mariana Dubón Orozco</w:t>
            </w:r>
          </w:p>
        </w:tc>
        <w:tc>
          <w:tcPr>
            <w:tcW w:w="567" w:type="dxa"/>
            <w:vAlign w:val="center"/>
          </w:tcPr>
          <w:p w14:paraId="202F0C5C" w14:textId="77777777" w:rsidR="00C571EC" w:rsidRPr="00F658A6" w:rsidRDefault="00C571EC" w:rsidP="00F608A7">
            <w:pPr>
              <w:jc w:val="left"/>
              <w:rPr>
                <w:sz w:val="16"/>
                <w:szCs w:val="16"/>
              </w:rPr>
            </w:pPr>
            <w:r w:rsidRPr="00F658A6">
              <w:rPr>
                <w:sz w:val="16"/>
                <w:szCs w:val="16"/>
              </w:rPr>
              <w:t>1</w:t>
            </w:r>
          </w:p>
        </w:tc>
        <w:tc>
          <w:tcPr>
            <w:tcW w:w="4927" w:type="dxa"/>
            <w:vAlign w:val="center"/>
          </w:tcPr>
          <w:p w14:paraId="47F9DA3F" w14:textId="77777777" w:rsidR="00C571EC" w:rsidRPr="00F658A6" w:rsidRDefault="00C571EC" w:rsidP="00F608A7">
            <w:pPr>
              <w:jc w:val="left"/>
              <w:rPr>
                <w:sz w:val="16"/>
                <w:szCs w:val="16"/>
              </w:rPr>
            </w:pPr>
            <w:r w:rsidRPr="00F658A6">
              <w:rPr>
                <w:sz w:val="16"/>
                <w:szCs w:val="16"/>
              </w:rPr>
              <w:t>Rina Haydeé Landaverde (Amiga)</w:t>
            </w:r>
          </w:p>
        </w:tc>
      </w:tr>
      <w:tr w:rsidR="00C571EC" w:rsidRPr="00F658A6" w14:paraId="5267997D" w14:textId="77777777" w:rsidTr="00F608A7">
        <w:tc>
          <w:tcPr>
            <w:tcW w:w="534" w:type="dxa"/>
            <w:vMerge/>
            <w:vAlign w:val="center"/>
          </w:tcPr>
          <w:p w14:paraId="60AF197D" w14:textId="77777777" w:rsidR="00C571EC" w:rsidRPr="00F658A6" w:rsidRDefault="00C571EC" w:rsidP="00F608A7">
            <w:pPr>
              <w:jc w:val="left"/>
              <w:rPr>
                <w:sz w:val="16"/>
                <w:szCs w:val="16"/>
              </w:rPr>
            </w:pPr>
          </w:p>
        </w:tc>
        <w:tc>
          <w:tcPr>
            <w:tcW w:w="2976" w:type="dxa"/>
            <w:gridSpan w:val="2"/>
            <w:vMerge/>
            <w:vAlign w:val="center"/>
          </w:tcPr>
          <w:p w14:paraId="3871CBBE" w14:textId="77777777" w:rsidR="00C571EC" w:rsidRPr="00F658A6" w:rsidRDefault="00C571EC" w:rsidP="00F608A7">
            <w:pPr>
              <w:jc w:val="left"/>
              <w:rPr>
                <w:sz w:val="16"/>
                <w:szCs w:val="16"/>
              </w:rPr>
            </w:pPr>
          </w:p>
        </w:tc>
        <w:tc>
          <w:tcPr>
            <w:tcW w:w="567" w:type="dxa"/>
            <w:vAlign w:val="center"/>
          </w:tcPr>
          <w:p w14:paraId="00A2111E" w14:textId="77777777" w:rsidR="00C571EC" w:rsidRPr="00F658A6" w:rsidRDefault="00C571EC" w:rsidP="00F608A7">
            <w:pPr>
              <w:jc w:val="left"/>
              <w:rPr>
                <w:sz w:val="16"/>
                <w:szCs w:val="16"/>
              </w:rPr>
            </w:pPr>
            <w:r w:rsidRPr="00F658A6">
              <w:rPr>
                <w:sz w:val="16"/>
                <w:szCs w:val="16"/>
              </w:rPr>
              <w:t>2</w:t>
            </w:r>
          </w:p>
        </w:tc>
        <w:tc>
          <w:tcPr>
            <w:tcW w:w="4927" w:type="dxa"/>
            <w:vAlign w:val="center"/>
          </w:tcPr>
          <w:p w14:paraId="64775E40" w14:textId="77777777" w:rsidR="00C571EC" w:rsidRPr="00F658A6" w:rsidRDefault="00C571EC" w:rsidP="00F608A7">
            <w:pPr>
              <w:jc w:val="left"/>
              <w:rPr>
                <w:sz w:val="16"/>
                <w:szCs w:val="16"/>
              </w:rPr>
            </w:pPr>
            <w:r w:rsidRPr="00F658A6">
              <w:rPr>
                <w:sz w:val="16"/>
                <w:szCs w:val="16"/>
              </w:rPr>
              <w:t>Luz Imelda Lucas de León (Amiga)</w:t>
            </w:r>
          </w:p>
        </w:tc>
      </w:tr>
      <w:tr w:rsidR="00C571EC" w:rsidRPr="00F658A6" w14:paraId="45C5ADA1" w14:textId="77777777" w:rsidTr="00F608A7">
        <w:tc>
          <w:tcPr>
            <w:tcW w:w="534" w:type="dxa"/>
            <w:vMerge/>
            <w:vAlign w:val="center"/>
          </w:tcPr>
          <w:p w14:paraId="6B78265A" w14:textId="77777777" w:rsidR="00C571EC" w:rsidRPr="00F658A6" w:rsidRDefault="00C571EC" w:rsidP="00F608A7">
            <w:pPr>
              <w:jc w:val="left"/>
              <w:rPr>
                <w:sz w:val="16"/>
                <w:szCs w:val="16"/>
              </w:rPr>
            </w:pPr>
          </w:p>
        </w:tc>
        <w:tc>
          <w:tcPr>
            <w:tcW w:w="2976" w:type="dxa"/>
            <w:gridSpan w:val="2"/>
            <w:vMerge/>
            <w:vAlign w:val="center"/>
          </w:tcPr>
          <w:p w14:paraId="7B6431A5" w14:textId="77777777" w:rsidR="00C571EC" w:rsidRPr="00F658A6" w:rsidRDefault="00C571EC" w:rsidP="00F608A7">
            <w:pPr>
              <w:jc w:val="left"/>
              <w:rPr>
                <w:sz w:val="16"/>
                <w:szCs w:val="16"/>
              </w:rPr>
            </w:pPr>
          </w:p>
        </w:tc>
        <w:tc>
          <w:tcPr>
            <w:tcW w:w="567" w:type="dxa"/>
            <w:vAlign w:val="center"/>
          </w:tcPr>
          <w:p w14:paraId="4DD176CF" w14:textId="77777777" w:rsidR="00C571EC" w:rsidRPr="00F658A6" w:rsidRDefault="00C571EC" w:rsidP="00F608A7">
            <w:pPr>
              <w:jc w:val="left"/>
              <w:rPr>
                <w:sz w:val="16"/>
                <w:szCs w:val="16"/>
              </w:rPr>
            </w:pPr>
            <w:r w:rsidRPr="00F658A6">
              <w:rPr>
                <w:sz w:val="16"/>
                <w:szCs w:val="16"/>
              </w:rPr>
              <w:t>3</w:t>
            </w:r>
          </w:p>
        </w:tc>
        <w:tc>
          <w:tcPr>
            <w:tcW w:w="4927" w:type="dxa"/>
            <w:vAlign w:val="center"/>
          </w:tcPr>
          <w:p w14:paraId="77C7C461" w14:textId="3C653351" w:rsidR="00C571EC" w:rsidRPr="00F658A6" w:rsidRDefault="00C571EC" w:rsidP="00F608A7">
            <w:pPr>
              <w:jc w:val="left"/>
              <w:rPr>
                <w:sz w:val="16"/>
                <w:szCs w:val="16"/>
              </w:rPr>
            </w:pPr>
            <w:r w:rsidRPr="00F658A6">
              <w:rPr>
                <w:sz w:val="16"/>
                <w:szCs w:val="16"/>
              </w:rPr>
              <w:t>Gladys Miner</w:t>
            </w:r>
            <w:r w:rsidR="00631245" w:rsidRPr="00F658A6">
              <w:rPr>
                <w:sz w:val="16"/>
                <w:szCs w:val="16"/>
              </w:rPr>
              <w:t>b</w:t>
            </w:r>
            <w:r w:rsidRPr="00F658A6">
              <w:rPr>
                <w:sz w:val="16"/>
                <w:szCs w:val="16"/>
              </w:rPr>
              <w:t>a Ch</w:t>
            </w:r>
            <w:r w:rsidR="00B65941" w:rsidRPr="00F658A6">
              <w:rPr>
                <w:sz w:val="16"/>
                <w:szCs w:val="16"/>
              </w:rPr>
              <w:t>á</w:t>
            </w:r>
            <w:r w:rsidRPr="00F658A6">
              <w:rPr>
                <w:sz w:val="16"/>
                <w:szCs w:val="16"/>
              </w:rPr>
              <w:t>vez Juárez (Amiga)</w:t>
            </w:r>
          </w:p>
        </w:tc>
      </w:tr>
      <w:tr w:rsidR="00C571EC" w:rsidRPr="00F658A6" w14:paraId="74102D5B" w14:textId="77777777" w:rsidTr="00F608A7">
        <w:tc>
          <w:tcPr>
            <w:tcW w:w="534" w:type="dxa"/>
            <w:vAlign w:val="center"/>
          </w:tcPr>
          <w:p w14:paraId="4BA2E503" w14:textId="77777777" w:rsidR="00C571EC" w:rsidRPr="00F658A6" w:rsidRDefault="00C571EC" w:rsidP="00F608A7">
            <w:pPr>
              <w:jc w:val="left"/>
              <w:rPr>
                <w:sz w:val="16"/>
                <w:szCs w:val="16"/>
              </w:rPr>
            </w:pPr>
            <w:r w:rsidRPr="00F658A6">
              <w:rPr>
                <w:sz w:val="16"/>
                <w:szCs w:val="16"/>
              </w:rPr>
              <w:t>6</w:t>
            </w:r>
          </w:p>
        </w:tc>
        <w:tc>
          <w:tcPr>
            <w:tcW w:w="2976" w:type="dxa"/>
            <w:gridSpan w:val="2"/>
            <w:vAlign w:val="center"/>
          </w:tcPr>
          <w:p w14:paraId="433870AB" w14:textId="67339F0D" w:rsidR="00C571EC" w:rsidRPr="00F658A6" w:rsidRDefault="00C571EC" w:rsidP="00F608A7">
            <w:pPr>
              <w:jc w:val="left"/>
              <w:rPr>
                <w:sz w:val="16"/>
                <w:szCs w:val="16"/>
              </w:rPr>
            </w:pPr>
            <w:r w:rsidRPr="00F658A6">
              <w:rPr>
                <w:sz w:val="16"/>
                <w:szCs w:val="16"/>
              </w:rPr>
              <w:t xml:space="preserve">Luis Edwin Cruz </w:t>
            </w:r>
            <w:r w:rsidR="006F5D7B" w:rsidRPr="00F658A6">
              <w:rPr>
                <w:sz w:val="16"/>
                <w:szCs w:val="16"/>
              </w:rPr>
              <w:t>Gramajo</w:t>
            </w:r>
          </w:p>
        </w:tc>
        <w:tc>
          <w:tcPr>
            <w:tcW w:w="567" w:type="dxa"/>
            <w:vAlign w:val="center"/>
          </w:tcPr>
          <w:p w14:paraId="67471C05" w14:textId="40AC54EB" w:rsidR="00C571EC" w:rsidRPr="00F658A6" w:rsidRDefault="00C571EC" w:rsidP="00F608A7">
            <w:pPr>
              <w:jc w:val="left"/>
              <w:rPr>
                <w:sz w:val="16"/>
                <w:szCs w:val="16"/>
              </w:rPr>
            </w:pPr>
          </w:p>
        </w:tc>
        <w:tc>
          <w:tcPr>
            <w:tcW w:w="4927" w:type="dxa"/>
            <w:vAlign w:val="center"/>
          </w:tcPr>
          <w:p w14:paraId="2E0AEC18" w14:textId="4DD8EADE" w:rsidR="00C571EC" w:rsidRPr="00F658A6" w:rsidRDefault="0097610B" w:rsidP="00F608A7">
            <w:pPr>
              <w:jc w:val="left"/>
              <w:rPr>
                <w:sz w:val="16"/>
                <w:szCs w:val="16"/>
              </w:rPr>
            </w:pPr>
            <w:r w:rsidRPr="00F658A6">
              <w:rPr>
                <w:sz w:val="16"/>
                <w:szCs w:val="16"/>
              </w:rPr>
              <w:t>No hay información disponible.</w:t>
            </w:r>
          </w:p>
        </w:tc>
      </w:tr>
      <w:tr w:rsidR="00C571EC" w:rsidRPr="00F658A6" w14:paraId="7D718E5C" w14:textId="77777777" w:rsidTr="00F608A7">
        <w:tc>
          <w:tcPr>
            <w:tcW w:w="534" w:type="dxa"/>
            <w:vMerge w:val="restart"/>
            <w:vAlign w:val="center"/>
          </w:tcPr>
          <w:p w14:paraId="01F22605" w14:textId="77777777" w:rsidR="00C571EC" w:rsidRPr="00F658A6" w:rsidRDefault="00C571EC" w:rsidP="00F608A7">
            <w:pPr>
              <w:jc w:val="left"/>
              <w:rPr>
                <w:sz w:val="16"/>
                <w:szCs w:val="16"/>
              </w:rPr>
            </w:pPr>
            <w:r w:rsidRPr="00F658A6">
              <w:rPr>
                <w:sz w:val="16"/>
                <w:szCs w:val="16"/>
              </w:rPr>
              <w:t>7</w:t>
            </w:r>
          </w:p>
        </w:tc>
        <w:tc>
          <w:tcPr>
            <w:tcW w:w="2976" w:type="dxa"/>
            <w:gridSpan w:val="2"/>
            <w:vMerge w:val="restart"/>
            <w:vAlign w:val="center"/>
          </w:tcPr>
          <w:p w14:paraId="41A9518D" w14:textId="42699209" w:rsidR="00C571EC" w:rsidRPr="00F658A6" w:rsidRDefault="00C571EC" w:rsidP="00F608A7">
            <w:pPr>
              <w:jc w:val="left"/>
              <w:rPr>
                <w:sz w:val="16"/>
                <w:szCs w:val="16"/>
              </w:rPr>
            </w:pPr>
            <w:r w:rsidRPr="00F658A6">
              <w:rPr>
                <w:sz w:val="16"/>
                <w:szCs w:val="16"/>
              </w:rPr>
              <w:t>María Blanca Va</w:t>
            </w:r>
            <w:r w:rsidR="005A4F13" w:rsidRPr="00F658A6">
              <w:rPr>
                <w:sz w:val="16"/>
                <w:szCs w:val="16"/>
                <w:lang w:val="es-SV"/>
              </w:rPr>
              <w:t>í</w:t>
            </w:r>
            <w:r w:rsidR="004356CE" w:rsidRPr="00F658A6">
              <w:rPr>
                <w:sz w:val="16"/>
                <w:szCs w:val="16"/>
                <w:lang w:val="es-SV"/>
              </w:rPr>
              <w:t>l</w:t>
            </w:r>
            <w:r w:rsidRPr="00F658A6">
              <w:rPr>
                <w:sz w:val="16"/>
                <w:szCs w:val="16"/>
              </w:rPr>
              <w:t xml:space="preserve"> López</w:t>
            </w:r>
          </w:p>
        </w:tc>
        <w:tc>
          <w:tcPr>
            <w:tcW w:w="567" w:type="dxa"/>
            <w:vAlign w:val="center"/>
          </w:tcPr>
          <w:p w14:paraId="17AA6FDC" w14:textId="77777777" w:rsidR="00C571EC" w:rsidRPr="00F658A6" w:rsidRDefault="00C571EC" w:rsidP="00F608A7">
            <w:pPr>
              <w:jc w:val="left"/>
              <w:rPr>
                <w:sz w:val="16"/>
                <w:szCs w:val="16"/>
              </w:rPr>
            </w:pPr>
            <w:r w:rsidRPr="00F658A6">
              <w:rPr>
                <w:sz w:val="16"/>
                <w:szCs w:val="16"/>
              </w:rPr>
              <w:t>1</w:t>
            </w:r>
          </w:p>
        </w:tc>
        <w:tc>
          <w:tcPr>
            <w:tcW w:w="4927" w:type="dxa"/>
            <w:vAlign w:val="center"/>
          </w:tcPr>
          <w:p w14:paraId="0092090B" w14:textId="3EBBC80A" w:rsidR="00C571EC" w:rsidRPr="00F658A6" w:rsidRDefault="00666842" w:rsidP="00F608A7">
            <w:pPr>
              <w:jc w:val="left"/>
              <w:rPr>
                <w:sz w:val="16"/>
                <w:szCs w:val="16"/>
              </w:rPr>
            </w:pPr>
            <w:r w:rsidRPr="00F658A6">
              <w:rPr>
                <w:sz w:val="16"/>
                <w:szCs w:val="16"/>
              </w:rPr>
              <w:t>Javier Pérez (Esposo</w:t>
            </w:r>
            <w:r w:rsidR="00C571EC" w:rsidRPr="00F658A6">
              <w:rPr>
                <w:sz w:val="16"/>
                <w:szCs w:val="16"/>
              </w:rPr>
              <w:t>)</w:t>
            </w:r>
          </w:p>
        </w:tc>
      </w:tr>
      <w:tr w:rsidR="00C571EC" w:rsidRPr="00F658A6" w14:paraId="09E4452B" w14:textId="77777777" w:rsidTr="00F608A7">
        <w:tc>
          <w:tcPr>
            <w:tcW w:w="534" w:type="dxa"/>
            <w:vMerge/>
            <w:vAlign w:val="center"/>
          </w:tcPr>
          <w:p w14:paraId="086F5570" w14:textId="77777777" w:rsidR="00C571EC" w:rsidRPr="00F658A6" w:rsidRDefault="00C571EC" w:rsidP="00F608A7">
            <w:pPr>
              <w:jc w:val="left"/>
              <w:rPr>
                <w:sz w:val="16"/>
                <w:szCs w:val="16"/>
              </w:rPr>
            </w:pPr>
          </w:p>
        </w:tc>
        <w:tc>
          <w:tcPr>
            <w:tcW w:w="2976" w:type="dxa"/>
            <w:gridSpan w:val="2"/>
            <w:vMerge/>
            <w:vAlign w:val="center"/>
          </w:tcPr>
          <w:p w14:paraId="322D6BDA" w14:textId="77777777" w:rsidR="00C571EC" w:rsidRPr="00F658A6" w:rsidRDefault="00C571EC" w:rsidP="00F608A7">
            <w:pPr>
              <w:jc w:val="left"/>
              <w:rPr>
                <w:sz w:val="16"/>
                <w:szCs w:val="16"/>
              </w:rPr>
            </w:pPr>
          </w:p>
        </w:tc>
        <w:tc>
          <w:tcPr>
            <w:tcW w:w="567" w:type="dxa"/>
            <w:vAlign w:val="center"/>
          </w:tcPr>
          <w:p w14:paraId="138F4C96" w14:textId="77777777" w:rsidR="00C571EC" w:rsidRPr="00F658A6" w:rsidRDefault="00C571EC" w:rsidP="00F608A7">
            <w:pPr>
              <w:jc w:val="left"/>
              <w:rPr>
                <w:sz w:val="16"/>
                <w:szCs w:val="16"/>
              </w:rPr>
            </w:pPr>
            <w:r w:rsidRPr="00F658A6">
              <w:rPr>
                <w:sz w:val="16"/>
                <w:szCs w:val="16"/>
              </w:rPr>
              <w:t>2</w:t>
            </w:r>
          </w:p>
        </w:tc>
        <w:tc>
          <w:tcPr>
            <w:tcW w:w="4927" w:type="dxa"/>
            <w:vAlign w:val="center"/>
          </w:tcPr>
          <w:p w14:paraId="7B79C76B" w14:textId="7FC3B621" w:rsidR="00C571EC" w:rsidRPr="00F658A6" w:rsidRDefault="00C571EC" w:rsidP="00F608A7">
            <w:pPr>
              <w:jc w:val="left"/>
              <w:rPr>
                <w:sz w:val="16"/>
                <w:szCs w:val="16"/>
              </w:rPr>
            </w:pPr>
            <w:r w:rsidRPr="00F658A6">
              <w:rPr>
                <w:sz w:val="16"/>
                <w:szCs w:val="16"/>
              </w:rPr>
              <w:t>Antonio Va</w:t>
            </w:r>
            <w:r w:rsidR="006B3158">
              <w:rPr>
                <w:sz w:val="16"/>
                <w:szCs w:val="16"/>
              </w:rPr>
              <w:t>í</w:t>
            </w:r>
            <w:r w:rsidRPr="00F658A6">
              <w:rPr>
                <w:sz w:val="16"/>
                <w:szCs w:val="16"/>
              </w:rPr>
              <w:t>l Molina (Padre)</w:t>
            </w:r>
          </w:p>
        </w:tc>
      </w:tr>
      <w:tr w:rsidR="00C571EC" w:rsidRPr="00F658A6" w14:paraId="63E7BC36" w14:textId="77777777" w:rsidTr="00F608A7">
        <w:tc>
          <w:tcPr>
            <w:tcW w:w="534" w:type="dxa"/>
            <w:vMerge/>
            <w:vAlign w:val="center"/>
          </w:tcPr>
          <w:p w14:paraId="153E2850" w14:textId="77777777" w:rsidR="00C571EC" w:rsidRPr="00F658A6" w:rsidRDefault="00C571EC" w:rsidP="00F608A7">
            <w:pPr>
              <w:jc w:val="left"/>
              <w:rPr>
                <w:sz w:val="16"/>
                <w:szCs w:val="16"/>
              </w:rPr>
            </w:pPr>
          </w:p>
        </w:tc>
        <w:tc>
          <w:tcPr>
            <w:tcW w:w="2976" w:type="dxa"/>
            <w:gridSpan w:val="2"/>
            <w:vMerge/>
            <w:vAlign w:val="center"/>
          </w:tcPr>
          <w:p w14:paraId="0C9D468E" w14:textId="77777777" w:rsidR="00C571EC" w:rsidRPr="00F658A6" w:rsidRDefault="00C571EC" w:rsidP="00F608A7">
            <w:pPr>
              <w:jc w:val="left"/>
              <w:rPr>
                <w:sz w:val="16"/>
                <w:szCs w:val="16"/>
              </w:rPr>
            </w:pPr>
          </w:p>
        </w:tc>
        <w:tc>
          <w:tcPr>
            <w:tcW w:w="567" w:type="dxa"/>
            <w:vAlign w:val="center"/>
          </w:tcPr>
          <w:p w14:paraId="08A85FA0" w14:textId="77777777" w:rsidR="00C571EC" w:rsidRPr="00F658A6" w:rsidRDefault="00C571EC" w:rsidP="00F608A7">
            <w:pPr>
              <w:jc w:val="left"/>
              <w:rPr>
                <w:sz w:val="16"/>
                <w:szCs w:val="16"/>
              </w:rPr>
            </w:pPr>
            <w:r w:rsidRPr="00F658A6">
              <w:rPr>
                <w:sz w:val="16"/>
                <w:szCs w:val="16"/>
              </w:rPr>
              <w:t>3</w:t>
            </w:r>
          </w:p>
        </w:tc>
        <w:tc>
          <w:tcPr>
            <w:tcW w:w="4927" w:type="dxa"/>
            <w:vAlign w:val="center"/>
          </w:tcPr>
          <w:p w14:paraId="3E692CC8" w14:textId="44EF5CB8" w:rsidR="00C571EC" w:rsidRPr="00F658A6" w:rsidRDefault="00A3363E" w:rsidP="00F608A7">
            <w:pPr>
              <w:jc w:val="left"/>
              <w:rPr>
                <w:sz w:val="16"/>
                <w:szCs w:val="16"/>
                <w:lang w:val="es-EC"/>
              </w:rPr>
            </w:pPr>
            <w:r w:rsidRPr="00F658A6">
              <w:rPr>
                <w:sz w:val="16"/>
                <w:szCs w:val="16"/>
                <w:lang w:val="es-EC"/>
              </w:rPr>
              <w:t>Lexana Rosbety Pérez Va</w:t>
            </w:r>
            <w:r w:rsidR="005A4F13" w:rsidRPr="00F658A6">
              <w:rPr>
                <w:sz w:val="16"/>
                <w:szCs w:val="16"/>
                <w:lang w:val="es-SV"/>
              </w:rPr>
              <w:t>í</w:t>
            </w:r>
            <w:r w:rsidR="00C571EC" w:rsidRPr="00F658A6">
              <w:rPr>
                <w:sz w:val="16"/>
                <w:szCs w:val="16"/>
                <w:lang w:val="es-EC"/>
              </w:rPr>
              <w:t>l (Hija)</w:t>
            </w:r>
          </w:p>
        </w:tc>
      </w:tr>
      <w:tr w:rsidR="00C571EC" w:rsidRPr="00F658A6" w14:paraId="2E759F69" w14:textId="77777777" w:rsidTr="00F608A7">
        <w:tc>
          <w:tcPr>
            <w:tcW w:w="534" w:type="dxa"/>
            <w:vMerge/>
            <w:vAlign w:val="center"/>
          </w:tcPr>
          <w:p w14:paraId="4C2C4F5D" w14:textId="77777777" w:rsidR="00C571EC" w:rsidRPr="00F658A6" w:rsidRDefault="00C571EC" w:rsidP="00F608A7">
            <w:pPr>
              <w:jc w:val="left"/>
              <w:rPr>
                <w:sz w:val="16"/>
                <w:szCs w:val="16"/>
                <w:lang w:val="es-EC"/>
              </w:rPr>
            </w:pPr>
          </w:p>
        </w:tc>
        <w:tc>
          <w:tcPr>
            <w:tcW w:w="2976" w:type="dxa"/>
            <w:gridSpan w:val="2"/>
            <w:vMerge/>
            <w:vAlign w:val="center"/>
          </w:tcPr>
          <w:p w14:paraId="5AED8444" w14:textId="77777777" w:rsidR="00C571EC" w:rsidRPr="00F658A6" w:rsidRDefault="00C571EC" w:rsidP="00F608A7">
            <w:pPr>
              <w:jc w:val="left"/>
              <w:rPr>
                <w:sz w:val="16"/>
                <w:szCs w:val="16"/>
                <w:lang w:val="es-EC"/>
              </w:rPr>
            </w:pPr>
          </w:p>
        </w:tc>
        <w:tc>
          <w:tcPr>
            <w:tcW w:w="567" w:type="dxa"/>
            <w:vAlign w:val="center"/>
          </w:tcPr>
          <w:p w14:paraId="64F80A9B" w14:textId="77777777" w:rsidR="00C571EC" w:rsidRPr="00F658A6" w:rsidRDefault="00C571EC" w:rsidP="00F608A7">
            <w:pPr>
              <w:jc w:val="left"/>
              <w:rPr>
                <w:sz w:val="16"/>
                <w:szCs w:val="16"/>
                <w:lang w:val="en-US"/>
              </w:rPr>
            </w:pPr>
            <w:r w:rsidRPr="00F658A6">
              <w:rPr>
                <w:sz w:val="16"/>
                <w:szCs w:val="16"/>
                <w:lang w:val="en-US"/>
              </w:rPr>
              <w:t>4</w:t>
            </w:r>
          </w:p>
        </w:tc>
        <w:tc>
          <w:tcPr>
            <w:tcW w:w="4927" w:type="dxa"/>
            <w:vAlign w:val="center"/>
          </w:tcPr>
          <w:p w14:paraId="1ABBB759" w14:textId="7274B1DB" w:rsidR="00C571EC" w:rsidRPr="00F658A6" w:rsidRDefault="00C571EC" w:rsidP="00F608A7">
            <w:pPr>
              <w:jc w:val="left"/>
              <w:rPr>
                <w:sz w:val="16"/>
                <w:szCs w:val="16"/>
              </w:rPr>
            </w:pPr>
            <w:r w:rsidRPr="00F658A6">
              <w:rPr>
                <w:sz w:val="16"/>
                <w:szCs w:val="16"/>
              </w:rPr>
              <w:t>Alba Azucen</w:t>
            </w:r>
            <w:r w:rsidR="00434CC1" w:rsidRPr="00F658A6">
              <w:rPr>
                <w:sz w:val="16"/>
                <w:szCs w:val="16"/>
              </w:rPr>
              <w:t>a Va</w:t>
            </w:r>
            <w:r w:rsidR="005A4F13" w:rsidRPr="00F658A6">
              <w:rPr>
                <w:sz w:val="16"/>
                <w:szCs w:val="16"/>
              </w:rPr>
              <w:t>í</w:t>
            </w:r>
            <w:r w:rsidRPr="00F658A6">
              <w:rPr>
                <w:sz w:val="16"/>
                <w:szCs w:val="16"/>
              </w:rPr>
              <w:t>l López (Hermana)</w:t>
            </w:r>
          </w:p>
        </w:tc>
      </w:tr>
      <w:tr w:rsidR="00C571EC" w:rsidRPr="00F658A6" w14:paraId="6730B46D" w14:textId="77777777" w:rsidTr="00F608A7">
        <w:tc>
          <w:tcPr>
            <w:tcW w:w="534" w:type="dxa"/>
            <w:vMerge/>
            <w:vAlign w:val="center"/>
          </w:tcPr>
          <w:p w14:paraId="71713CF5" w14:textId="77777777" w:rsidR="00C571EC" w:rsidRPr="00F658A6" w:rsidRDefault="00C571EC" w:rsidP="00F608A7">
            <w:pPr>
              <w:jc w:val="left"/>
              <w:rPr>
                <w:sz w:val="16"/>
                <w:szCs w:val="16"/>
              </w:rPr>
            </w:pPr>
          </w:p>
        </w:tc>
        <w:tc>
          <w:tcPr>
            <w:tcW w:w="2976" w:type="dxa"/>
            <w:gridSpan w:val="2"/>
            <w:vMerge/>
            <w:vAlign w:val="center"/>
          </w:tcPr>
          <w:p w14:paraId="203C7D97" w14:textId="77777777" w:rsidR="00C571EC" w:rsidRPr="00F658A6" w:rsidRDefault="00C571EC" w:rsidP="00F608A7">
            <w:pPr>
              <w:jc w:val="left"/>
              <w:rPr>
                <w:sz w:val="16"/>
                <w:szCs w:val="16"/>
              </w:rPr>
            </w:pPr>
          </w:p>
        </w:tc>
        <w:tc>
          <w:tcPr>
            <w:tcW w:w="567" w:type="dxa"/>
            <w:vAlign w:val="center"/>
          </w:tcPr>
          <w:p w14:paraId="4BAAC3A0" w14:textId="77777777" w:rsidR="00C571EC" w:rsidRPr="00F658A6" w:rsidRDefault="00C571EC" w:rsidP="00F608A7">
            <w:pPr>
              <w:jc w:val="left"/>
              <w:rPr>
                <w:sz w:val="16"/>
                <w:szCs w:val="16"/>
              </w:rPr>
            </w:pPr>
            <w:r w:rsidRPr="00F658A6">
              <w:rPr>
                <w:sz w:val="16"/>
                <w:szCs w:val="16"/>
              </w:rPr>
              <w:t>5</w:t>
            </w:r>
          </w:p>
        </w:tc>
        <w:tc>
          <w:tcPr>
            <w:tcW w:w="4927" w:type="dxa"/>
            <w:vAlign w:val="center"/>
          </w:tcPr>
          <w:p w14:paraId="711FACAF" w14:textId="5BDBC81B" w:rsidR="00C571EC" w:rsidRPr="00F658A6" w:rsidRDefault="00434CC1" w:rsidP="00F608A7">
            <w:pPr>
              <w:jc w:val="left"/>
              <w:rPr>
                <w:sz w:val="16"/>
                <w:szCs w:val="16"/>
              </w:rPr>
            </w:pPr>
            <w:r w:rsidRPr="00F658A6">
              <w:rPr>
                <w:sz w:val="16"/>
                <w:szCs w:val="16"/>
              </w:rPr>
              <w:t>América Leticia Va</w:t>
            </w:r>
            <w:r w:rsidR="005A4F13" w:rsidRPr="00F658A6">
              <w:rPr>
                <w:sz w:val="16"/>
                <w:szCs w:val="16"/>
              </w:rPr>
              <w:t>í</w:t>
            </w:r>
            <w:r w:rsidR="00C571EC" w:rsidRPr="00F658A6">
              <w:rPr>
                <w:sz w:val="16"/>
                <w:szCs w:val="16"/>
              </w:rPr>
              <w:t>l López (Hermana)</w:t>
            </w:r>
          </w:p>
        </w:tc>
      </w:tr>
      <w:tr w:rsidR="00C571EC" w:rsidRPr="00F658A6" w14:paraId="2EA4854A" w14:textId="77777777" w:rsidTr="00F608A7">
        <w:tc>
          <w:tcPr>
            <w:tcW w:w="534" w:type="dxa"/>
            <w:vMerge/>
            <w:vAlign w:val="center"/>
          </w:tcPr>
          <w:p w14:paraId="5286A75E" w14:textId="77777777" w:rsidR="00C571EC" w:rsidRPr="00F658A6" w:rsidRDefault="00C571EC" w:rsidP="00F608A7">
            <w:pPr>
              <w:jc w:val="left"/>
              <w:rPr>
                <w:sz w:val="16"/>
                <w:szCs w:val="16"/>
              </w:rPr>
            </w:pPr>
          </w:p>
        </w:tc>
        <w:tc>
          <w:tcPr>
            <w:tcW w:w="2976" w:type="dxa"/>
            <w:gridSpan w:val="2"/>
            <w:vMerge/>
            <w:vAlign w:val="center"/>
          </w:tcPr>
          <w:p w14:paraId="12CF9EF6" w14:textId="77777777" w:rsidR="00C571EC" w:rsidRPr="00F658A6" w:rsidRDefault="00C571EC" w:rsidP="00F608A7">
            <w:pPr>
              <w:jc w:val="left"/>
              <w:rPr>
                <w:sz w:val="16"/>
                <w:szCs w:val="16"/>
              </w:rPr>
            </w:pPr>
          </w:p>
        </w:tc>
        <w:tc>
          <w:tcPr>
            <w:tcW w:w="567" w:type="dxa"/>
            <w:vAlign w:val="center"/>
          </w:tcPr>
          <w:p w14:paraId="421206BA" w14:textId="77777777" w:rsidR="00C571EC" w:rsidRPr="00F658A6" w:rsidRDefault="00C571EC" w:rsidP="00F608A7">
            <w:pPr>
              <w:jc w:val="left"/>
              <w:rPr>
                <w:sz w:val="16"/>
                <w:szCs w:val="16"/>
              </w:rPr>
            </w:pPr>
            <w:r w:rsidRPr="00F658A6">
              <w:rPr>
                <w:sz w:val="16"/>
                <w:szCs w:val="16"/>
              </w:rPr>
              <w:t>6</w:t>
            </w:r>
          </w:p>
        </w:tc>
        <w:tc>
          <w:tcPr>
            <w:tcW w:w="4927" w:type="dxa"/>
            <w:vAlign w:val="center"/>
          </w:tcPr>
          <w:p w14:paraId="4898F2B9" w14:textId="0C87A198" w:rsidR="00C571EC" w:rsidRPr="00F658A6" w:rsidRDefault="00434CC1" w:rsidP="00F608A7">
            <w:pPr>
              <w:jc w:val="left"/>
              <w:rPr>
                <w:sz w:val="16"/>
                <w:szCs w:val="16"/>
              </w:rPr>
            </w:pPr>
            <w:r w:rsidRPr="00F658A6">
              <w:rPr>
                <w:sz w:val="16"/>
                <w:szCs w:val="16"/>
              </w:rPr>
              <w:t>Marvin Antonio Va</w:t>
            </w:r>
            <w:r w:rsidR="005A4F13" w:rsidRPr="00F658A6">
              <w:rPr>
                <w:sz w:val="16"/>
                <w:szCs w:val="16"/>
              </w:rPr>
              <w:t>í</w:t>
            </w:r>
            <w:r w:rsidR="00C571EC" w:rsidRPr="00F658A6">
              <w:rPr>
                <w:sz w:val="16"/>
                <w:szCs w:val="16"/>
              </w:rPr>
              <w:t>l López (Hermano)</w:t>
            </w:r>
          </w:p>
        </w:tc>
      </w:tr>
      <w:tr w:rsidR="00C571EC" w:rsidRPr="00F658A6" w14:paraId="6BD7B2B6" w14:textId="77777777" w:rsidTr="00F608A7">
        <w:tc>
          <w:tcPr>
            <w:tcW w:w="534" w:type="dxa"/>
            <w:vMerge/>
            <w:tcBorders>
              <w:bottom w:val="single" w:sz="4" w:space="0" w:color="auto"/>
            </w:tcBorders>
            <w:vAlign w:val="center"/>
          </w:tcPr>
          <w:p w14:paraId="789A38CD" w14:textId="77777777" w:rsidR="00C571EC" w:rsidRPr="00F658A6" w:rsidRDefault="00C571EC" w:rsidP="00F608A7">
            <w:pPr>
              <w:jc w:val="left"/>
              <w:rPr>
                <w:sz w:val="16"/>
                <w:szCs w:val="16"/>
              </w:rPr>
            </w:pPr>
          </w:p>
        </w:tc>
        <w:tc>
          <w:tcPr>
            <w:tcW w:w="2976" w:type="dxa"/>
            <w:gridSpan w:val="2"/>
            <w:vMerge/>
            <w:tcBorders>
              <w:bottom w:val="single" w:sz="4" w:space="0" w:color="auto"/>
            </w:tcBorders>
            <w:vAlign w:val="center"/>
          </w:tcPr>
          <w:p w14:paraId="4F821745" w14:textId="77777777" w:rsidR="00C571EC" w:rsidRPr="00F658A6" w:rsidRDefault="00C571EC" w:rsidP="00F608A7">
            <w:pPr>
              <w:jc w:val="left"/>
              <w:rPr>
                <w:sz w:val="16"/>
                <w:szCs w:val="16"/>
              </w:rPr>
            </w:pPr>
          </w:p>
        </w:tc>
        <w:tc>
          <w:tcPr>
            <w:tcW w:w="567" w:type="dxa"/>
            <w:tcBorders>
              <w:bottom w:val="single" w:sz="4" w:space="0" w:color="auto"/>
            </w:tcBorders>
            <w:vAlign w:val="center"/>
          </w:tcPr>
          <w:p w14:paraId="4CC38337" w14:textId="77777777" w:rsidR="00C571EC" w:rsidRPr="00F658A6" w:rsidRDefault="00C571EC" w:rsidP="00F608A7">
            <w:pPr>
              <w:jc w:val="left"/>
              <w:rPr>
                <w:sz w:val="16"/>
                <w:szCs w:val="16"/>
              </w:rPr>
            </w:pPr>
            <w:r w:rsidRPr="00F658A6">
              <w:rPr>
                <w:sz w:val="16"/>
                <w:szCs w:val="16"/>
              </w:rPr>
              <w:t>7</w:t>
            </w:r>
          </w:p>
        </w:tc>
        <w:tc>
          <w:tcPr>
            <w:tcW w:w="4927" w:type="dxa"/>
            <w:tcBorders>
              <w:bottom w:val="single" w:sz="4" w:space="0" w:color="auto"/>
            </w:tcBorders>
            <w:vAlign w:val="center"/>
          </w:tcPr>
          <w:p w14:paraId="038DA3F5" w14:textId="54F99CE2" w:rsidR="00C571EC" w:rsidRPr="00F658A6" w:rsidRDefault="00434CC1" w:rsidP="00F608A7">
            <w:pPr>
              <w:jc w:val="left"/>
              <w:rPr>
                <w:sz w:val="16"/>
                <w:szCs w:val="16"/>
              </w:rPr>
            </w:pPr>
            <w:r w:rsidRPr="00F658A6">
              <w:rPr>
                <w:sz w:val="16"/>
                <w:szCs w:val="16"/>
              </w:rPr>
              <w:t>Krizia Vanessa Va</w:t>
            </w:r>
            <w:r w:rsidR="005A4F13" w:rsidRPr="00F658A6">
              <w:rPr>
                <w:sz w:val="16"/>
                <w:szCs w:val="16"/>
              </w:rPr>
              <w:t>í</w:t>
            </w:r>
            <w:r w:rsidR="00C571EC" w:rsidRPr="00F658A6">
              <w:rPr>
                <w:sz w:val="16"/>
                <w:szCs w:val="16"/>
              </w:rPr>
              <w:t>l Aguilar (Sobrina)</w:t>
            </w:r>
          </w:p>
        </w:tc>
      </w:tr>
      <w:tr w:rsidR="007F3128" w:rsidRPr="00F658A6" w14:paraId="0F7CA14B" w14:textId="77777777" w:rsidTr="00F608A7">
        <w:tc>
          <w:tcPr>
            <w:tcW w:w="534" w:type="dxa"/>
            <w:tcBorders>
              <w:bottom w:val="nil"/>
            </w:tcBorders>
            <w:vAlign w:val="center"/>
          </w:tcPr>
          <w:p w14:paraId="4AD77348" w14:textId="247CAA46" w:rsidR="007F3128" w:rsidRPr="00F658A6" w:rsidRDefault="007F3128" w:rsidP="00F608A7">
            <w:pPr>
              <w:jc w:val="left"/>
              <w:rPr>
                <w:sz w:val="16"/>
                <w:szCs w:val="16"/>
              </w:rPr>
            </w:pPr>
            <w:r w:rsidRPr="00F658A6">
              <w:rPr>
                <w:sz w:val="16"/>
                <w:szCs w:val="16"/>
              </w:rPr>
              <w:t>8</w:t>
            </w:r>
          </w:p>
        </w:tc>
        <w:tc>
          <w:tcPr>
            <w:tcW w:w="2976" w:type="dxa"/>
            <w:gridSpan w:val="2"/>
            <w:tcBorders>
              <w:bottom w:val="nil"/>
            </w:tcBorders>
            <w:vAlign w:val="center"/>
          </w:tcPr>
          <w:p w14:paraId="466E7363" w14:textId="671434B7" w:rsidR="003E310A" w:rsidRPr="00F658A6" w:rsidRDefault="007F3128" w:rsidP="00F608A7">
            <w:pPr>
              <w:jc w:val="left"/>
              <w:rPr>
                <w:sz w:val="16"/>
                <w:szCs w:val="16"/>
              </w:rPr>
            </w:pPr>
            <w:r w:rsidRPr="00F658A6">
              <w:rPr>
                <w:sz w:val="16"/>
                <w:szCs w:val="16"/>
              </w:rPr>
              <w:t>Alberto Quiché Cuxeva</w:t>
            </w:r>
          </w:p>
        </w:tc>
        <w:tc>
          <w:tcPr>
            <w:tcW w:w="567" w:type="dxa"/>
            <w:tcBorders>
              <w:bottom w:val="single" w:sz="4" w:space="0" w:color="auto"/>
            </w:tcBorders>
            <w:vAlign w:val="center"/>
          </w:tcPr>
          <w:p w14:paraId="164D7BD4" w14:textId="1E0C23D0" w:rsidR="007F3128" w:rsidRPr="00F658A6" w:rsidRDefault="007F3128" w:rsidP="00F608A7">
            <w:pPr>
              <w:jc w:val="left"/>
              <w:rPr>
                <w:sz w:val="16"/>
                <w:szCs w:val="16"/>
              </w:rPr>
            </w:pPr>
            <w:r w:rsidRPr="00F658A6">
              <w:rPr>
                <w:sz w:val="16"/>
                <w:szCs w:val="16"/>
              </w:rPr>
              <w:t>1</w:t>
            </w:r>
          </w:p>
        </w:tc>
        <w:tc>
          <w:tcPr>
            <w:tcW w:w="4927" w:type="dxa"/>
            <w:tcBorders>
              <w:bottom w:val="single" w:sz="4" w:space="0" w:color="auto"/>
            </w:tcBorders>
            <w:vAlign w:val="center"/>
          </w:tcPr>
          <w:p w14:paraId="359425D8" w14:textId="0163302E" w:rsidR="007F3128" w:rsidRPr="00F658A6" w:rsidRDefault="007F3128" w:rsidP="00F608A7">
            <w:pPr>
              <w:jc w:val="left"/>
              <w:rPr>
                <w:sz w:val="16"/>
                <w:szCs w:val="16"/>
              </w:rPr>
            </w:pPr>
            <w:r w:rsidRPr="00F658A6">
              <w:rPr>
                <w:sz w:val="16"/>
                <w:szCs w:val="16"/>
              </w:rPr>
              <w:t>Marisela Quiché Gualip (Hija)</w:t>
            </w:r>
          </w:p>
        </w:tc>
      </w:tr>
      <w:tr w:rsidR="007F3128" w:rsidRPr="00F658A6" w14:paraId="200EC028" w14:textId="77777777" w:rsidTr="00F608A7">
        <w:tc>
          <w:tcPr>
            <w:tcW w:w="534" w:type="dxa"/>
            <w:tcBorders>
              <w:top w:val="nil"/>
              <w:left w:val="single" w:sz="4" w:space="0" w:color="auto"/>
              <w:bottom w:val="nil"/>
              <w:right w:val="single" w:sz="4" w:space="0" w:color="auto"/>
            </w:tcBorders>
            <w:vAlign w:val="center"/>
          </w:tcPr>
          <w:p w14:paraId="3B447B36" w14:textId="6C24EF8D" w:rsidR="007F3128" w:rsidRPr="00F658A6" w:rsidRDefault="007F3128" w:rsidP="00F608A7">
            <w:pPr>
              <w:jc w:val="left"/>
              <w:rPr>
                <w:sz w:val="16"/>
                <w:szCs w:val="16"/>
              </w:rPr>
            </w:pPr>
          </w:p>
        </w:tc>
        <w:tc>
          <w:tcPr>
            <w:tcW w:w="2976" w:type="dxa"/>
            <w:gridSpan w:val="2"/>
            <w:tcBorders>
              <w:top w:val="nil"/>
              <w:left w:val="single" w:sz="4" w:space="0" w:color="auto"/>
              <w:bottom w:val="nil"/>
              <w:right w:val="single" w:sz="4" w:space="0" w:color="auto"/>
            </w:tcBorders>
            <w:vAlign w:val="center"/>
          </w:tcPr>
          <w:p w14:paraId="4D378C9A" w14:textId="77777777" w:rsidR="007F3128" w:rsidRPr="00F658A6" w:rsidRDefault="007F3128" w:rsidP="00F608A7">
            <w:pPr>
              <w:jc w:val="left"/>
              <w:rPr>
                <w:sz w:val="16"/>
                <w:szCs w:val="16"/>
              </w:rPr>
            </w:pPr>
          </w:p>
        </w:tc>
        <w:tc>
          <w:tcPr>
            <w:tcW w:w="567" w:type="dxa"/>
            <w:tcBorders>
              <w:left w:val="single" w:sz="4" w:space="0" w:color="auto"/>
              <w:bottom w:val="single" w:sz="4" w:space="0" w:color="auto"/>
            </w:tcBorders>
            <w:vAlign w:val="center"/>
          </w:tcPr>
          <w:p w14:paraId="6719BC72" w14:textId="52C6ABD7" w:rsidR="007F3128" w:rsidRPr="00F658A6" w:rsidRDefault="007F3128" w:rsidP="00F608A7">
            <w:pPr>
              <w:jc w:val="left"/>
              <w:rPr>
                <w:sz w:val="16"/>
                <w:szCs w:val="16"/>
              </w:rPr>
            </w:pPr>
            <w:r w:rsidRPr="00F658A6">
              <w:rPr>
                <w:sz w:val="16"/>
                <w:szCs w:val="16"/>
              </w:rPr>
              <w:t>2</w:t>
            </w:r>
          </w:p>
        </w:tc>
        <w:tc>
          <w:tcPr>
            <w:tcW w:w="4927" w:type="dxa"/>
            <w:tcBorders>
              <w:bottom w:val="single" w:sz="4" w:space="0" w:color="auto"/>
            </w:tcBorders>
            <w:vAlign w:val="center"/>
          </w:tcPr>
          <w:p w14:paraId="615F4CB6" w14:textId="553C0F3B" w:rsidR="007F3128" w:rsidRPr="00F658A6" w:rsidRDefault="007F3128" w:rsidP="00F608A7">
            <w:pPr>
              <w:jc w:val="left"/>
              <w:rPr>
                <w:sz w:val="16"/>
                <w:szCs w:val="16"/>
              </w:rPr>
            </w:pPr>
            <w:r w:rsidRPr="00F658A6">
              <w:rPr>
                <w:sz w:val="16"/>
                <w:szCs w:val="16"/>
              </w:rPr>
              <w:t>Víctor Quiché Ramírez (Padre)</w:t>
            </w:r>
          </w:p>
        </w:tc>
      </w:tr>
      <w:tr w:rsidR="007F3128" w:rsidRPr="00F658A6" w14:paraId="1732EF7A" w14:textId="77777777" w:rsidTr="00F608A7">
        <w:tc>
          <w:tcPr>
            <w:tcW w:w="534" w:type="dxa"/>
            <w:tcBorders>
              <w:top w:val="nil"/>
              <w:left w:val="single" w:sz="4" w:space="0" w:color="auto"/>
              <w:bottom w:val="nil"/>
              <w:right w:val="single" w:sz="4" w:space="0" w:color="auto"/>
            </w:tcBorders>
            <w:vAlign w:val="center"/>
          </w:tcPr>
          <w:p w14:paraId="70EE706E" w14:textId="77777777" w:rsidR="007F3128" w:rsidRPr="00F658A6" w:rsidRDefault="007F3128" w:rsidP="00F608A7">
            <w:pPr>
              <w:jc w:val="left"/>
              <w:rPr>
                <w:sz w:val="16"/>
                <w:szCs w:val="16"/>
              </w:rPr>
            </w:pPr>
          </w:p>
        </w:tc>
        <w:tc>
          <w:tcPr>
            <w:tcW w:w="2976" w:type="dxa"/>
            <w:gridSpan w:val="2"/>
            <w:tcBorders>
              <w:top w:val="nil"/>
              <w:left w:val="single" w:sz="4" w:space="0" w:color="auto"/>
              <w:bottom w:val="nil"/>
              <w:right w:val="single" w:sz="4" w:space="0" w:color="auto"/>
            </w:tcBorders>
            <w:vAlign w:val="center"/>
          </w:tcPr>
          <w:p w14:paraId="065C2B1E" w14:textId="77777777" w:rsidR="007F3128" w:rsidRPr="00F658A6" w:rsidRDefault="007F3128" w:rsidP="00F608A7">
            <w:pPr>
              <w:jc w:val="left"/>
              <w:rPr>
                <w:sz w:val="16"/>
                <w:szCs w:val="16"/>
              </w:rPr>
            </w:pPr>
          </w:p>
        </w:tc>
        <w:tc>
          <w:tcPr>
            <w:tcW w:w="567" w:type="dxa"/>
            <w:tcBorders>
              <w:left w:val="single" w:sz="4" w:space="0" w:color="auto"/>
              <w:bottom w:val="single" w:sz="4" w:space="0" w:color="auto"/>
            </w:tcBorders>
            <w:vAlign w:val="center"/>
          </w:tcPr>
          <w:p w14:paraId="18EEDAD1" w14:textId="2ABB49AC" w:rsidR="007F3128" w:rsidRPr="00F658A6" w:rsidRDefault="007F3128" w:rsidP="00F608A7">
            <w:pPr>
              <w:jc w:val="left"/>
              <w:rPr>
                <w:sz w:val="16"/>
                <w:szCs w:val="16"/>
              </w:rPr>
            </w:pPr>
            <w:r w:rsidRPr="00F658A6">
              <w:rPr>
                <w:sz w:val="16"/>
                <w:szCs w:val="16"/>
              </w:rPr>
              <w:t>3</w:t>
            </w:r>
          </w:p>
        </w:tc>
        <w:tc>
          <w:tcPr>
            <w:tcW w:w="4927" w:type="dxa"/>
            <w:tcBorders>
              <w:bottom w:val="single" w:sz="4" w:space="0" w:color="auto"/>
            </w:tcBorders>
            <w:vAlign w:val="center"/>
          </w:tcPr>
          <w:p w14:paraId="1E4D5141" w14:textId="7C211EF3" w:rsidR="007F3128" w:rsidRPr="00F658A6" w:rsidRDefault="007F3128" w:rsidP="00F608A7">
            <w:pPr>
              <w:jc w:val="left"/>
              <w:rPr>
                <w:sz w:val="16"/>
                <w:szCs w:val="16"/>
              </w:rPr>
            </w:pPr>
            <w:r w:rsidRPr="00F658A6">
              <w:rPr>
                <w:sz w:val="16"/>
                <w:szCs w:val="16"/>
              </w:rPr>
              <w:t>Manuela Cuxeva García (Madre)</w:t>
            </w:r>
          </w:p>
        </w:tc>
      </w:tr>
      <w:tr w:rsidR="007F3128" w:rsidRPr="00F658A6" w14:paraId="19DB1698" w14:textId="77777777" w:rsidTr="00F608A7">
        <w:tc>
          <w:tcPr>
            <w:tcW w:w="534" w:type="dxa"/>
            <w:tcBorders>
              <w:top w:val="nil"/>
              <w:left w:val="single" w:sz="4" w:space="0" w:color="auto"/>
              <w:bottom w:val="nil"/>
              <w:right w:val="single" w:sz="4" w:space="0" w:color="auto"/>
            </w:tcBorders>
            <w:vAlign w:val="center"/>
          </w:tcPr>
          <w:p w14:paraId="1819CC07" w14:textId="77777777" w:rsidR="007F3128" w:rsidRPr="00F658A6" w:rsidRDefault="007F3128" w:rsidP="00F608A7">
            <w:pPr>
              <w:jc w:val="left"/>
              <w:rPr>
                <w:sz w:val="16"/>
                <w:szCs w:val="16"/>
              </w:rPr>
            </w:pPr>
          </w:p>
        </w:tc>
        <w:tc>
          <w:tcPr>
            <w:tcW w:w="2976" w:type="dxa"/>
            <w:gridSpan w:val="2"/>
            <w:tcBorders>
              <w:top w:val="nil"/>
              <w:left w:val="single" w:sz="4" w:space="0" w:color="auto"/>
              <w:bottom w:val="nil"/>
              <w:right w:val="single" w:sz="4" w:space="0" w:color="auto"/>
            </w:tcBorders>
            <w:vAlign w:val="center"/>
          </w:tcPr>
          <w:p w14:paraId="30B4DE91" w14:textId="77777777" w:rsidR="007F3128" w:rsidRPr="00F658A6" w:rsidRDefault="007F3128" w:rsidP="00F608A7">
            <w:pPr>
              <w:jc w:val="left"/>
              <w:rPr>
                <w:sz w:val="16"/>
                <w:szCs w:val="16"/>
              </w:rPr>
            </w:pPr>
          </w:p>
        </w:tc>
        <w:tc>
          <w:tcPr>
            <w:tcW w:w="567" w:type="dxa"/>
            <w:tcBorders>
              <w:left w:val="single" w:sz="4" w:space="0" w:color="auto"/>
              <w:bottom w:val="single" w:sz="4" w:space="0" w:color="auto"/>
            </w:tcBorders>
            <w:vAlign w:val="center"/>
          </w:tcPr>
          <w:p w14:paraId="25CB3918" w14:textId="6E061AE8" w:rsidR="007F3128" w:rsidRPr="00F658A6" w:rsidRDefault="007F3128" w:rsidP="00F608A7">
            <w:pPr>
              <w:jc w:val="left"/>
              <w:rPr>
                <w:sz w:val="16"/>
                <w:szCs w:val="16"/>
              </w:rPr>
            </w:pPr>
            <w:r w:rsidRPr="00F658A6">
              <w:rPr>
                <w:sz w:val="16"/>
                <w:szCs w:val="16"/>
              </w:rPr>
              <w:t>4</w:t>
            </w:r>
          </w:p>
        </w:tc>
        <w:tc>
          <w:tcPr>
            <w:tcW w:w="4927" w:type="dxa"/>
            <w:tcBorders>
              <w:bottom w:val="single" w:sz="4" w:space="0" w:color="auto"/>
            </w:tcBorders>
            <w:vAlign w:val="center"/>
          </w:tcPr>
          <w:p w14:paraId="005A0E16" w14:textId="1DAD57C0" w:rsidR="007F3128" w:rsidRPr="00F658A6" w:rsidRDefault="007F3128" w:rsidP="00F608A7">
            <w:pPr>
              <w:jc w:val="left"/>
              <w:rPr>
                <w:sz w:val="16"/>
                <w:szCs w:val="16"/>
              </w:rPr>
            </w:pPr>
            <w:r w:rsidRPr="00F658A6">
              <w:rPr>
                <w:sz w:val="16"/>
                <w:szCs w:val="16"/>
              </w:rPr>
              <w:t>Lucía Quiché Cuxeva (Hermana)</w:t>
            </w:r>
          </w:p>
        </w:tc>
      </w:tr>
      <w:tr w:rsidR="00F658A6" w:rsidRPr="00F658A6" w14:paraId="0E4983CF" w14:textId="77777777" w:rsidTr="00F608A7">
        <w:tc>
          <w:tcPr>
            <w:tcW w:w="9004" w:type="dxa"/>
            <w:gridSpan w:val="5"/>
            <w:tcBorders>
              <w:right w:val="single" w:sz="4" w:space="0" w:color="auto"/>
            </w:tcBorders>
            <w:vAlign w:val="center"/>
          </w:tcPr>
          <w:p w14:paraId="6D9BD50F" w14:textId="2F67A8C6" w:rsidR="00F658A6" w:rsidRPr="00F658A6" w:rsidRDefault="00F658A6" w:rsidP="00F608A7">
            <w:pPr>
              <w:jc w:val="center"/>
              <w:rPr>
                <w:sz w:val="16"/>
                <w:szCs w:val="16"/>
              </w:rPr>
            </w:pPr>
            <w:r w:rsidRPr="00F658A6">
              <w:rPr>
                <w:b/>
                <w:sz w:val="16"/>
                <w:szCs w:val="16"/>
              </w:rPr>
              <w:t>B. PRESUNTAS VICTIMAS CON VIDA</w:t>
            </w:r>
          </w:p>
        </w:tc>
      </w:tr>
      <w:tr w:rsidR="00F658A6" w:rsidRPr="00F658A6" w14:paraId="73FDB218" w14:textId="77777777" w:rsidTr="00F608A7">
        <w:tc>
          <w:tcPr>
            <w:tcW w:w="560" w:type="dxa"/>
            <w:gridSpan w:val="2"/>
            <w:vAlign w:val="center"/>
          </w:tcPr>
          <w:p w14:paraId="5E9E794C" w14:textId="5E0EF208" w:rsidR="00F658A6" w:rsidRPr="00F658A6" w:rsidRDefault="00F658A6" w:rsidP="00F608A7">
            <w:pPr>
              <w:jc w:val="center"/>
              <w:rPr>
                <w:b/>
                <w:sz w:val="16"/>
                <w:szCs w:val="16"/>
              </w:rPr>
            </w:pPr>
            <w:r>
              <w:rPr>
                <w:b/>
                <w:sz w:val="16"/>
                <w:szCs w:val="16"/>
              </w:rPr>
              <w:t>N°</w:t>
            </w:r>
          </w:p>
        </w:tc>
        <w:tc>
          <w:tcPr>
            <w:tcW w:w="2950" w:type="dxa"/>
            <w:tcBorders>
              <w:top w:val="single" w:sz="4" w:space="0" w:color="auto"/>
            </w:tcBorders>
            <w:vAlign w:val="center"/>
          </w:tcPr>
          <w:p w14:paraId="00A046AF" w14:textId="7F7F3B1E" w:rsidR="00F658A6" w:rsidRPr="00F658A6" w:rsidRDefault="00F658A6" w:rsidP="00F608A7">
            <w:pPr>
              <w:jc w:val="center"/>
              <w:rPr>
                <w:b/>
                <w:sz w:val="16"/>
                <w:szCs w:val="16"/>
              </w:rPr>
            </w:pPr>
            <w:r w:rsidRPr="00F658A6">
              <w:rPr>
                <w:b/>
                <w:sz w:val="16"/>
                <w:szCs w:val="16"/>
              </w:rPr>
              <w:t>PRESUNTA VÍCTIMA</w:t>
            </w:r>
          </w:p>
        </w:tc>
        <w:tc>
          <w:tcPr>
            <w:tcW w:w="567" w:type="dxa"/>
            <w:tcBorders>
              <w:top w:val="single" w:sz="4" w:space="0" w:color="auto"/>
            </w:tcBorders>
            <w:vAlign w:val="center"/>
          </w:tcPr>
          <w:p w14:paraId="1FC45489" w14:textId="42D6611C" w:rsidR="00F658A6" w:rsidRPr="00F658A6" w:rsidRDefault="00F658A6" w:rsidP="00F608A7">
            <w:pPr>
              <w:jc w:val="center"/>
              <w:rPr>
                <w:b/>
                <w:sz w:val="16"/>
                <w:szCs w:val="16"/>
              </w:rPr>
            </w:pPr>
            <w:r w:rsidRPr="00F658A6">
              <w:rPr>
                <w:b/>
                <w:sz w:val="16"/>
                <w:szCs w:val="16"/>
              </w:rPr>
              <w:t>N</w:t>
            </w:r>
            <w:r>
              <w:rPr>
                <w:b/>
                <w:sz w:val="16"/>
                <w:szCs w:val="16"/>
              </w:rPr>
              <w:t>°</w:t>
            </w:r>
          </w:p>
        </w:tc>
        <w:tc>
          <w:tcPr>
            <w:tcW w:w="4927" w:type="dxa"/>
            <w:tcBorders>
              <w:top w:val="single" w:sz="4" w:space="0" w:color="auto"/>
            </w:tcBorders>
            <w:vAlign w:val="center"/>
          </w:tcPr>
          <w:p w14:paraId="49EBBEA6" w14:textId="65C8413B" w:rsidR="00F658A6" w:rsidRPr="00F658A6" w:rsidRDefault="00F658A6" w:rsidP="00F608A7">
            <w:pPr>
              <w:jc w:val="center"/>
              <w:rPr>
                <w:b/>
                <w:sz w:val="16"/>
                <w:szCs w:val="16"/>
              </w:rPr>
            </w:pPr>
            <w:r w:rsidRPr="00F658A6">
              <w:rPr>
                <w:b/>
                <w:sz w:val="16"/>
                <w:szCs w:val="16"/>
              </w:rPr>
              <w:t>FAMILIARES</w:t>
            </w:r>
          </w:p>
        </w:tc>
      </w:tr>
      <w:tr w:rsidR="007F3128" w:rsidRPr="00F658A6" w14:paraId="170CE45C" w14:textId="77777777" w:rsidTr="00F608A7">
        <w:tc>
          <w:tcPr>
            <w:tcW w:w="560" w:type="dxa"/>
            <w:gridSpan w:val="2"/>
            <w:vMerge w:val="restart"/>
            <w:vAlign w:val="center"/>
          </w:tcPr>
          <w:p w14:paraId="4CEFDF9C" w14:textId="59E7A350" w:rsidR="007F3128" w:rsidRPr="00F658A6" w:rsidRDefault="007F3128" w:rsidP="00F608A7">
            <w:pPr>
              <w:jc w:val="left"/>
              <w:rPr>
                <w:sz w:val="16"/>
                <w:szCs w:val="16"/>
              </w:rPr>
            </w:pPr>
            <w:r w:rsidRPr="00F658A6">
              <w:rPr>
                <w:sz w:val="16"/>
                <w:szCs w:val="16"/>
              </w:rPr>
              <w:t>9</w:t>
            </w:r>
          </w:p>
        </w:tc>
        <w:tc>
          <w:tcPr>
            <w:tcW w:w="2950" w:type="dxa"/>
            <w:vMerge w:val="restart"/>
            <w:tcBorders>
              <w:top w:val="single" w:sz="4" w:space="0" w:color="auto"/>
            </w:tcBorders>
            <w:vAlign w:val="center"/>
          </w:tcPr>
          <w:p w14:paraId="2962484D" w14:textId="0D373B55" w:rsidR="007F3128" w:rsidRPr="00F658A6" w:rsidRDefault="007F3128" w:rsidP="00F608A7">
            <w:pPr>
              <w:jc w:val="left"/>
              <w:rPr>
                <w:sz w:val="16"/>
                <w:szCs w:val="16"/>
              </w:rPr>
            </w:pPr>
            <w:r w:rsidRPr="00F658A6">
              <w:rPr>
                <w:sz w:val="16"/>
                <w:szCs w:val="16"/>
              </w:rPr>
              <w:t xml:space="preserve">Guadalupe </w:t>
            </w:r>
            <w:r w:rsidR="00DD78FD" w:rsidRPr="00F658A6">
              <w:rPr>
                <w:sz w:val="16"/>
                <w:szCs w:val="16"/>
              </w:rPr>
              <w:t>Herminia Cayaxo</w:t>
            </w:r>
            <w:r w:rsidRPr="00F658A6">
              <w:rPr>
                <w:sz w:val="16"/>
                <w:szCs w:val="16"/>
              </w:rPr>
              <w:t>n García</w:t>
            </w:r>
          </w:p>
        </w:tc>
        <w:tc>
          <w:tcPr>
            <w:tcW w:w="567" w:type="dxa"/>
            <w:tcBorders>
              <w:top w:val="single" w:sz="4" w:space="0" w:color="auto"/>
            </w:tcBorders>
            <w:vAlign w:val="center"/>
          </w:tcPr>
          <w:p w14:paraId="3A7C89A4" w14:textId="77777777" w:rsidR="007F3128" w:rsidRPr="00F658A6" w:rsidRDefault="007F3128" w:rsidP="00F608A7">
            <w:pPr>
              <w:jc w:val="left"/>
              <w:rPr>
                <w:sz w:val="16"/>
                <w:szCs w:val="16"/>
              </w:rPr>
            </w:pPr>
            <w:r w:rsidRPr="00F658A6">
              <w:rPr>
                <w:sz w:val="16"/>
                <w:szCs w:val="16"/>
              </w:rPr>
              <w:t>1</w:t>
            </w:r>
          </w:p>
        </w:tc>
        <w:tc>
          <w:tcPr>
            <w:tcW w:w="4927" w:type="dxa"/>
            <w:tcBorders>
              <w:top w:val="single" w:sz="4" w:space="0" w:color="auto"/>
            </w:tcBorders>
            <w:vAlign w:val="center"/>
          </w:tcPr>
          <w:p w14:paraId="56B91FFC" w14:textId="77777777" w:rsidR="007F3128" w:rsidRPr="00F658A6" w:rsidRDefault="007F3128" w:rsidP="00F608A7">
            <w:pPr>
              <w:jc w:val="left"/>
              <w:rPr>
                <w:sz w:val="16"/>
                <w:szCs w:val="16"/>
              </w:rPr>
            </w:pPr>
            <w:r w:rsidRPr="00F658A6">
              <w:rPr>
                <w:sz w:val="16"/>
                <w:szCs w:val="16"/>
              </w:rPr>
              <w:t>Rafael de León (fallecido por VIH)</w:t>
            </w:r>
          </w:p>
        </w:tc>
      </w:tr>
      <w:tr w:rsidR="007F3128" w:rsidRPr="00F658A6" w14:paraId="4C863EB3" w14:textId="77777777" w:rsidTr="00F608A7">
        <w:tc>
          <w:tcPr>
            <w:tcW w:w="560" w:type="dxa"/>
            <w:gridSpan w:val="2"/>
            <w:vMerge/>
            <w:vAlign w:val="center"/>
          </w:tcPr>
          <w:p w14:paraId="64A160C8" w14:textId="77777777" w:rsidR="007F3128" w:rsidRPr="00F658A6" w:rsidRDefault="007F3128" w:rsidP="00F608A7">
            <w:pPr>
              <w:jc w:val="left"/>
              <w:rPr>
                <w:sz w:val="16"/>
                <w:szCs w:val="16"/>
              </w:rPr>
            </w:pPr>
          </w:p>
        </w:tc>
        <w:tc>
          <w:tcPr>
            <w:tcW w:w="2950" w:type="dxa"/>
            <w:vMerge/>
            <w:vAlign w:val="center"/>
          </w:tcPr>
          <w:p w14:paraId="1E0ABDD0" w14:textId="77777777" w:rsidR="007F3128" w:rsidRPr="00F658A6" w:rsidRDefault="007F3128" w:rsidP="00F608A7">
            <w:pPr>
              <w:jc w:val="left"/>
              <w:rPr>
                <w:sz w:val="16"/>
                <w:szCs w:val="16"/>
              </w:rPr>
            </w:pPr>
          </w:p>
        </w:tc>
        <w:tc>
          <w:tcPr>
            <w:tcW w:w="567" w:type="dxa"/>
            <w:vAlign w:val="center"/>
          </w:tcPr>
          <w:p w14:paraId="1D209048"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54BEB15" w14:textId="5F50AE9C" w:rsidR="007F3128" w:rsidRPr="00F658A6" w:rsidRDefault="00EE26FD" w:rsidP="00F608A7">
            <w:pPr>
              <w:jc w:val="left"/>
              <w:rPr>
                <w:sz w:val="16"/>
                <w:szCs w:val="16"/>
              </w:rPr>
            </w:pPr>
            <w:r w:rsidRPr="00F658A6">
              <w:rPr>
                <w:sz w:val="16"/>
                <w:szCs w:val="16"/>
              </w:rPr>
              <w:t>Sandra Judith Pérez Cayaxo</w:t>
            </w:r>
            <w:r w:rsidR="007F3128" w:rsidRPr="00F658A6">
              <w:rPr>
                <w:sz w:val="16"/>
                <w:szCs w:val="16"/>
              </w:rPr>
              <w:t>n (Hija)</w:t>
            </w:r>
          </w:p>
        </w:tc>
      </w:tr>
      <w:tr w:rsidR="007F3128" w:rsidRPr="00F658A6" w14:paraId="2752B9C5" w14:textId="77777777" w:rsidTr="00F608A7">
        <w:tc>
          <w:tcPr>
            <w:tcW w:w="560" w:type="dxa"/>
            <w:gridSpan w:val="2"/>
            <w:vMerge/>
            <w:vAlign w:val="center"/>
          </w:tcPr>
          <w:p w14:paraId="55202A19" w14:textId="77777777" w:rsidR="007F3128" w:rsidRPr="00F658A6" w:rsidRDefault="007F3128" w:rsidP="00F608A7">
            <w:pPr>
              <w:jc w:val="left"/>
              <w:rPr>
                <w:sz w:val="16"/>
                <w:szCs w:val="16"/>
              </w:rPr>
            </w:pPr>
          </w:p>
        </w:tc>
        <w:tc>
          <w:tcPr>
            <w:tcW w:w="2950" w:type="dxa"/>
            <w:vMerge/>
            <w:vAlign w:val="center"/>
          </w:tcPr>
          <w:p w14:paraId="4DFBEF73" w14:textId="77777777" w:rsidR="007F3128" w:rsidRPr="00F658A6" w:rsidRDefault="007F3128" w:rsidP="00F608A7">
            <w:pPr>
              <w:jc w:val="left"/>
              <w:rPr>
                <w:sz w:val="16"/>
                <w:szCs w:val="16"/>
              </w:rPr>
            </w:pPr>
          </w:p>
        </w:tc>
        <w:tc>
          <w:tcPr>
            <w:tcW w:w="567" w:type="dxa"/>
            <w:vAlign w:val="center"/>
          </w:tcPr>
          <w:p w14:paraId="551DFDF8"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AA50236" w14:textId="3C2868A8" w:rsidR="007F3128" w:rsidRPr="00F658A6" w:rsidRDefault="00EE26FD" w:rsidP="00F608A7">
            <w:pPr>
              <w:jc w:val="left"/>
              <w:rPr>
                <w:sz w:val="16"/>
                <w:szCs w:val="16"/>
              </w:rPr>
            </w:pPr>
            <w:r w:rsidRPr="00F658A6">
              <w:rPr>
                <w:sz w:val="16"/>
                <w:szCs w:val="16"/>
              </w:rPr>
              <w:t>Guadalupe Pérez Cayaxo</w:t>
            </w:r>
            <w:r w:rsidR="007F3128" w:rsidRPr="00F658A6">
              <w:rPr>
                <w:sz w:val="16"/>
                <w:szCs w:val="16"/>
              </w:rPr>
              <w:t>n (Hija)</w:t>
            </w:r>
          </w:p>
        </w:tc>
      </w:tr>
      <w:tr w:rsidR="007F3128" w:rsidRPr="00F658A6" w14:paraId="3DA08774" w14:textId="77777777" w:rsidTr="00F608A7">
        <w:tc>
          <w:tcPr>
            <w:tcW w:w="560" w:type="dxa"/>
            <w:gridSpan w:val="2"/>
            <w:vMerge/>
            <w:vAlign w:val="center"/>
          </w:tcPr>
          <w:p w14:paraId="2BAD807A" w14:textId="77777777" w:rsidR="007F3128" w:rsidRPr="00F658A6" w:rsidRDefault="007F3128" w:rsidP="00F608A7">
            <w:pPr>
              <w:jc w:val="left"/>
              <w:rPr>
                <w:sz w:val="16"/>
                <w:szCs w:val="16"/>
              </w:rPr>
            </w:pPr>
          </w:p>
        </w:tc>
        <w:tc>
          <w:tcPr>
            <w:tcW w:w="2950" w:type="dxa"/>
            <w:vMerge/>
            <w:vAlign w:val="center"/>
          </w:tcPr>
          <w:p w14:paraId="3A268DDB" w14:textId="77777777" w:rsidR="007F3128" w:rsidRPr="00F658A6" w:rsidRDefault="007F3128" w:rsidP="00F608A7">
            <w:pPr>
              <w:jc w:val="left"/>
              <w:rPr>
                <w:sz w:val="16"/>
                <w:szCs w:val="16"/>
              </w:rPr>
            </w:pPr>
          </w:p>
        </w:tc>
        <w:tc>
          <w:tcPr>
            <w:tcW w:w="567" w:type="dxa"/>
            <w:vAlign w:val="center"/>
          </w:tcPr>
          <w:p w14:paraId="741CD39C"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10EF0BB3" w14:textId="75E1BD87" w:rsidR="007F3128" w:rsidRPr="00F658A6" w:rsidRDefault="00EE26FD" w:rsidP="00F608A7">
            <w:pPr>
              <w:jc w:val="left"/>
              <w:rPr>
                <w:sz w:val="16"/>
                <w:szCs w:val="16"/>
              </w:rPr>
            </w:pPr>
            <w:r w:rsidRPr="00F658A6">
              <w:rPr>
                <w:sz w:val="16"/>
                <w:szCs w:val="16"/>
              </w:rPr>
              <w:t>Yensi Pérez Cayaxo</w:t>
            </w:r>
            <w:r w:rsidR="007F3128" w:rsidRPr="00F658A6">
              <w:rPr>
                <w:sz w:val="16"/>
                <w:szCs w:val="16"/>
              </w:rPr>
              <w:t>n (Hija)</w:t>
            </w:r>
          </w:p>
        </w:tc>
      </w:tr>
      <w:tr w:rsidR="007F3128" w:rsidRPr="00F658A6" w14:paraId="26131500" w14:textId="77777777" w:rsidTr="00F608A7">
        <w:tc>
          <w:tcPr>
            <w:tcW w:w="560" w:type="dxa"/>
            <w:gridSpan w:val="2"/>
            <w:vMerge/>
            <w:vAlign w:val="center"/>
          </w:tcPr>
          <w:p w14:paraId="5279342C" w14:textId="77777777" w:rsidR="007F3128" w:rsidRPr="00F658A6" w:rsidRDefault="007F3128" w:rsidP="00F608A7">
            <w:pPr>
              <w:jc w:val="left"/>
              <w:rPr>
                <w:sz w:val="16"/>
                <w:szCs w:val="16"/>
              </w:rPr>
            </w:pPr>
          </w:p>
        </w:tc>
        <w:tc>
          <w:tcPr>
            <w:tcW w:w="2950" w:type="dxa"/>
            <w:vMerge/>
            <w:vAlign w:val="center"/>
          </w:tcPr>
          <w:p w14:paraId="0ED35D52" w14:textId="77777777" w:rsidR="007F3128" w:rsidRPr="00F658A6" w:rsidRDefault="007F3128" w:rsidP="00F608A7">
            <w:pPr>
              <w:jc w:val="left"/>
              <w:rPr>
                <w:sz w:val="16"/>
                <w:szCs w:val="16"/>
              </w:rPr>
            </w:pPr>
          </w:p>
        </w:tc>
        <w:tc>
          <w:tcPr>
            <w:tcW w:w="567" w:type="dxa"/>
            <w:vAlign w:val="center"/>
          </w:tcPr>
          <w:p w14:paraId="5DAFC464"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3B0E139C" w14:textId="6A474F5C" w:rsidR="007F3128" w:rsidRPr="00F658A6" w:rsidRDefault="00EE26FD" w:rsidP="00F608A7">
            <w:pPr>
              <w:jc w:val="left"/>
              <w:rPr>
                <w:sz w:val="16"/>
                <w:szCs w:val="16"/>
              </w:rPr>
            </w:pPr>
            <w:r w:rsidRPr="00F658A6">
              <w:rPr>
                <w:sz w:val="16"/>
                <w:szCs w:val="16"/>
              </w:rPr>
              <w:t>Neftalí Cayaxo</w:t>
            </w:r>
            <w:r w:rsidR="007F3128" w:rsidRPr="00F658A6">
              <w:rPr>
                <w:sz w:val="16"/>
                <w:szCs w:val="16"/>
              </w:rPr>
              <w:t xml:space="preserve">n </w:t>
            </w:r>
            <w:r w:rsidRPr="00F658A6">
              <w:rPr>
                <w:sz w:val="16"/>
                <w:szCs w:val="16"/>
              </w:rPr>
              <w:t xml:space="preserve">Pérez </w:t>
            </w:r>
            <w:r w:rsidR="007F3128" w:rsidRPr="00F658A6">
              <w:rPr>
                <w:sz w:val="16"/>
                <w:szCs w:val="16"/>
              </w:rPr>
              <w:t>(Padre)</w:t>
            </w:r>
          </w:p>
        </w:tc>
      </w:tr>
      <w:tr w:rsidR="007F3128" w:rsidRPr="00F658A6" w14:paraId="790569C6" w14:textId="77777777" w:rsidTr="00F608A7">
        <w:tc>
          <w:tcPr>
            <w:tcW w:w="560" w:type="dxa"/>
            <w:gridSpan w:val="2"/>
            <w:vMerge/>
            <w:vAlign w:val="center"/>
          </w:tcPr>
          <w:p w14:paraId="451965DC" w14:textId="77777777" w:rsidR="007F3128" w:rsidRPr="00F658A6" w:rsidRDefault="007F3128" w:rsidP="00F608A7">
            <w:pPr>
              <w:jc w:val="left"/>
              <w:rPr>
                <w:sz w:val="16"/>
                <w:szCs w:val="16"/>
              </w:rPr>
            </w:pPr>
          </w:p>
        </w:tc>
        <w:tc>
          <w:tcPr>
            <w:tcW w:w="2950" w:type="dxa"/>
            <w:vMerge/>
            <w:vAlign w:val="center"/>
          </w:tcPr>
          <w:p w14:paraId="7A657FFC" w14:textId="77777777" w:rsidR="007F3128" w:rsidRPr="00F658A6" w:rsidRDefault="007F3128" w:rsidP="00F608A7">
            <w:pPr>
              <w:jc w:val="left"/>
              <w:rPr>
                <w:sz w:val="16"/>
                <w:szCs w:val="16"/>
              </w:rPr>
            </w:pPr>
          </w:p>
        </w:tc>
        <w:tc>
          <w:tcPr>
            <w:tcW w:w="567" w:type="dxa"/>
            <w:vAlign w:val="center"/>
          </w:tcPr>
          <w:p w14:paraId="22EBE94D"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4F61E119" w14:textId="77777777" w:rsidR="007F3128" w:rsidRPr="00F658A6" w:rsidRDefault="007F3128" w:rsidP="00F608A7">
            <w:pPr>
              <w:jc w:val="left"/>
              <w:rPr>
                <w:sz w:val="16"/>
                <w:szCs w:val="16"/>
              </w:rPr>
            </w:pPr>
            <w:r w:rsidRPr="00F658A6">
              <w:rPr>
                <w:sz w:val="16"/>
                <w:szCs w:val="16"/>
              </w:rPr>
              <w:t>Cruz García Ramos (Madre)</w:t>
            </w:r>
          </w:p>
        </w:tc>
      </w:tr>
      <w:tr w:rsidR="007F3128" w:rsidRPr="00F658A6" w14:paraId="19F562E7" w14:textId="77777777" w:rsidTr="00F608A7">
        <w:tc>
          <w:tcPr>
            <w:tcW w:w="560" w:type="dxa"/>
            <w:gridSpan w:val="2"/>
            <w:vMerge w:val="restart"/>
            <w:vAlign w:val="center"/>
          </w:tcPr>
          <w:p w14:paraId="5FB7CE22" w14:textId="5D3185EE" w:rsidR="007F3128" w:rsidRPr="00F658A6" w:rsidRDefault="007F3128" w:rsidP="00F608A7">
            <w:pPr>
              <w:jc w:val="left"/>
              <w:rPr>
                <w:sz w:val="16"/>
                <w:szCs w:val="16"/>
              </w:rPr>
            </w:pPr>
            <w:r w:rsidRPr="00F658A6">
              <w:rPr>
                <w:sz w:val="16"/>
                <w:szCs w:val="16"/>
              </w:rPr>
              <w:t>10</w:t>
            </w:r>
          </w:p>
        </w:tc>
        <w:tc>
          <w:tcPr>
            <w:tcW w:w="2950" w:type="dxa"/>
            <w:vMerge w:val="restart"/>
            <w:vAlign w:val="center"/>
          </w:tcPr>
          <w:p w14:paraId="296BDC46" w14:textId="1AEBE01B" w:rsidR="007F3128" w:rsidRPr="00F658A6" w:rsidRDefault="007F3128" w:rsidP="00F608A7">
            <w:pPr>
              <w:jc w:val="left"/>
              <w:rPr>
                <w:sz w:val="16"/>
                <w:szCs w:val="16"/>
              </w:rPr>
            </w:pPr>
            <w:r w:rsidRPr="00F658A6">
              <w:rPr>
                <w:sz w:val="16"/>
                <w:szCs w:val="16"/>
              </w:rPr>
              <w:t>José Rubén Delgado López</w:t>
            </w:r>
          </w:p>
        </w:tc>
        <w:tc>
          <w:tcPr>
            <w:tcW w:w="567" w:type="dxa"/>
            <w:vAlign w:val="center"/>
          </w:tcPr>
          <w:p w14:paraId="29EE2ED1"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3186C30C" w14:textId="77777777" w:rsidR="007F3128" w:rsidRPr="00F658A6" w:rsidRDefault="007F3128" w:rsidP="00F608A7">
            <w:pPr>
              <w:jc w:val="left"/>
              <w:rPr>
                <w:sz w:val="16"/>
                <w:szCs w:val="16"/>
              </w:rPr>
            </w:pPr>
            <w:r w:rsidRPr="00F658A6">
              <w:rPr>
                <w:sz w:val="16"/>
                <w:szCs w:val="16"/>
              </w:rPr>
              <w:t>Antonio Miranda Méndez (Hermano)</w:t>
            </w:r>
          </w:p>
        </w:tc>
      </w:tr>
      <w:tr w:rsidR="007F3128" w:rsidRPr="00F658A6" w14:paraId="7506950E" w14:textId="77777777" w:rsidTr="00F608A7">
        <w:tc>
          <w:tcPr>
            <w:tcW w:w="560" w:type="dxa"/>
            <w:gridSpan w:val="2"/>
            <w:vMerge/>
            <w:vAlign w:val="center"/>
          </w:tcPr>
          <w:p w14:paraId="75DFEC97" w14:textId="77777777" w:rsidR="007F3128" w:rsidRPr="00F658A6" w:rsidRDefault="007F3128" w:rsidP="00F608A7">
            <w:pPr>
              <w:jc w:val="left"/>
              <w:rPr>
                <w:sz w:val="16"/>
                <w:szCs w:val="16"/>
              </w:rPr>
            </w:pPr>
          </w:p>
        </w:tc>
        <w:tc>
          <w:tcPr>
            <w:tcW w:w="2950" w:type="dxa"/>
            <w:vMerge/>
            <w:vAlign w:val="center"/>
          </w:tcPr>
          <w:p w14:paraId="2A84514C" w14:textId="77777777" w:rsidR="007F3128" w:rsidRPr="00F658A6" w:rsidRDefault="007F3128" w:rsidP="00F608A7">
            <w:pPr>
              <w:jc w:val="left"/>
              <w:rPr>
                <w:sz w:val="16"/>
                <w:szCs w:val="16"/>
              </w:rPr>
            </w:pPr>
          </w:p>
        </w:tc>
        <w:tc>
          <w:tcPr>
            <w:tcW w:w="567" w:type="dxa"/>
            <w:vAlign w:val="center"/>
          </w:tcPr>
          <w:p w14:paraId="312F8E6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877BFD2" w14:textId="77777777" w:rsidR="007F3128" w:rsidRPr="00F658A6" w:rsidRDefault="007F3128" w:rsidP="00F608A7">
            <w:pPr>
              <w:jc w:val="left"/>
              <w:rPr>
                <w:sz w:val="16"/>
                <w:szCs w:val="16"/>
              </w:rPr>
            </w:pPr>
            <w:r w:rsidRPr="00F658A6">
              <w:rPr>
                <w:sz w:val="16"/>
                <w:szCs w:val="16"/>
              </w:rPr>
              <w:t>Magdalena López de Miranda (Cuñada)</w:t>
            </w:r>
          </w:p>
        </w:tc>
      </w:tr>
      <w:tr w:rsidR="007F3128" w:rsidRPr="00F658A6" w14:paraId="140C049A" w14:textId="77777777" w:rsidTr="00F608A7">
        <w:tc>
          <w:tcPr>
            <w:tcW w:w="560" w:type="dxa"/>
            <w:gridSpan w:val="2"/>
            <w:vMerge/>
            <w:vAlign w:val="center"/>
          </w:tcPr>
          <w:p w14:paraId="18913C04" w14:textId="77777777" w:rsidR="007F3128" w:rsidRPr="00F658A6" w:rsidRDefault="007F3128" w:rsidP="00F608A7">
            <w:pPr>
              <w:jc w:val="left"/>
              <w:rPr>
                <w:sz w:val="16"/>
                <w:szCs w:val="16"/>
              </w:rPr>
            </w:pPr>
          </w:p>
        </w:tc>
        <w:tc>
          <w:tcPr>
            <w:tcW w:w="2950" w:type="dxa"/>
            <w:vMerge/>
            <w:vAlign w:val="center"/>
          </w:tcPr>
          <w:p w14:paraId="16B81795" w14:textId="77777777" w:rsidR="007F3128" w:rsidRPr="00F658A6" w:rsidRDefault="007F3128" w:rsidP="00F608A7">
            <w:pPr>
              <w:jc w:val="left"/>
              <w:rPr>
                <w:sz w:val="16"/>
                <w:szCs w:val="16"/>
              </w:rPr>
            </w:pPr>
          </w:p>
        </w:tc>
        <w:tc>
          <w:tcPr>
            <w:tcW w:w="567" w:type="dxa"/>
            <w:vAlign w:val="center"/>
          </w:tcPr>
          <w:p w14:paraId="2F6D7676"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156663B6" w14:textId="77777777" w:rsidR="007F3128" w:rsidRPr="00F658A6" w:rsidRDefault="007F3128" w:rsidP="00F608A7">
            <w:pPr>
              <w:jc w:val="left"/>
              <w:rPr>
                <w:sz w:val="16"/>
                <w:szCs w:val="16"/>
              </w:rPr>
            </w:pPr>
            <w:r w:rsidRPr="00F658A6">
              <w:rPr>
                <w:sz w:val="16"/>
                <w:szCs w:val="16"/>
              </w:rPr>
              <w:t>Héctor Delgado Pérez (Hijo)</w:t>
            </w:r>
          </w:p>
        </w:tc>
      </w:tr>
      <w:tr w:rsidR="007F3128" w:rsidRPr="00F658A6" w14:paraId="531119BE" w14:textId="77777777" w:rsidTr="00F608A7">
        <w:tc>
          <w:tcPr>
            <w:tcW w:w="560" w:type="dxa"/>
            <w:gridSpan w:val="2"/>
            <w:vMerge/>
            <w:vAlign w:val="center"/>
          </w:tcPr>
          <w:p w14:paraId="2C19465D" w14:textId="77777777" w:rsidR="007F3128" w:rsidRPr="00F658A6" w:rsidRDefault="007F3128" w:rsidP="00F608A7">
            <w:pPr>
              <w:jc w:val="left"/>
              <w:rPr>
                <w:sz w:val="16"/>
                <w:szCs w:val="16"/>
              </w:rPr>
            </w:pPr>
          </w:p>
        </w:tc>
        <w:tc>
          <w:tcPr>
            <w:tcW w:w="2950" w:type="dxa"/>
            <w:vMerge/>
            <w:vAlign w:val="center"/>
          </w:tcPr>
          <w:p w14:paraId="60AD1D06" w14:textId="77777777" w:rsidR="007F3128" w:rsidRPr="00F658A6" w:rsidRDefault="007F3128" w:rsidP="00F608A7">
            <w:pPr>
              <w:jc w:val="left"/>
              <w:rPr>
                <w:sz w:val="16"/>
                <w:szCs w:val="16"/>
              </w:rPr>
            </w:pPr>
          </w:p>
        </w:tc>
        <w:tc>
          <w:tcPr>
            <w:tcW w:w="567" w:type="dxa"/>
            <w:vAlign w:val="center"/>
          </w:tcPr>
          <w:p w14:paraId="6C3F54B5"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54A18250" w14:textId="77777777" w:rsidR="007F3128" w:rsidRPr="00F658A6" w:rsidRDefault="007F3128" w:rsidP="00F608A7">
            <w:pPr>
              <w:jc w:val="left"/>
              <w:rPr>
                <w:sz w:val="16"/>
                <w:szCs w:val="16"/>
              </w:rPr>
            </w:pPr>
            <w:r w:rsidRPr="00F658A6">
              <w:rPr>
                <w:sz w:val="16"/>
                <w:szCs w:val="16"/>
              </w:rPr>
              <w:t>Francisco Delgado Pérez (Hijo)</w:t>
            </w:r>
          </w:p>
        </w:tc>
      </w:tr>
      <w:tr w:rsidR="007F3128" w:rsidRPr="00F658A6" w14:paraId="4FB715D2" w14:textId="77777777" w:rsidTr="00F608A7">
        <w:tc>
          <w:tcPr>
            <w:tcW w:w="560" w:type="dxa"/>
            <w:gridSpan w:val="2"/>
            <w:vMerge/>
            <w:vAlign w:val="center"/>
          </w:tcPr>
          <w:p w14:paraId="52157054" w14:textId="77777777" w:rsidR="007F3128" w:rsidRPr="00F658A6" w:rsidRDefault="007F3128" w:rsidP="00F608A7">
            <w:pPr>
              <w:jc w:val="left"/>
              <w:rPr>
                <w:sz w:val="16"/>
                <w:szCs w:val="16"/>
              </w:rPr>
            </w:pPr>
          </w:p>
        </w:tc>
        <w:tc>
          <w:tcPr>
            <w:tcW w:w="2950" w:type="dxa"/>
            <w:vMerge/>
            <w:vAlign w:val="center"/>
          </w:tcPr>
          <w:p w14:paraId="1B832C59" w14:textId="77777777" w:rsidR="007F3128" w:rsidRPr="00F658A6" w:rsidRDefault="007F3128" w:rsidP="00F608A7">
            <w:pPr>
              <w:jc w:val="left"/>
              <w:rPr>
                <w:sz w:val="16"/>
                <w:szCs w:val="16"/>
              </w:rPr>
            </w:pPr>
          </w:p>
        </w:tc>
        <w:tc>
          <w:tcPr>
            <w:tcW w:w="567" w:type="dxa"/>
            <w:vAlign w:val="center"/>
          </w:tcPr>
          <w:p w14:paraId="1249000B"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59351D5" w14:textId="77777777" w:rsidR="007F3128" w:rsidRPr="00F658A6" w:rsidRDefault="007F3128" w:rsidP="00F608A7">
            <w:pPr>
              <w:jc w:val="left"/>
              <w:rPr>
                <w:sz w:val="16"/>
                <w:szCs w:val="16"/>
              </w:rPr>
            </w:pPr>
            <w:r w:rsidRPr="00F658A6">
              <w:rPr>
                <w:sz w:val="16"/>
                <w:szCs w:val="16"/>
              </w:rPr>
              <w:t>Lidia Mirtala Miranda López (Sobrina)</w:t>
            </w:r>
          </w:p>
        </w:tc>
      </w:tr>
      <w:tr w:rsidR="007F3128" w:rsidRPr="00F658A6" w14:paraId="5D84652D" w14:textId="77777777" w:rsidTr="00F608A7">
        <w:tc>
          <w:tcPr>
            <w:tcW w:w="560" w:type="dxa"/>
            <w:gridSpan w:val="2"/>
            <w:vMerge w:val="restart"/>
            <w:vAlign w:val="center"/>
          </w:tcPr>
          <w:p w14:paraId="3DCCF108" w14:textId="47FA102E" w:rsidR="007F3128" w:rsidRPr="00F658A6" w:rsidRDefault="007F3128" w:rsidP="00F608A7">
            <w:pPr>
              <w:jc w:val="left"/>
              <w:rPr>
                <w:sz w:val="16"/>
                <w:szCs w:val="16"/>
              </w:rPr>
            </w:pPr>
            <w:r w:rsidRPr="00F658A6">
              <w:rPr>
                <w:sz w:val="16"/>
                <w:szCs w:val="16"/>
              </w:rPr>
              <w:t>11</w:t>
            </w:r>
          </w:p>
        </w:tc>
        <w:tc>
          <w:tcPr>
            <w:tcW w:w="2950" w:type="dxa"/>
            <w:vMerge w:val="restart"/>
            <w:vAlign w:val="center"/>
          </w:tcPr>
          <w:p w14:paraId="7A478E47" w14:textId="6601366F" w:rsidR="007F3128" w:rsidRPr="00F658A6" w:rsidRDefault="0059761F" w:rsidP="00F608A7">
            <w:pPr>
              <w:jc w:val="left"/>
              <w:rPr>
                <w:sz w:val="16"/>
                <w:szCs w:val="16"/>
              </w:rPr>
            </w:pPr>
            <w:r w:rsidRPr="00F658A6">
              <w:rPr>
                <w:sz w:val="16"/>
                <w:szCs w:val="16"/>
              </w:rPr>
              <w:t>Elsa Miriam Estrada Ruí</w:t>
            </w:r>
            <w:r w:rsidR="007F3128" w:rsidRPr="00F658A6">
              <w:rPr>
                <w:sz w:val="16"/>
                <w:szCs w:val="16"/>
              </w:rPr>
              <w:t>z</w:t>
            </w:r>
          </w:p>
        </w:tc>
        <w:tc>
          <w:tcPr>
            <w:tcW w:w="567" w:type="dxa"/>
            <w:vAlign w:val="center"/>
          </w:tcPr>
          <w:p w14:paraId="262A39D9"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3CF9FDA5" w14:textId="77777777" w:rsidR="007F3128" w:rsidRPr="00F658A6" w:rsidRDefault="007F3128" w:rsidP="00F608A7">
            <w:pPr>
              <w:jc w:val="left"/>
              <w:rPr>
                <w:sz w:val="16"/>
                <w:szCs w:val="16"/>
              </w:rPr>
            </w:pPr>
            <w:r w:rsidRPr="00F658A6">
              <w:rPr>
                <w:sz w:val="16"/>
                <w:szCs w:val="16"/>
              </w:rPr>
              <w:t>José Luis Hernández (Esposo fallecido)</w:t>
            </w:r>
          </w:p>
        </w:tc>
      </w:tr>
      <w:tr w:rsidR="007F3128" w:rsidRPr="00F658A6" w14:paraId="3EC206A2" w14:textId="77777777" w:rsidTr="00F608A7">
        <w:tc>
          <w:tcPr>
            <w:tcW w:w="560" w:type="dxa"/>
            <w:gridSpan w:val="2"/>
            <w:vMerge/>
            <w:vAlign w:val="center"/>
          </w:tcPr>
          <w:p w14:paraId="3B2A5F11" w14:textId="77777777" w:rsidR="007F3128" w:rsidRPr="00F658A6" w:rsidRDefault="007F3128" w:rsidP="00F608A7">
            <w:pPr>
              <w:jc w:val="left"/>
              <w:rPr>
                <w:sz w:val="16"/>
                <w:szCs w:val="16"/>
              </w:rPr>
            </w:pPr>
          </w:p>
        </w:tc>
        <w:tc>
          <w:tcPr>
            <w:tcW w:w="2950" w:type="dxa"/>
            <w:vMerge/>
            <w:vAlign w:val="center"/>
          </w:tcPr>
          <w:p w14:paraId="638DE258" w14:textId="77777777" w:rsidR="007F3128" w:rsidRPr="00F658A6" w:rsidRDefault="007F3128" w:rsidP="00F608A7">
            <w:pPr>
              <w:jc w:val="left"/>
              <w:rPr>
                <w:sz w:val="16"/>
                <w:szCs w:val="16"/>
              </w:rPr>
            </w:pPr>
          </w:p>
        </w:tc>
        <w:tc>
          <w:tcPr>
            <w:tcW w:w="567" w:type="dxa"/>
            <w:vAlign w:val="center"/>
          </w:tcPr>
          <w:p w14:paraId="55313BA2"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5CC9A4BE" w14:textId="66D0CB21" w:rsidR="007F3128" w:rsidRPr="00F658A6" w:rsidRDefault="007F3128" w:rsidP="00F608A7">
            <w:pPr>
              <w:jc w:val="left"/>
              <w:rPr>
                <w:sz w:val="16"/>
                <w:szCs w:val="16"/>
              </w:rPr>
            </w:pPr>
            <w:r w:rsidRPr="00F658A6">
              <w:rPr>
                <w:sz w:val="16"/>
                <w:szCs w:val="16"/>
              </w:rPr>
              <w:t>María Herlinda Ru</w:t>
            </w:r>
            <w:r w:rsidR="002F7207" w:rsidRPr="00F658A6">
              <w:rPr>
                <w:sz w:val="16"/>
                <w:szCs w:val="16"/>
              </w:rPr>
              <w:t>í</w:t>
            </w:r>
            <w:r w:rsidRPr="00F658A6">
              <w:rPr>
                <w:sz w:val="16"/>
                <w:szCs w:val="16"/>
              </w:rPr>
              <w:t>z (Madre)</w:t>
            </w:r>
          </w:p>
        </w:tc>
      </w:tr>
      <w:tr w:rsidR="007F3128" w:rsidRPr="00F658A6" w14:paraId="4CFDCBEF" w14:textId="77777777" w:rsidTr="00F608A7">
        <w:tc>
          <w:tcPr>
            <w:tcW w:w="560" w:type="dxa"/>
            <w:gridSpan w:val="2"/>
            <w:vMerge/>
            <w:vAlign w:val="center"/>
          </w:tcPr>
          <w:p w14:paraId="34854720" w14:textId="77777777" w:rsidR="007F3128" w:rsidRPr="00F658A6" w:rsidRDefault="007F3128" w:rsidP="00F608A7">
            <w:pPr>
              <w:jc w:val="left"/>
              <w:rPr>
                <w:sz w:val="16"/>
                <w:szCs w:val="16"/>
              </w:rPr>
            </w:pPr>
          </w:p>
        </w:tc>
        <w:tc>
          <w:tcPr>
            <w:tcW w:w="2950" w:type="dxa"/>
            <w:vMerge/>
            <w:vAlign w:val="center"/>
          </w:tcPr>
          <w:p w14:paraId="78065B08" w14:textId="77777777" w:rsidR="007F3128" w:rsidRPr="00F658A6" w:rsidRDefault="007F3128" w:rsidP="00F608A7">
            <w:pPr>
              <w:jc w:val="left"/>
              <w:rPr>
                <w:sz w:val="16"/>
                <w:szCs w:val="16"/>
              </w:rPr>
            </w:pPr>
          </w:p>
        </w:tc>
        <w:tc>
          <w:tcPr>
            <w:tcW w:w="567" w:type="dxa"/>
            <w:vAlign w:val="center"/>
          </w:tcPr>
          <w:p w14:paraId="26DF3BE4"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5D096894" w14:textId="72D92448" w:rsidR="007F3128" w:rsidRPr="00F658A6" w:rsidRDefault="00CE410B" w:rsidP="00F608A7">
            <w:pPr>
              <w:jc w:val="left"/>
              <w:rPr>
                <w:sz w:val="16"/>
                <w:szCs w:val="16"/>
              </w:rPr>
            </w:pPr>
            <w:r w:rsidRPr="00F658A6">
              <w:rPr>
                <w:sz w:val="16"/>
                <w:szCs w:val="16"/>
              </w:rPr>
              <w:t>Luis Alberto Hernández Estrada (Hermano)</w:t>
            </w:r>
          </w:p>
        </w:tc>
      </w:tr>
      <w:tr w:rsidR="007F3128" w:rsidRPr="00F658A6" w14:paraId="23950CF5" w14:textId="77777777" w:rsidTr="00F608A7">
        <w:tc>
          <w:tcPr>
            <w:tcW w:w="560" w:type="dxa"/>
            <w:gridSpan w:val="2"/>
            <w:vMerge/>
            <w:vAlign w:val="center"/>
          </w:tcPr>
          <w:p w14:paraId="3F856551" w14:textId="77777777" w:rsidR="007F3128" w:rsidRPr="00F658A6" w:rsidRDefault="007F3128" w:rsidP="00F608A7">
            <w:pPr>
              <w:jc w:val="left"/>
              <w:rPr>
                <w:sz w:val="16"/>
                <w:szCs w:val="16"/>
              </w:rPr>
            </w:pPr>
          </w:p>
        </w:tc>
        <w:tc>
          <w:tcPr>
            <w:tcW w:w="2950" w:type="dxa"/>
            <w:vMerge/>
            <w:vAlign w:val="center"/>
          </w:tcPr>
          <w:p w14:paraId="7B8CB7ED" w14:textId="77777777" w:rsidR="007F3128" w:rsidRPr="00F658A6" w:rsidRDefault="007F3128" w:rsidP="00F608A7">
            <w:pPr>
              <w:jc w:val="left"/>
              <w:rPr>
                <w:sz w:val="16"/>
                <w:szCs w:val="16"/>
              </w:rPr>
            </w:pPr>
          </w:p>
        </w:tc>
        <w:tc>
          <w:tcPr>
            <w:tcW w:w="567" w:type="dxa"/>
            <w:vAlign w:val="center"/>
          </w:tcPr>
          <w:p w14:paraId="607907B1"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1E28F03D" w14:textId="77777777" w:rsidR="007F3128" w:rsidRPr="00F658A6" w:rsidRDefault="007F3128" w:rsidP="00F608A7">
            <w:pPr>
              <w:jc w:val="left"/>
              <w:rPr>
                <w:sz w:val="16"/>
                <w:szCs w:val="16"/>
              </w:rPr>
            </w:pPr>
            <w:r w:rsidRPr="00F658A6">
              <w:rPr>
                <w:sz w:val="16"/>
                <w:szCs w:val="16"/>
              </w:rPr>
              <w:t>Estuardo Edison Hernández Estrada (Hermano)</w:t>
            </w:r>
          </w:p>
        </w:tc>
      </w:tr>
      <w:tr w:rsidR="007F3128" w:rsidRPr="00F658A6" w14:paraId="68164943" w14:textId="77777777" w:rsidTr="00F608A7">
        <w:tc>
          <w:tcPr>
            <w:tcW w:w="560" w:type="dxa"/>
            <w:gridSpan w:val="2"/>
            <w:vMerge/>
            <w:vAlign w:val="center"/>
          </w:tcPr>
          <w:p w14:paraId="281EE0B5" w14:textId="77777777" w:rsidR="007F3128" w:rsidRPr="00F658A6" w:rsidRDefault="007F3128" w:rsidP="00F608A7">
            <w:pPr>
              <w:jc w:val="left"/>
              <w:rPr>
                <w:sz w:val="16"/>
                <w:szCs w:val="16"/>
              </w:rPr>
            </w:pPr>
          </w:p>
        </w:tc>
        <w:tc>
          <w:tcPr>
            <w:tcW w:w="2950" w:type="dxa"/>
            <w:vMerge/>
            <w:vAlign w:val="center"/>
          </w:tcPr>
          <w:p w14:paraId="439F4117" w14:textId="77777777" w:rsidR="007F3128" w:rsidRPr="00F658A6" w:rsidRDefault="007F3128" w:rsidP="00F608A7">
            <w:pPr>
              <w:jc w:val="left"/>
              <w:rPr>
                <w:sz w:val="16"/>
                <w:szCs w:val="16"/>
              </w:rPr>
            </w:pPr>
          </w:p>
        </w:tc>
        <w:tc>
          <w:tcPr>
            <w:tcW w:w="567" w:type="dxa"/>
            <w:vAlign w:val="center"/>
          </w:tcPr>
          <w:p w14:paraId="4F90F82E"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078DDAF9" w14:textId="77777777" w:rsidR="007F3128" w:rsidRPr="00F658A6" w:rsidRDefault="007F3128" w:rsidP="00F608A7">
            <w:pPr>
              <w:jc w:val="left"/>
              <w:rPr>
                <w:sz w:val="16"/>
                <w:szCs w:val="16"/>
              </w:rPr>
            </w:pPr>
            <w:r w:rsidRPr="00F658A6">
              <w:rPr>
                <w:sz w:val="16"/>
                <w:szCs w:val="16"/>
              </w:rPr>
              <w:t>Osma Vinicio Hernández Estrada (Hermano)</w:t>
            </w:r>
          </w:p>
        </w:tc>
      </w:tr>
      <w:tr w:rsidR="007F3128" w:rsidRPr="00F658A6" w14:paraId="5808E383" w14:textId="77777777" w:rsidTr="00F608A7">
        <w:tc>
          <w:tcPr>
            <w:tcW w:w="560" w:type="dxa"/>
            <w:gridSpan w:val="2"/>
            <w:vMerge/>
            <w:vAlign w:val="center"/>
          </w:tcPr>
          <w:p w14:paraId="3A058221" w14:textId="77777777" w:rsidR="007F3128" w:rsidRPr="00F658A6" w:rsidRDefault="007F3128" w:rsidP="00F608A7">
            <w:pPr>
              <w:jc w:val="left"/>
              <w:rPr>
                <w:sz w:val="16"/>
                <w:szCs w:val="16"/>
              </w:rPr>
            </w:pPr>
          </w:p>
        </w:tc>
        <w:tc>
          <w:tcPr>
            <w:tcW w:w="2950" w:type="dxa"/>
            <w:vMerge/>
            <w:vAlign w:val="center"/>
          </w:tcPr>
          <w:p w14:paraId="005E1052" w14:textId="77777777" w:rsidR="007F3128" w:rsidRPr="00F658A6" w:rsidRDefault="007F3128" w:rsidP="00F608A7">
            <w:pPr>
              <w:jc w:val="left"/>
              <w:rPr>
                <w:sz w:val="16"/>
                <w:szCs w:val="16"/>
              </w:rPr>
            </w:pPr>
          </w:p>
        </w:tc>
        <w:tc>
          <w:tcPr>
            <w:tcW w:w="567" w:type="dxa"/>
            <w:vAlign w:val="center"/>
          </w:tcPr>
          <w:p w14:paraId="33A4D595"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55A28D05" w14:textId="77777777" w:rsidR="007F3128" w:rsidRPr="00F658A6" w:rsidRDefault="007F3128" w:rsidP="00F608A7">
            <w:pPr>
              <w:jc w:val="left"/>
              <w:rPr>
                <w:sz w:val="16"/>
                <w:szCs w:val="16"/>
              </w:rPr>
            </w:pPr>
            <w:r w:rsidRPr="00F658A6">
              <w:rPr>
                <w:sz w:val="16"/>
                <w:szCs w:val="16"/>
              </w:rPr>
              <w:t>Karen Herlinda Hernández Estrada (Hermana)</w:t>
            </w:r>
          </w:p>
        </w:tc>
      </w:tr>
      <w:tr w:rsidR="007F3128" w:rsidRPr="00F658A6" w14:paraId="504B287C" w14:textId="77777777" w:rsidTr="00F608A7">
        <w:tc>
          <w:tcPr>
            <w:tcW w:w="560" w:type="dxa"/>
            <w:gridSpan w:val="2"/>
            <w:vMerge/>
            <w:vAlign w:val="center"/>
          </w:tcPr>
          <w:p w14:paraId="680D0B9A" w14:textId="77777777" w:rsidR="007F3128" w:rsidRPr="00F658A6" w:rsidRDefault="007F3128" w:rsidP="00F608A7">
            <w:pPr>
              <w:jc w:val="left"/>
              <w:rPr>
                <w:sz w:val="16"/>
                <w:szCs w:val="16"/>
              </w:rPr>
            </w:pPr>
          </w:p>
        </w:tc>
        <w:tc>
          <w:tcPr>
            <w:tcW w:w="2950" w:type="dxa"/>
            <w:vMerge/>
            <w:vAlign w:val="center"/>
          </w:tcPr>
          <w:p w14:paraId="57830C2E" w14:textId="77777777" w:rsidR="007F3128" w:rsidRPr="00F658A6" w:rsidRDefault="007F3128" w:rsidP="00F608A7">
            <w:pPr>
              <w:jc w:val="left"/>
              <w:rPr>
                <w:sz w:val="16"/>
                <w:szCs w:val="16"/>
              </w:rPr>
            </w:pPr>
          </w:p>
        </w:tc>
        <w:tc>
          <w:tcPr>
            <w:tcW w:w="567" w:type="dxa"/>
            <w:vAlign w:val="center"/>
          </w:tcPr>
          <w:p w14:paraId="59771681"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48A72BE1" w14:textId="57923D3B" w:rsidR="007F3128" w:rsidRPr="00F658A6" w:rsidRDefault="007F3128" w:rsidP="00F608A7">
            <w:pPr>
              <w:jc w:val="left"/>
              <w:rPr>
                <w:sz w:val="16"/>
                <w:szCs w:val="16"/>
              </w:rPr>
            </w:pPr>
            <w:r w:rsidRPr="00F658A6">
              <w:rPr>
                <w:sz w:val="16"/>
                <w:szCs w:val="16"/>
              </w:rPr>
              <w:t>Miriam Lisbeth Hernández Estrada (Hermana)</w:t>
            </w:r>
          </w:p>
        </w:tc>
      </w:tr>
      <w:tr w:rsidR="007F3128" w:rsidRPr="00F658A6" w14:paraId="26A7872C" w14:textId="77777777" w:rsidTr="00F608A7">
        <w:tc>
          <w:tcPr>
            <w:tcW w:w="560" w:type="dxa"/>
            <w:gridSpan w:val="2"/>
            <w:vMerge w:val="restart"/>
            <w:vAlign w:val="center"/>
          </w:tcPr>
          <w:p w14:paraId="105271BA" w14:textId="77777777" w:rsidR="007F3128" w:rsidRPr="00F658A6" w:rsidRDefault="007F3128" w:rsidP="00F608A7">
            <w:pPr>
              <w:jc w:val="left"/>
              <w:rPr>
                <w:sz w:val="16"/>
                <w:szCs w:val="16"/>
              </w:rPr>
            </w:pPr>
            <w:r w:rsidRPr="00F658A6">
              <w:rPr>
                <w:sz w:val="16"/>
                <w:szCs w:val="16"/>
              </w:rPr>
              <w:t>12</w:t>
            </w:r>
          </w:p>
        </w:tc>
        <w:tc>
          <w:tcPr>
            <w:tcW w:w="2950" w:type="dxa"/>
            <w:vMerge w:val="restart"/>
            <w:vAlign w:val="center"/>
          </w:tcPr>
          <w:p w14:paraId="45E19E53" w14:textId="2043D268" w:rsidR="007F3128" w:rsidRPr="00F658A6" w:rsidRDefault="0087740B" w:rsidP="00F608A7">
            <w:pPr>
              <w:jc w:val="left"/>
              <w:rPr>
                <w:sz w:val="16"/>
                <w:szCs w:val="16"/>
              </w:rPr>
            </w:pPr>
            <w:r w:rsidRPr="00F658A6">
              <w:rPr>
                <w:sz w:val="16"/>
                <w:szCs w:val="16"/>
              </w:rPr>
              <w:t>Silvia Mirtala A</w:t>
            </w:r>
            <w:r w:rsidR="007F3128" w:rsidRPr="00F658A6">
              <w:rPr>
                <w:sz w:val="16"/>
                <w:szCs w:val="16"/>
              </w:rPr>
              <w:t>lvarez Villatoro</w:t>
            </w:r>
          </w:p>
        </w:tc>
        <w:tc>
          <w:tcPr>
            <w:tcW w:w="567" w:type="dxa"/>
            <w:vAlign w:val="center"/>
          </w:tcPr>
          <w:p w14:paraId="7B83A101"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03C48ED0" w14:textId="676446E7" w:rsidR="007F3128" w:rsidRPr="00F658A6" w:rsidRDefault="00EC70DB" w:rsidP="00F608A7">
            <w:pPr>
              <w:jc w:val="left"/>
              <w:rPr>
                <w:sz w:val="16"/>
                <w:szCs w:val="16"/>
              </w:rPr>
            </w:pPr>
            <w:r w:rsidRPr="00F658A6">
              <w:rPr>
                <w:sz w:val="16"/>
                <w:szCs w:val="16"/>
              </w:rPr>
              <w:t>Mayra Aideé</w:t>
            </w:r>
            <w:r w:rsidR="007F3128" w:rsidRPr="00F658A6">
              <w:rPr>
                <w:sz w:val="16"/>
                <w:szCs w:val="16"/>
              </w:rPr>
              <w:t xml:space="preserve"> Mejía Martínez (Pareja)</w:t>
            </w:r>
          </w:p>
        </w:tc>
      </w:tr>
      <w:tr w:rsidR="007F3128" w:rsidRPr="00F658A6" w14:paraId="27CDE6B3" w14:textId="77777777" w:rsidTr="00F608A7">
        <w:tc>
          <w:tcPr>
            <w:tcW w:w="560" w:type="dxa"/>
            <w:gridSpan w:val="2"/>
            <w:vMerge/>
            <w:vAlign w:val="center"/>
          </w:tcPr>
          <w:p w14:paraId="03F97303" w14:textId="77777777" w:rsidR="007F3128" w:rsidRPr="00F658A6" w:rsidRDefault="007F3128" w:rsidP="00F608A7">
            <w:pPr>
              <w:jc w:val="left"/>
              <w:rPr>
                <w:sz w:val="16"/>
                <w:szCs w:val="16"/>
              </w:rPr>
            </w:pPr>
          </w:p>
        </w:tc>
        <w:tc>
          <w:tcPr>
            <w:tcW w:w="2950" w:type="dxa"/>
            <w:vMerge/>
            <w:vAlign w:val="center"/>
          </w:tcPr>
          <w:p w14:paraId="13BDED45" w14:textId="77777777" w:rsidR="007F3128" w:rsidRPr="00F658A6" w:rsidRDefault="007F3128" w:rsidP="00F608A7">
            <w:pPr>
              <w:jc w:val="left"/>
              <w:rPr>
                <w:sz w:val="16"/>
                <w:szCs w:val="16"/>
              </w:rPr>
            </w:pPr>
          </w:p>
        </w:tc>
        <w:tc>
          <w:tcPr>
            <w:tcW w:w="567" w:type="dxa"/>
            <w:vAlign w:val="center"/>
          </w:tcPr>
          <w:p w14:paraId="784425D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696D7928" w14:textId="77777777" w:rsidR="007F3128" w:rsidRPr="00F658A6" w:rsidRDefault="007F3128" w:rsidP="00F608A7">
            <w:pPr>
              <w:jc w:val="left"/>
              <w:rPr>
                <w:sz w:val="16"/>
                <w:szCs w:val="16"/>
              </w:rPr>
            </w:pPr>
            <w:r w:rsidRPr="00F658A6">
              <w:rPr>
                <w:sz w:val="16"/>
                <w:szCs w:val="16"/>
              </w:rPr>
              <w:t>María José Mejía Martínez (Hija)</w:t>
            </w:r>
          </w:p>
        </w:tc>
      </w:tr>
      <w:tr w:rsidR="007F3128" w:rsidRPr="00F658A6" w14:paraId="264B3068" w14:textId="77777777" w:rsidTr="00F608A7">
        <w:tc>
          <w:tcPr>
            <w:tcW w:w="560" w:type="dxa"/>
            <w:gridSpan w:val="2"/>
            <w:vMerge/>
            <w:vAlign w:val="center"/>
          </w:tcPr>
          <w:p w14:paraId="21181B79" w14:textId="77777777" w:rsidR="007F3128" w:rsidRPr="00F658A6" w:rsidRDefault="007F3128" w:rsidP="00F608A7">
            <w:pPr>
              <w:jc w:val="left"/>
              <w:rPr>
                <w:sz w:val="16"/>
                <w:szCs w:val="16"/>
              </w:rPr>
            </w:pPr>
          </w:p>
        </w:tc>
        <w:tc>
          <w:tcPr>
            <w:tcW w:w="2950" w:type="dxa"/>
            <w:vMerge/>
            <w:vAlign w:val="center"/>
          </w:tcPr>
          <w:p w14:paraId="34E2BE82" w14:textId="77777777" w:rsidR="007F3128" w:rsidRPr="00F658A6" w:rsidRDefault="007F3128" w:rsidP="00F608A7">
            <w:pPr>
              <w:jc w:val="left"/>
              <w:rPr>
                <w:sz w:val="16"/>
                <w:szCs w:val="16"/>
              </w:rPr>
            </w:pPr>
          </w:p>
        </w:tc>
        <w:tc>
          <w:tcPr>
            <w:tcW w:w="567" w:type="dxa"/>
            <w:vAlign w:val="center"/>
          </w:tcPr>
          <w:p w14:paraId="79B35AFD"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0B68CF9" w14:textId="0D010648" w:rsidR="007F3128" w:rsidRPr="00F658A6" w:rsidRDefault="007F3128" w:rsidP="00F608A7">
            <w:pPr>
              <w:jc w:val="left"/>
              <w:rPr>
                <w:sz w:val="16"/>
                <w:szCs w:val="16"/>
              </w:rPr>
            </w:pPr>
            <w:r w:rsidRPr="00F658A6">
              <w:rPr>
                <w:sz w:val="16"/>
                <w:szCs w:val="16"/>
              </w:rPr>
              <w:t>L</w:t>
            </w:r>
            <w:r w:rsidR="00EC70DB" w:rsidRPr="00F658A6">
              <w:rPr>
                <w:sz w:val="16"/>
                <w:szCs w:val="16"/>
              </w:rPr>
              <w:t>a</w:t>
            </w:r>
            <w:r w:rsidRPr="00F658A6">
              <w:rPr>
                <w:sz w:val="16"/>
                <w:szCs w:val="16"/>
              </w:rPr>
              <w:t>yonel Ismar Josué Mejía Martínez (Hijo)</w:t>
            </w:r>
          </w:p>
        </w:tc>
      </w:tr>
      <w:tr w:rsidR="007F3128" w:rsidRPr="00F658A6" w14:paraId="74385226" w14:textId="77777777" w:rsidTr="00F608A7">
        <w:tc>
          <w:tcPr>
            <w:tcW w:w="560" w:type="dxa"/>
            <w:gridSpan w:val="2"/>
            <w:vMerge/>
            <w:vAlign w:val="center"/>
          </w:tcPr>
          <w:p w14:paraId="2D8CDAAD" w14:textId="77777777" w:rsidR="007F3128" w:rsidRPr="00F658A6" w:rsidRDefault="007F3128" w:rsidP="00F608A7">
            <w:pPr>
              <w:jc w:val="left"/>
              <w:rPr>
                <w:sz w:val="16"/>
                <w:szCs w:val="16"/>
              </w:rPr>
            </w:pPr>
          </w:p>
        </w:tc>
        <w:tc>
          <w:tcPr>
            <w:tcW w:w="2950" w:type="dxa"/>
            <w:vMerge/>
            <w:vAlign w:val="center"/>
          </w:tcPr>
          <w:p w14:paraId="0FADF0F9" w14:textId="77777777" w:rsidR="007F3128" w:rsidRPr="00F658A6" w:rsidRDefault="007F3128" w:rsidP="00F608A7">
            <w:pPr>
              <w:jc w:val="left"/>
              <w:rPr>
                <w:sz w:val="16"/>
                <w:szCs w:val="16"/>
              </w:rPr>
            </w:pPr>
          </w:p>
        </w:tc>
        <w:tc>
          <w:tcPr>
            <w:tcW w:w="567" w:type="dxa"/>
            <w:vAlign w:val="center"/>
          </w:tcPr>
          <w:p w14:paraId="1F0236EF"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33022453" w14:textId="19B61065" w:rsidR="007F3128" w:rsidRPr="00F658A6" w:rsidRDefault="001516E3" w:rsidP="00F608A7">
            <w:pPr>
              <w:jc w:val="left"/>
              <w:rPr>
                <w:sz w:val="16"/>
                <w:szCs w:val="16"/>
              </w:rPr>
            </w:pPr>
            <w:r w:rsidRPr="00F658A6">
              <w:rPr>
                <w:sz w:val="16"/>
                <w:szCs w:val="16"/>
              </w:rPr>
              <w:t>Lilián Janethe A</w:t>
            </w:r>
            <w:r w:rsidR="007F3128" w:rsidRPr="00F658A6">
              <w:rPr>
                <w:sz w:val="16"/>
                <w:szCs w:val="16"/>
              </w:rPr>
              <w:t>lvarez Villatoro (Hermana)</w:t>
            </w:r>
          </w:p>
        </w:tc>
      </w:tr>
      <w:tr w:rsidR="007F3128" w:rsidRPr="00F658A6" w14:paraId="0C183604" w14:textId="77777777" w:rsidTr="00F608A7">
        <w:tc>
          <w:tcPr>
            <w:tcW w:w="560" w:type="dxa"/>
            <w:gridSpan w:val="2"/>
            <w:vMerge/>
            <w:vAlign w:val="center"/>
          </w:tcPr>
          <w:p w14:paraId="2FB47F61" w14:textId="77777777" w:rsidR="007F3128" w:rsidRPr="00F658A6" w:rsidRDefault="007F3128" w:rsidP="00F608A7">
            <w:pPr>
              <w:jc w:val="left"/>
              <w:rPr>
                <w:sz w:val="16"/>
                <w:szCs w:val="16"/>
              </w:rPr>
            </w:pPr>
          </w:p>
        </w:tc>
        <w:tc>
          <w:tcPr>
            <w:tcW w:w="2950" w:type="dxa"/>
            <w:vMerge/>
            <w:vAlign w:val="center"/>
          </w:tcPr>
          <w:p w14:paraId="3A878494" w14:textId="77777777" w:rsidR="007F3128" w:rsidRPr="00F658A6" w:rsidRDefault="007F3128" w:rsidP="00F608A7">
            <w:pPr>
              <w:jc w:val="left"/>
              <w:rPr>
                <w:sz w:val="16"/>
                <w:szCs w:val="16"/>
              </w:rPr>
            </w:pPr>
          </w:p>
        </w:tc>
        <w:tc>
          <w:tcPr>
            <w:tcW w:w="567" w:type="dxa"/>
            <w:vAlign w:val="center"/>
          </w:tcPr>
          <w:p w14:paraId="7BF60185"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27A550C4" w14:textId="5E46B0BE" w:rsidR="007F3128" w:rsidRPr="00F658A6" w:rsidRDefault="00EC70DB" w:rsidP="00F608A7">
            <w:pPr>
              <w:jc w:val="left"/>
              <w:rPr>
                <w:sz w:val="16"/>
                <w:szCs w:val="16"/>
              </w:rPr>
            </w:pPr>
            <w:r w:rsidRPr="00F658A6">
              <w:rPr>
                <w:sz w:val="16"/>
                <w:szCs w:val="16"/>
              </w:rPr>
              <w:t xml:space="preserve">Víctor </w:t>
            </w:r>
            <w:r w:rsidR="007F3128" w:rsidRPr="00F658A6">
              <w:rPr>
                <w:sz w:val="16"/>
                <w:szCs w:val="16"/>
              </w:rPr>
              <w:t xml:space="preserve">Manuel </w:t>
            </w:r>
            <w:r w:rsidR="001516E3" w:rsidRPr="00F658A6">
              <w:rPr>
                <w:sz w:val="16"/>
                <w:szCs w:val="16"/>
              </w:rPr>
              <w:t>A</w:t>
            </w:r>
            <w:r w:rsidR="007F3128" w:rsidRPr="00F658A6">
              <w:rPr>
                <w:sz w:val="16"/>
                <w:szCs w:val="16"/>
              </w:rPr>
              <w:t>lvarez Alvisures (Padre)</w:t>
            </w:r>
          </w:p>
        </w:tc>
      </w:tr>
      <w:tr w:rsidR="007F3128" w:rsidRPr="00F658A6" w14:paraId="007F4608" w14:textId="77777777" w:rsidTr="00F608A7">
        <w:tc>
          <w:tcPr>
            <w:tcW w:w="560" w:type="dxa"/>
            <w:gridSpan w:val="2"/>
            <w:vMerge/>
            <w:vAlign w:val="center"/>
          </w:tcPr>
          <w:p w14:paraId="17DCDD85" w14:textId="77777777" w:rsidR="007F3128" w:rsidRPr="00F658A6" w:rsidRDefault="007F3128" w:rsidP="00F608A7">
            <w:pPr>
              <w:jc w:val="left"/>
              <w:rPr>
                <w:sz w:val="16"/>
                <w:szCs w:val="16"/>
              </w:rPr>
            </w:pPr>
          </w:p>
        </w:tc>
        <w:tc>
          <w:tcPr>
            <w:tcW w:w="2950" w:type="dxa"/>
            <w:vMerge/>
            <w:vAlign w:val="center"/>
          </w:tcPr>
          <w:p w14:paraId="0F2AF549" w14:textId="77777777" w:rsidR="007F3128" w:rsidRPr="00F658A6" w:rsidRDefault="007F3128" w:rsidP="00F608A7">
            <w:pPr>
              <w:jc w:val="left"/>
              <w:rPr>
                <w:sz w:val="16"/>
                <w:szCs w:val="16"/>
              </w:rPr>
            </w:pPr>
          </w:p>
        </w:tc>
        <w:tc>
          <w:tcPr>
            <w:tcW w:w="567" w:type="dxa"/>
            <w:vAlign w:val="center"/>
          </w:tcPr>
          <w:p w14:paraId="7E10AD4F"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60D5ADF4" w14:textId="3C7BD49E" w:rsidR="007F3128" w:rsidRPr="00F658A6" w:rsidRDefault="007F3128" w:rsidP="00F608A7">
            <w:pPr>
              <w:jc w:val="left"/>
              <w:rPr>
                <w:sz w:val="16"/>
                <w:szCs w:val="16"/>
              </w:rPr>
            </w:pPr>
            <w:r w:rsidRPr="00F658A6">
              <w:rPr>
                <w:sz w:val="16"/>
                <w:szCs w:val="16"/>
              </w:rPr>
              <w:t>Nib</w:t>
            </w:r>
            <w:r w:rsidR="001516E3" w:rsidRPr="00F658A6">
              <w:rPr>
                <w:sz w:val="16"/>
                <w:szCs w:val="16"/>
              </w:rPr>
              <w:t>ia Matilde Villatoro García de A</w:t>
            </w:r>
            <w:r w:rsidRPr="00F658A6">
              <w:rPr>
                <w:sz w:val="16"/>
                <w:szCs w:val="16"/>
              </w:rPr>
              <w:t>lvarez (Madre fallecida)</w:t>
            </w:r>
          </w:p>
        </w:tc>
      </w:tr>
      <w:tr w:rsidR="007F3128" w:rsidRPr="00F658A6" w14:paraId="1E2322EA" w14:textId="77777777" w:rsidTr="00F608A7">
        <w:tc>
          <w:tcPr>
            <w:tcW w:w="560" w:type="dxa"/>
            <w:gridSpan w:val="2"/>
            <w:vMerge w:val="restart"/>
            <w:vAlign w:val="center"/>
          </w:tcPr>
          <w:p w14:paraId="2DAE52F6" w14:textId="77777777" w:rsidR="007F3128" w:rsidRPr="00F658A6" w:rsidRDefault="007F3128" w:rsidP="00F608A7">
            <w:pPr>
              <w:jc w:val="left"/>
              <w:rPr>
                <w:sz w:val="16"/>
                <w:szCs w:val="16"/>
              </w:rPr>
            </w:pPr>
            <w:r w:rsidRPr="00F658A6">
              <w:rPr>
                <w:sz w:val="16"/>
                <w:szCs w:val="16"/>
              </w:rPr>
              <w:t>13</w:t>
            </w:r>
          </w:p>
        </w:tc>
        <w:tc>
          <w:tcPr>
            <w:tcW w:w="2950" w:type="dxa"/>
            <w:vMerge w:val="restart"/>
            <w:vAlign w:val="center"/>
          </w:tcPr>
          <w:p w14:paraId="13B167BC" w14:textId="64EBAEAE" w:rsidR="007F3128" w:rsidRPr="00F658A6" w:rsidRDefault="007F3128" w:rsidP="00F608A7">
            <w:pPr>
              <w:jc w:val="left"/>
              <w:rPr>
                <w:sz w:val="16"/>
                <w:szCs w:val="16"/>
              </w:rPr>
            </w:pPr>
            <w:r w:rsidRPr="00F658A6">
              <w:rPr>
                <w:sz w:val="16"/>
                <w:szCs w:val="16"/>
              </w:rPr>
              <w:t>Juana Aguilar</w:t>
            </w:r>
            <w:r w:rsidR="00036233" w:rsidRPr="00F658A6">
              <w:rPr>
                <w:sz w:val="16"/>
                <w:szCs w:val="16"/>
              </w:rPr>
              <w:t xml:space="preserve"> Gómez</w:t>
            </w:r>
          </w:p>
        </w:tc>
        <w:tc>
          <w:tcPr>
            <w:tcW w:w="567" w:type="dxa"/>
            <w:vAlign w:val="center"/>
          </w:tcPr>
          <w:p w14:paraId="17E55767"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456B9CF" w14:textId="77777777" w:rsidR="007F3128" w:rsidRPr="00F658A6" w:rsidRDefault="007F3128" w:rsidP="00F608A7">
            <w:pPr>
              <w:jc w:val="left"/>
              <w:rPr>
                <w:sz w:val="16"/>
                <w:szCs w:val="16"/>
              </w:rPr>
            </w:pPr>
            <w:r w:rsidRPr="00F658A6">
              <w:rPr>
                <w:sz w:val="16"/>
                <w:szCs w:val="16"/>
              </w:rPr>
              <w:t>Felipe de Jesús Hernández (Pareja, fallecido)</w:t>
            </w:r>
          </w:p>
        </w:tc>
      </w:tr>
      <w:tr w:rsidR="007F3128" w:rsidRPr="00F658A6" w14:paraId="55F426E0" w14:textId="77777777" w:rsidTr="00F608A7">
        <w:tc>
          <w:tcPr>
            <w:tcW w:w="560" w:type="dxa"/>
            <w:gridSpan w:val="2"/>
            <w:vMerge/>
            <w:vAlign w:val="center"/>
          </w:tcPr>
          <w:p w14:paraId="44FF2BAC" w14:textId="77777777" w:rsidR="007F3128" w:rsidRPr="00F658A6" w:rsidRDefault="007F3128" w:rsidP="00F608A7">
            <w:pPr>
              <w:jc w:val="left"/>
              <w:rPr>
                <w:sz w:val="16"/>
                <w:szCs w:val="16"/>
              </w:rPr>
            </w:pPr>
          </w:p>
        </w:tc>
        <w:tc>
          <w:tcPr>
            <w:tcW w:w="2950" w:type="dxa"/>
            <w:vMerge/>
            <w:vAlign w:val="center"/>
          </w:tcPr>
          <w:p w14:paraId="0C3B35F6" w14:textId="77777777" w:rsidR="007F3128" w:rsidRPr="00F658A6" w:rsidRDefault="007F3128" w:rsidP="00F608A7">
            <w:pPr>
              <w:jc w:val="left"/>
              <w:rPr>
                <w:sz w:val="16"/>
                <w:szCs w:val="16"/>
              </w:rPr>
            </w:pPr>
          </w:p>
        </w:tc>
        <w:tc>
          <w:tcPr>
            <w:tcW w:w="567" w:type="dxa"/>
            <w:vAlign w:val="center"/>
          </w:tcPr>
          <w:p w14:paraId="5691D4F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3A4D7B6" w14:textId="77777777" w:rsidR="007F3128" w:rsidRPr="00F658A6" w:rsidRDefault="007F3128" w:rsidP="00F608A7">
            <w:pPr>
              <w:jc w:val="left"/>
              <w:rPr>
                <w:sz w:val="16"/>
                <w:szCs w:val="16"/>
              </w:rPr>
            </w:pPr>
            <w:r w:rsidRPr="00F658A6">
              <w:rPr>
                <w:sz w:val="16"/>
                <w:szCs w:val="16"/>
              </w:rPr>
              <w:t>Jessenia Carolina Guzmán (Hija)</w:t>
            </w:r>
          </w:p>
        </w:tc>
      </w:tr>
      <w:tr w:rsidR="007F3128" w:rsidRPr="00F658A6" w14:paraId="483A6AF8" w14:textId="77777777" w:rsidTr="00F608A7">
        <w:tc>
          <w:tcPr>
            <w:tcW w:w="560" w:type="dxa"/>
            <w:gridSpan w:val="2"/>
            <w:vMerge/>
            <w:vAlign w:val="center"/>
          </w:tcPr>
          <w:p w14:paraId="12843D57" w14:textId="77777777" w:rsidR="007F3128" w:rsidRPr="00F658A6" w:rsidRDefault="007F3128" w:rsidP="00F608A7">
            <w:pPr>
              <w:jc w:val="left"/>
              <w:rPr>
                <w:sz w:val="16"/>
                <w:szCs w:val="16"/>
              </w:rPr>
            </w:pPr>
          </w:p>
        </w:tc>
        <w:tc>
          <w:tcPr>
            <w:tcW w:w="2950" w:type="dxa"/>
            <w:vMerge/>
            <w:vAlign w:val="center"/>
          </w:tcPr>
          <w:p w14:paraId="7631DD89" w14:textId="77777777" w:rsidR="007F3128" w:rsidRPr="00F658A6" w:rsidRDefault="007F3128" w:rsidP="00F608A7">
            <w:pPr>
              <w:jc w:val="left"/>
              <w:rPr>
                <w:sz w:val="16"/>
                <w:szCs w:val="16"/>
              </w:rPr>
            </w:pPr>
          </w:p>
        </w:tc>
        <w:tc>
          <w:tcPr>
            <w:tcW w:w="567" w:type="dxa"/>
            <w:vAlign w:val="center"/>
          </w:tcPr>
          <w:p w14:paraId="720CD40B"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12F8CD3" w14:textId="77777777" w:rsidR="007F3128" w:rsidRPr="00F658A6" w:rsidRDefault="007F3128" w:rsidP="00F608A7">
            <w:pPr>
              <w:jc w:val="left"/>
              <w:rPr>
                <w:sz w:val="16"/>
                <w:szCs w:val="16"/>
              </w:rPr>
            </w:pPr>
            <w:r w:rsidRPr="00F658A6">
              <w:rPr>
                <w:sz w:val="16"/>
                <w:szCs w:val="16"/>
              </w:rPr>
              <w:t>Julio César Guzmán Aguilar (Hijo)</w:t>
            </w:r>
          </w:p>
        </w:tc>
      </w:tr>
      <w:tr w:rsidR="007F3128" w:rsidRPr="00F658A6" w14:paraId="5B83F4F4" w14:textId="77777777" w:rsidTr="00F608A7">
        <w:tc>
          <w:tcPr>
            <w:tcW w:w="560" w:type="dxa"/>
            <w:gridSpan w:val="2"/>
            <w:vMerge/>
            <w:vAlign w:val="center"/>
          </w:tcPr>
          <w:p w14:paraId="042690BA" w14:textId="77777777" w:rsidR="007F3128" w:rsidRPr="00F658A6" w:rsidRDefault="007F3128" w:rsidP="00F608A7">
            <w:pPr>
              <w:jc w:val="left"/>
              <w:rPr>
                <w:sz w:val="16"/>
                <w:szCs w:val="16"/>
              </w:rPr>
            </w:pPr>
          </w:p>
        </w:tc>
        <w:tc>
          <w:tcPr>
            <w:tcW w:w="2950" w:type="dxa"/>
            <w:vMerge/>
            <w:vAlign w:val="center"/>
          </w:tcPr>
          <w:p w14:paraId="568AE0DF" w14:textId="77777777" w:rsidR="007F3128" w:rsidRPr="00F658A6" w:rsidRDefault="007F3128" w:rsidP="00F608A7">
            <w:pPr>
              <w:jc w:val="left"/>
              <w:rPr>
                <w:sz w:val="16"/>
                <w:szCs w:val="16"/>
              </w:rPr>
            </w:pPr>
          </w:p>
        </w:tc>
        <w:tc>
          <w:tcPr>
            <w:tcW w:w="567" w:type="dxa"/>
            <w:vAlign w:val="center"/>
          </w:tcPr>
          <w:p w14:paraId="28E1B8C9"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767AAE77" w14:textId="77777777" w:rsidR="007F3128" w:rsidRPr="00F658A6" w:rsidRDefault="007F3128" w:rsidP="00F608A7">
            <w:pPr>
              <w:jc w:val="left"/>
              <w:rPr>
                <w:sz w:val="16"/>
                <w:szCs w:val="16"/>
              </w:rPr>
            </w:pPr>
            <w:r w:rsidRPr="00F658A6">
              <w:rPr>
                <w:sz w:val="16"/>
                <w:szCs w:val="16"/>
              </w:rPr>
              <w:t>Felipe Guillermo Guzmán Aguilar (Hijo)</w:t>
            </w:r>
          </w:p>
        </w:tc>
      </w:tr>
      <w:tr w:rsidR="007F3128" w:rsidRPr="00F658A6" w14:paraId="323C7E34" w14:textId="77777777" w:rsidTr="00F608A7">
        <w:tc>
          <w:tcPr>
            <w:tcW w:w="560" w:type="dxa"/>
            <w:gridSpan w:val="2"/>
            <w:vMerge/>
            <w:vAlign w:val="center"/>
          </w:tcPr>
          <w:p w14:paraId="705919DE" w14:textId="77777777" w:rsidR="007F3128" w:rsidRPr="00F658A6" w:rsidRDefault="007F3128" w:rsidP="00F608A7">
            <w:pPr>
              <w:jc w:val="left"/>
              <w:rPr>
                <w:sz w:val="16"/>
                <w:szCs w:val="16"/>
              </w:rPr>
            </w:pPr>
          </w:p>
        </w:tc>
        <w:tc>
          <w:tcPr>
            <w:tcW w:w="2950" w:type="dxa"/>
            <w:vMerge/>
            <w:vAlign w:val="center"/>
          </w:tcPr>
          <w:p w14:paraId="254242B3" w14:textId="77777777" w:rsidR="007F3128" w:rsidRPr="00F658A6" w:rsidRDefault="007F3128" w:rsidP="00F608A7">
            <w:pPr>
              <w:jc w:val="left"/>
              <w:rPr>
                <w:sz w:val="16"/>
                <w:szCs w:val="16"/>
              </w:rPr>
            </w:pPr>
          </w:p>
        </w:tc>
        <w:tc>
          <w:tcPr>
            <w:tcW w:w="567" w:type="dxa"/>
            <w:vAlign w:val="center"/>
          </w:tcPr>
          <w:p w14:paraId="7A0599D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43EB3AD3" w14:textId="77777777" w:rsidR="007F3128" w:rsidRPr="00F658A6" w:rsidRDefault="007F3128" w:rsidP="00F608A7">
            <w:pPr>
              <w:jc w:val="left"/>
              <w:rPr>
                <w:sz w:val="16"/>
                <w:szCs w:val="16"/>
              </w:rPr>
            </w:pPr>
            <w:r w:rsidRPr="00F658A6">
              <w:rPr>
                <w:sz w:val="16"/>
                <w:szCs w:val="16"/>
              </w:rPr>
              <w:t>Julián Cabrera Aguilar (Padre)</w:t>
            </w:r>
          </w:p>
        </w:tc>
      </w:tr>
      <w:tr w:rsidR="007F3128" w:rsidRPr="00F658A6" w14:paraId="133DD700" w14:textId="77777777" w:rsidTr="00F608A7">
        <w:tc>
          <w:tcPr>
            <w:tcW w:w="560" w:type="dxa"/>
            <w:gridSpan w:val="2"/>
            <w:vMerge/>
            <w:vAlign w:val="center"/>
          </w:tcPr>
          <w:p w14:paraId="55C26AA7" w14:textId="77777777" w:rsidR="007F3128" w:rsidRPr="00F658A6" w:rsidRDefault="007F3128" w:rsidP="00F608A7">
            <w:pPr>
              <w:jc w:val="left"/>
              <w:rPr>
                <w:sz w:val="16"/>
                <w:szCs w:val="16"/>
              </w:rPr>
            </w:pPr>
          </w:p>
        </w:tc>
        <w:tc>
          <w:tcPr>
            <w:tcW w:w="2950" w:type="dxa"/>
            <w:vMerge/>
            <w:vAlign w:val="center"/>
          </w:tcPr>
          <w:p w14:paraId="1E8279BD" w14:textId="77777777" w:rsidR="007F3128" w:rsidRPr="00F658A6" w:rsidRDefault="007F3128" w:rsidP="00F608A7">
            <w:pPr>
              <w:jc w:val="left"/>
              <w:rPr>
                <w:sz w:val="16"/>
                <w:szCs w:val="16"/>
              </w:rPr>
            </w:pPr>
          </w:p>
        </w:tc>
        <w:tc>
          <w:tcPr>
            <w:tcW w:w="567" w:type="dxa"/>
            <w:vAlign w:val="center"/>
          </w:tcPr>
          <w:p w14:paraId="0E84FED0"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1F30190D" w14:textId="77777777" w:rsidR="007F3128" w:rsidRPr="00F658A6" w:rsidRDefault="007F3128" w:rsidP="00F608A7">
            <w:pPr>
              <w:jc w:val="left"/>
              <w:rPr>
                <w:sz w:val="16"/>
                <w:szCs w:val="16"/>
              </w:rPr>
            </w:pPr>
            <w:r w:rsidRPr="00F658A6">
              <w:rPr>
                <w:sz w:val="16"/>
                <w:szCs w:val="16"/>
              </w:rPr>
              <w:t>Gerber Gudiel Guzmán Aguilar (Nieto)</w:t>
            </w:r>
          </w:p>
        </w:tc>
      </w:tr>
      <w:tr w:rsidR="007F3128" w:rsidRPr="00F658A6" w14:paraId="1EDB8D62" w14:textId="77777777" w:rsidTr="00F608A7">
        <w:tc>
          <w:tcPr>
            <w:tcW w:w="560" w:type="dxa"/>
            <w:gridSpan w:val="2"/>
            <w:vMerge/>
            <w:vAlign w:val="center"/>
          </w:tcPr>
          <w:p w14:paraId="466DD538" w14:textId="77777777" w:rsidR="007F3128" w:rsidRPr="00F658A6" w:rsidRDefault="007F3128" w:rsidP="00F608A7">
            <w:pPr>
              <w:jc w:val="left"/>
              <w:rPr>
                <w:sz w:val="16"/>
                <w:szCs w:val="16"/>
              </w:rPr>
            </w:pPr>
          </w:p>
        </w:tc>
        <w:tc>
          <w:tcPr>
            <w:tcW w:w="2950" w:type="dxa"/>
            <w:vMerge/>
            <w:vAlign w:val="center"/>
          </w:tcPr>
          <w:p w14:paraId="7E99A459" w14:textId="77777777" w:rsidR="007F3128" w:rsidRPr="00F658A6" w:rsidRDefault="007F3128" w:rsidP="00F608A7">
            <w:pPr>
              <w:jc w:val="left"/>
              <w:rPr>
                <w:sz w:val="16"/>
                <w:szCs w:val="16"/>
              </w:rPr>
            </w:pPr>
          </w:p>
        </w:tc>
        <w:tc>
          <w:tcPr>
            <w:tcW w:w="567" w:type="dxa"/>
            <w:vAlign w:val="center"/>
          </w:tcPr>
          <w:p w14:paraId="6742F6D2"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0F03C64F" w14:textId="77777777" w:rsidR="007F3128" w:rsidRPr="00F658A6" w:rsidRDefault="007F3128" w:rsidP="00F608A7">
            <w:pPr>
              <w:jc w:val="left"/>
              <w:rPr>
                <w:sz w:val="16"/>
                <w:szCs w:val="16"/>
              </w:rPr>
            </w:pPr>
            <w:r w:rsidRPr="00F658A6">
              <w:rPr>
                <w:sz w:val="16"/>
                <w:szCs w:val="16"/>
              </w:rPr>
              <w:t>Andi Enrique Sales Guzmán (Nieto</w:t>
            </w:r>
          </w:p>
        </w:tc>
      </w:tr>
      <w:tr w:rsidR="007F3128" w:rsidRPr="00F658A6" w14:paraId="3F6D3930" w14:textId="77777777" w:rsidTr="00F608A7">
        <w:tc>
          <w:tcPr>
            <w:tcW w:w="560" w:type="dxa"/>
            <w:gridSpan w:val="2"/>
            <w:vMerge w:val="restart"/>
            <w:vAlign w:val="center"/>
          </w:tcPr>
          <w:p w14:paraId="67CBA36B" w14:textId="77777777" w:rsidR="007F3128" w:rsidRPr="00F658A6" w:rsidRDefault="007F3128" w:rsidP="00F608A7">
            <w:pPr>
              <w:jc w:val="left"/>
              <w:rPr>
                <w:sz w:val="16"/>
                <w:szCs w:val="16"/>
              </w:rPr>
            </w:pPr>
            <w:r w:rsidRPr="00F658A6">
              <w:rPr>
                <w:sz w:val="16"/>
                <w:szCs w:val="16"/>
              </w:rPr>
              <w:t>14</w:t>
            </w:r>
          </w:p>
        </w:tc>
        <w:tc>
          <w:tcPr>
            <w:tcW w:w="2950" w:type="dxa"/>
            <w:vMerge w:val="restart"/>
            <w:vAlign w:val="center"/>
          </w:tcPr>
          <w:p w14:paraId="0A493044" w14:textId="40992D51" w:rsidR="007F3128" w:rsidRPr="00F658A6" w:rsidRDefault="0087740B" w:rsidP="00F608A7">
            <w:pPr>
              <w:jc w:val="left"/>
              <w:rPr>
                <w:sz w:val="16"/>
                <w:szCs w:val="16"/>
              </w:rPr>
            </w:pPr>
            <w:r w:rsidRPr="00F658A6">
              <w:rPr>
                <w:sz w:val="16"/>
                <w:szCs w:val="16"/>
              </w:rPr>
              <w:t>Melvin Yovani Ajt</w:t>
            </w:r>
            <w:r w:rsidR="00864FEC" w:rsidRPr="00F658A6">
              <w:rPr>
                <w:sz w:val="16"/>
                <w:szCs w:val="16"/>
              </w:rPr>
              <w:t>u</w:t>
            </w:r>
            <w:r w:rsidR="007F3128" w:rsidRPr="00F658A6">
              <w:rPr>
                <w:sz w:val="16"/>
                <w:szCs w:val="16"/>
              </w:rPr>
              <w:t>n Escobar</w:t>
            </w:r>
          </w:p>
        </w:tc>
        <w:tc>
          <w:tcPr>
            <w:tcW w:w="567" w:type="dxa"/>
            <w:vAlign w:val="center"/>
          </w:tcPr>
          <w:p w14:paraId="34CD65DD"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46C99BDD" w14:textId="77777777" w:rsidR="007F3128" w:rsidRPr="00F658A6" w:rsidRDefault="007F3128" w:rsidP="00F608A7">
            <w:pPr>
              <w:jc w:val="left"/>
              <w:rPr>
                <w:sz w:val="16"/>
                <w:szCs w:val="16"/>
              </w:rPr>
            </w:pPr>
            <w:r w:rsidRPr="00F658A6">
              <w:rPr>
                <w:sz w:val="16"/>
                <w:szCs w:val="16"/>
              </w:rPr>
              <w:t>Heidy Mariela Lucas González (Esposa)</w:t>
            </w:r>
          </w:p>
        </w:tc>
      </w:tr>
      <w:tr w:rsidR="007F3128" w:rsidRPr="00F658A6" w14:paraId="3335B108" w14:textId="77777777" w:rsidTr="00F608A7">
        <w:tc>
          <w:tcPr>
            <w:tcW w:w="560" w:type="dxa"/>
            <w:gridSpan w:val="2"/>
            <w:vMerge/>
            <w:vAlign w:val="center"/>
          </w:tcPr>
          <w:p w14:paraId="5C37C05A" w14:textId="77777777" w:rsidR="007F3128" w:rsidRPr="00F658A6" w:rsidRDefault="007F3128" w:rsidP="00F608A7">
            <w:pPr>
              <w:jc w:val="left"/>
              <w:rPr>
                <w:sz w:val="16"/>
                <w:szCs w:val="16"/>
              </w:rPr>
            </w:pPr>
          </w:p>
        </w:tc>
        <w:tc>
          <w:tcPr>
            <w:tcW w:w="2950" w:type="dxa"/>
            <w:vMerge/>
            <w:vAlign w:val="center"/>
          </w:tcPr>
          <w:p w14:paraId="61DB1555" w14:textId="77777777" w:rsidR="007F3128" w:rsidRPr="00F658A6" w:rsidRDefault="007F3128" w:rsidP="00F608A7">
            <w:pPr>
              <w:jc w:val="left"/>
              <w:rPr>
                <w:sz w:val="16"/>
                <w:szCs w:val="16"/>
              </w:rPr>
            </w:pPr>
          </w:p>
        </w:tc>
        <w:tc>
          <w:tcPr>
            <w:tcW w:w="567" w:type="dxa"/>
            <w:vAlign w:val="center"/>
          </w:tcPr>
          <w:p w14:paraId="2CCE5983"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34CC532" w14:textId="00AB9FB3" w:rsidR="007F3128" w:rsidRPr="00F658A6" w:rsidRDefault="000169FB" w:rsidP="00F608A7">
            <w:pPr>
              <w:jc w:val="left"/>
              <w:rPr>
                <w:sz w:val="16"/>
                <w:szCs w:val="16"/>
              </w:rPr>
            </w:pPr>
            <w:r w:rsidRPr="00F658A6">
              <w:rPr>
                <w:sz w:val="16"/>
                <w:szCs w:val="16"/>
              </w:rPr>
              <w:t>Elías Emmanuel Ajtu</w:t>
            </w:r>
            <w:r w:rsidR="007F3128" w:rsidRPr="00F658A6">
              <w:rPr>
                <w:sz w:val="16"/>
                <w:szCs w:val="16"/>
              </w:rPr>
              <w:t>n Lucas (Hijo)</w:t>
            </w:r>
          </w:p>
        </w:tc>
      </w:tr>
      <w:tr w:rsidR="007F3128" w:rsidRPr="00F658A6" w14:paraId="2F2E5A25" w14:textId="77777777" w:rsidTr="00F608A7">
        <w:tc>
          <w:tcPr>
            <w:tcW w:w="560" w:type="dxa"/>
            <w:gridSpan w:val="2"/>
            <w:vMerge/>
            <w:vAlign w:val="center"/>
          </w:tcPr>
          <w:p w14:paraId="2DD55DA5" w14:textId="77777777" w:rsidR="007F3128" w:rsidRPr="00F658A6" w:rsidRDefault="007F3128" w:rsidP="00F608A7">
            <w:pPr>
              <w:jc w:val="left"/>
              <w:rPr>
                <w:sz w:val="16"/>
                <w:szCs w:val="16"/>
              </w:rPr>
            </w:pPr>
          </w:p>
        </w:tc>
        <w:tc>
          <w:tcPr>
            <w:tcW w:w="2950" w:type="dxa"/>
            <w:vMerge/>
            <w:vAlign w:val="center"/>
          </w:tcPr>
          <w:p w14:paraId="6D765656" w14:textId="77777777" w:rsidR="007F3128" w:rsidRPr="00F658A6" w:rsidRDefault="007F3128" w:rsidP="00F608A7">
            <w:pPr>
              <w:jc w:val="left"/>
              <w:rPr>
                <w:sz w:val="16"/>
                <w:szCs w:val="16"/>
              </w:rPr>
            </w:pPr>
          </w:p>
        </w:tc>
        <w:tc>
          <w:tcPr>
            <w:tcW w:w="567" w:type="dxa"/>
            <w:vAlign w:val="center"/>
          </w:tcPr>
          <w:p w14:paraId="6FDB0173"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3FD37B4F" w14:textId="77777777" w:rsidR="007F3128" w:rsidRPr="00F658A6" w:rsidRDefault="007F3128" w:rsidP="00F608A7">
            <w:pPr>
              <w:jc w:val="left"/>
              <w:rPr>
                <w:sz w:val="16"/>
                <w:szCs w:val="16"/>
              </w:rPr>
            </w:pPr>
            <w:r w:rsidRPr="00F658A6">
              <w:rPr>
                <w:sz w:val="16"/>
                <w:szCs w:val="16"/>
              </w:rPr>
              <w:t>Marvin Josué Lucas González (Hijo, fallecido)</w:t>
            </w:r>
          </w:p>
        </w:tc>
      </w:tr>
      <w:tr w:rsidR="007F3128" w:rsidRPr="00F658A6" w14:paraId="367CEE80" w14:textId="77777777" w:rsidTr="00F608A7">
        <w:tc>
          <w:tcPr>
            <w:tcW w:w="560" w:type="dxa"/>
            <w:gridSpan w:val="2"/>
            <w:vMerge/>
            <w:vAlign w:val="center"/>
          </w:tcPr>
          <w:p w14:paraId="20450C1E" w14:textId="77777777" w:rsidR="007F3128" w:rsidRPr="00F658A6" w:rsidRDefault="007F3128" w:rsidP="00F608A7">
            <w:pPr>
              <w:jc w:val="left"/>
              <w:rPr>
                <w:sz w:val="16"/>
                <w:szCs w:val="16"/>
              </w:rPr>
            </w:pPr>
          </w:p>
        </w:tc>
        <w:tc>
          <w:tcPr>
            <w:tcW w:w="2950" w:type="dxa"/>
            <w:vMerge/>
            <w:vAlign w:val="center"/>
          </w:tcPr>
          <w:p w14:paraId="13EEAA1A" w14:textId="77777777" w:rsidR="007F3128" w:rsidRPr="00F658A6" w:rsidRDefault="007F3128" w:rsidP="00F608A7">
            <w:pPr>
              <w:jc w:val="left"/>
              <w:rPr>
                <w:sz w:val="16"/>
                <w:szCs w:val="16"/>
              </w:rPr>
            </w:pPr>
          </w:p>
        </w:tc>
        <w:tc>
          <w:tcPr>
            <w:tcW w:w="567" w:type="dxa"/>
            <w:vAlign w:val="center"/>
          </w:tcPr>
          <w:p w14:paraId="46005AB2"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16A441CC" w14:textId="77777777" w:rsidR="007F3128" w:rsidRPr="00F658A6" w:rsidRDefault="007F3128" w:rsidP="00F608A7">
            <w:pPr>
              <w:jc w:val="left"/>
              <w:rPr>
                <w:sz w:val="16"/>
                <w:szCs w:val="16"/>
              </w:rPr>
            </w:pPr>
            <w:r w:rsidRPr="00F658A6">
              <w:rPr>
                <w:sz w:val="16"/>
                <w:szCs w:val="16"/>
              </w:rPr>
              <w:t>Bertha Luz Escobar (Madre)</w:t>
            </w:r>
          </w:p>
        </w:tc>
      </w:tr>
      <w:tr w:rsidR="007F3128" w:rsidRPr="00F658A6" w14:paraId="14D77000" w14:textId="77777777" w:rsidTr="00F608A7">
        <w:tc>
          <w:tcPr>
            <w:tcW w:w="560" w:type="dxa"/>
            <w:gridSpan w:val="2"/>
            <w:vMerge w:val="restart"/>
            <w:vAlign w:val="center"/>
          </w:tcPr>
          <w:p w14:paraId="71D67199" w14:textId="77777777" w:rsidR="007F3128" w:rsidRPr="00F658A6" w:rsidRDefault="007F3128" w:rsidP="00F608A7">
            <w:pPr>
              <w:jc w:val="left"/>
              <w:rPr>
                <w:sz w:val="16"/>
                <w:szCs w:val="16"/>
              </w:rPr>
            </w:pPr>
            <w:r w:rsidRPr="00F658A6">
              <w:rPr>
                <w:sz w:val="16"/>
                <w:szCs w:val="16"/>
              </w:rPr>
              <w:t>15</w:t>
            </w:r>
          </w:p>
        </w:tc>
        <w:tc>
          <w:tcPr>
            <w:tcW w:w="2950" w:type="dxa"/>
            <w:vMerge w:val="restart"/>
            <w:vAlign w:val="center"/>
          </w:tcPr>
          <w:p w14:paraId="4AD0F743" w14:textId="4F6C49AD" w:rsidR="007F3128" w:rsidRPr="00F658A6" w:rsidRDefault="007F3128" w:rsidP="00F608A7">
            <w:pPr>
              <w:jc w:val="left"/>
              <w:rPr>
                <w:sz w:val="16"/>
                <w:szCs w:val="16"/>
              </w:rPr>
            </w:pPr>
            <w:r w:rsidRPr="00F658A6">
              <w:rPr>
                <w:sz w:val="16"/>
                <w:szCs w:val="16"/>
              </w:rPr>
              <w:t>José Cupertino Ramírez</w:t>
            </w:r>
          </w:p>
        </w:tc>
        <w:tc>
          <w:tcPr>
            <w:tcW w:w="567" w:type="dxa"/>
            <w:vAlign w:val="center"/>
          </w:tcPr>
          <w:p w14:paraId="4DAAA8C5"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71968D5" w14:textId="77777777" w:rsidR="007F3128" w:rsidRPr="00F658A6" w:rsidRDefault="007F3128" w:rsidP="00F608A7">
            <w:pPr>
              <w:jc w:val="left"/>
              <w:rPr>
                <w:sz w:val="16"/>
                <w:szCs w:val="16"/>
              </w:rPr>
            </w:pPr>
            <w:r w:rsidRPr="00F658A6">
              <w:rPr>
                <w:sz w:val="16"/>
                <w:szCs w:val="16"/>
              </w:rPr>
              <w:t>Victoria Ramírez Sabat (Prima hermana)</w:t>
            </w:r>
          </w:p>
        </w:tc>
      </w:tr>
      <w:tr w:rsidR="007F3128" w:rsidRPr="00F658A6" w14:paraId="5CE4E456" w14:textId="77777777" w:rsidTr="00F608A7">
        <w:tc>
          <w:tcPr>
            <w:tcW w:w="560" w:type="dxa"/>
            <w:gridSpan w:val="2"/>
            <w:vMerge/>
            <w:vAlign w:val="center"/>
          </w:tcPr>
          <w:p w14:paraId="27F06174" w14:textId="77777777" w:rsidR="007F3128" w:rsidRPr="00F658A6" w:rsidRDefault="007F3128" w:rsidP="00F608A7">
            <w:pPr>
              <w:jc w:val="left"/>
              <w:rPr>
                <w:sz w:val="16"/>
                <w:szCs w:val="16"/>
              </w:rPr>
            </w:pPr>
          </w:p>
        </w:tc>
        <w:tc>
          <w:tcPr>
            <w:tcW w:w="2950" w:type="dxa"/>
            <w:vMerge/>
            <w:vAlign w:val="center"/>
          </w:tcPr>
          <w:p w14:paraId="4BD7747C" w14:textId="77777777" w:rsidR="007F3128" w:rsidRPr="00F658A6" w:rsidRDefault="007F3128" w:rsidP="00F608A7">
            <w:pPr>
              <w:jc w:val="left"/>
              <w:rPr>
                <w:sz w:val="16"/>
                <w:szCs w:val="16"/>
              </w:rPr>
            </w:pPr>
          </w:p>
        </w:tc>
        <w:tc>
          <w:tcPr>
            <w:tcW w:w="567" w:type="dxa"/>
            <w:vAlign w:val="center"/>
          </w:tcPr>
          <w:p w14:paraId="239C8E9E"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48180782" w14:textId="77777777" w:rsidR="007F3128" w:rsidRPr="00F658A6" w:rsidRDefault="007F3128" w:rsidP="00F608A7">
            <w:pPr>
              <w:jc w:val="left"/>
              <w:rPr>
                <w:sz w:val="16"/>
                <w:szCs w:val="16"/>
              </w:rPr>
            </w:pPr>
            <w:r w:rsidRPr="00F658A6">
              <w:rPr>
                <w:sz w:val="16"/>
                <w:szCs w:val="16"/>
              </w:rPr>
              <w:t>Valvino Ramírez Sabat (Primo hermano)</w:t>
            </w:r>
          </w:p>
        </w:tc>
      </w:tr>
      <w:tr w:rsidR="007F3128" w:rsidRPr="00F658A6" w14:paraId="2D1EC669" w14:textId="77777777" w:rsidTr="00F608A7">
        <w:tc>
          <w:tcPr>
            <w:tcW w:w="560" w:type="dxa"/>
            <w:gridSpan w:val="2"/>
            <w:vMerge/>
            <w:vAlign w:val="center"/>
          </w:tcPr>
          <w:p w14:paraId="5418967A" w14:textId="77777777" w:rsidR="007F3128" w:rsidRPr="00F658A6" w:rsidRDefault="007F3128" w:rsidP="00F608A7">
            <w:pPr>
              <w:jc w:val="left"/>
              <w:rPr>
                <w:sz w:val="16"/>
                <w:szCs w:val="16"/>
              </w:rPr>
            </w:pPr>
          </w:p>
        </w:tc>
        <w:tc>
          <w:tcPr>
            <w:tcW w:w="2950" w:type="dxa"/>
            <w:vMerge/>
            <w:vAlign w:val="center"/>
          </w:tcPr>
          <w:p w14:paraId="4E519AFD" w14:textId="77777777" w:rsidR="007F3128" w:rsidRPr="00F658A6" w:rsidRDefault="007F3128" w:rsidP="00F608A7">
            <w:pPr>
              <w:jc w:val="left"/>
              <w:rPr>
                <w:sz w:val="16"/>
                <w:szCs w:val="16"/>
              </w:rPr>
            </w:pPr>
          </w:p>
        </w:tc>
        <w:tc>
          <w:tcPr>
            <w:tcW w:w="567" w:type="dxa"/>
            <w:vAlign w:val="center"/>
          </w:tcPr>
          <w:p w14:paraId="2BB3BF7E"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9C6079C" w14:textId="77777777" w:rsidR="007F3128" w:rsidRPr="00F658A6" w:rsidRDefault="007F3128" w:rsidP="00F608A7">
            <w:pPr>
              <w:jc w:val="left"/>
              <w:rPr>
                <w:sz w:val="16"/>
                <w:szCs w:val="16"/>
              </w:rPr>
            </w:pPr>
            <w:r w:rsidRPr="00F658A6">
              <w:rPr>
                <w:sz w:val="16"/>
                <w:szCs w:val="16"/>
              </w:rPr>
              <w:t>Valvino Ramírez Ramos (Tío)</w:t>
            </w:r>
          </w:p>
        </w:tc>
      </w:tr>
      <w:tr w:rsidR="007F3128" w:rsidRPr="00F658A6" w14:paraId="4DA5E93B" w14:textId="77777777" w:rsidTr="00F608A7">
        <w:tc>
          <w:tcPr>
            <w:tcW w:w="560" w:type="dxa"/>
            <w:gridSpan w:val="2"/>
            <w:vMerge w:val="restart"/>
            <w:vAlign w:val="center"/>
          </w:tcPr>
          <w:p w14:paraId="58A23197" w14:textId="77777777" w:rsidR="007F3128" w:rsidRPr="00F658A6" w:rsidRDefault="007F3128" w:rsidP="00F608A7">
            <w:pPr>
              <w:jc w:val="left"/>
              <w:rPr>
                <w:sz w:val="16"/>
                <w:szCs w:val="16"/>
              </w:rPr>
            </w:pPr>
            <w:r w:rsidRPr="00F658A6">
              <w:rPr>
                <w:sz w:val="16"/>
                <w:szCs w:val="16"/>
              </w:rPr>
              <w:t>16</w:t>
            </w:r>
          </w:p>
        </w:tc>
        <w:tc>
          <w:tcPr>
            <w:tcW w:w="2950" w:type="dxa"/>
            <w:vMerge w:val="restart"/>
            <w:vAlign w:val="center"/>
          </w:tcPr>
          <w:p w14:paraId="61555C13" w14:textId="0853561B" w:rsidR="007F3128" w:rsidRPr="00F658A6" w:rsidRDefault="007F3128" w:rsidP="00F608A7">
            <w:pPr>
              <w:jc w:val="left"/>
              <w:rPr>
                <w:sz w:val="16"/>
                <w:szCs w:val="16"/>
              </w:rPr>
            </w:pPr>
            <w:r w:rsidRPr="00F658A6">
              <w:rPr>
                <w:sz w:val="16"/>
                <w:szCs w:val="16"/>
              </w:rPr>
              <w:t>Sebastián Emilio Dueñas</w:t>
            </w:r>
          </w:p>
        </w:tc>
        <w:tc>
          <w:tcPr>
            <w:tcW w:w="567" w:type="dxa"/>
            <w:vAlign w:val="center"/>
          </w:tcPr>
          <w:p w14:paraId="22BA2629" w14:textId="66CC4880" w:rsidR="007F3128" w:rsidRPr="00F658A6" w:rsidRDefault="00A400FA" w:rsidP="00F608A7">
            <w:pPr>
              <w:jc w:val="left"/>
              <w:rPr>
                <w:sz w:val="16"/>
                <w:szCs w:val="16"/>
              </w:rPr>
            </w:pPr>
            <w:r w:rsidRPr="00F658A6">
              <w:rPr>
                <w:sz w:val="16"/>
                <w:szCs w:val="16"/>
              </w:rPr>
              <w:t>1</w:t>
            </w:r>
          </w:p>
        </w:tc>
        <w:tc>
          <w:tcPr>
            <w:tcW w:w="4927" w:type="dxa"/>
            <w:vAlign w:val="center"/>
          </w:tcPr>
          <w:p w14:paraId="5A56C3E4" w14:textId="6AFC5717" w:rsidR="007F3128" w:rsidRPr="00F658A6" w:rsidRDefault="00A400FA" w:rsidP="00F608A7">
            <w:pPr>
              <w:jc w:val="left"/>
              <w:rPr>
                <w:sz w:val="16"/>
                <w:szCs w:val="16"/>
              </w:rPr>
            </w:pPr>
            <w:r w:rsidRPr="00F658A6">
              <w:rPr>
                <w:sz w:val="16"/>
                <w:szCs w:val="16"/>
              </w:rPr>
              <w:t>Julia Aguilar (Esposa)</w:t>
            </w:r>
          </w:p>
        </w:tc>
      </w:tr>
      <w:tr w:rsidR="007F3128" w:rsidRPr="00F658A6" w14:paraId="76C4143F" w14:textId="77777777" w:rsidTr="00F608A7">
        <w:tc>
          <w:tcPr>
            <w:tcW w:w="560" w:type="dxa"/>
            <w:gridSpan w:val="2"/>
            <w:vMerge/>
            <w:vAlign w:val="center"/>
          </w:tcPr>
          <w:p w14:paraId="70F14962" w14:textId="77777777" w:rsidR="007F3128" w:rsidRPr="00F658A6" w:rsidRDefault="007F3128" w:rsidP="00F608A7">
            <w:pPr>
              <w:jc w:val="left"/>
              <w:rPr>
                <w:sz w:val="16"/>
                <w:szCs w:val="16"/>
              </w:rPr>
            </w:pPr>
          </w:p>
        </w:tc>
        <w:tc>
          <w:tcPr>
            <w:tcW w:w="2950" w:type="dxa"/>
            <w:vMerge/>
            <w:vAlign w:val="center"/>
          </w:tcPr>
          <w:p w14:paraId="73992358" w14:textId="77777777" w:rsidR="007F3128" w:rsidRPr="00F658A6" w:rsidRDefault="007F3128" w:rsidP="00F608A7">
            <w:pPr>
              <w:jc w:val="left"/>
              <w:rPr>
                <w:sz w:val="16"/>
                <w:szCs w:val="16"/>
              </w:rPr>
            </w:pPr>
          </w:p>
        </w:tc>
        <w:tc>
          <w:tcPr>
            <w:tcW w:w="567" w:type="dxa"/>
            <w:vAlign w:val="center"/>
          </w:tcPr>
          <w:p w14:paraId="54EDD2A4" w14:textId="46064B63" w:rsidR="007F3128" w:rsidRPr="00F658A6" w:rsidRDefault="00A400FA" w:rsidP="00F608A7">
            <w:pPr>
              <w:jc w:val="left"/>
              <w:rPr>
                <w:sz w:val="16"/>
                <w:szCs w:val="16"/>
              </w:rPr>
            </w:pPr>
            <w:r w:rsidRPr="00F658A6">
              <w:rPr>
                <w:sz w:val="16"/>
                <w:szCs w:val="16"/>
              </w:rPr>
              <w:t>2</w:t>
            </w:r>
          </w:p>
        </w:tc>
        <w:tc>
          <w:tcPr>
            <w:tcW w:w="4927" w:type="dxa"/>
            <w:vAlign w:val="center"/>
          </w:tcPr>
          <w:p w14:paraId="42B6B82B" w14:textId="6DA5F581" w:rsidR="007F3128" w:rsidRPr="00F658A6" w:rsidRDefault="00A400FA" w:rsidP="00F608A7">
            <w:pPr>
              <w:jc w:val="left"/>
              <w:rPr>
                <w:sz w:val="16"/>
                <w:szCs w:val="16"/>
              </w:rPr>
            </w:pPr>
            <w:r w:rsidRPr="00F658A6">
              <w:rPr>
                <w:sz w:val="16"/>
                <w:szCs w:val="16"/>
              </w:rPr>
              <w:t>Fredy Dueñas Aguilar (Hijo)</w:t>
            </w:r>
          </w:p>
        </w:tc>
      </w:tr>
      <w:tr w:rsidR="007F3128" w:rsidRPr="00F658A6" w14:paraId="0564B372" w14:textId="77777777" w:rsidTr="00F608A7">
        <w:tc>
          <w:tcPr>
            <w:tcW w:w="560" w:type="dxa"/>
            <w:gridSpan w:val="2"/>
            <w:vMerge/>
            <w:vAlign w:val="center"/>
          </w:tcPr>
          <w:p w14:paraId="5B49B1CA" w14:textId="77777777" w:rsidR="007F3128" w:rsidRPr="00F658A6" w:rsidRDefault="007F3128" w:rsidP="00F608A7">
            <w:pPr>
              <w:jc w:val="left"/>
              <w:rPr>
                <w:sz w:val="16"/>
                <w:szCs w:val="16"/>
              </w:rPr>
            </w:pPr>
          </w:p>
        </w:tc>
        <w:tc>
          <w:tcPr>
            <w:tcW w:w="2950" w:type="dxa"/>
            <w:vMerge/>
            <w:vAlign w:val="center"/>
          </w:tcPr>
          <w:p w14:paraId="35368ACB" w14:textId="77777777" w:rsidR="007F3128" w:rsidRPr="00F658A6" w:rsidRDefault="007F3128" w:rsidP="00F608A7">
            <w:pPr>
              <w:jc w:val="left"/>
              <w:rPr>
                <w:sz w:val="16"/>
                <w:szCs w:val="16"/>
              </w:rPr>
            </w:pPr>
          </w:p>
        </w:tc>
        <w:tc>
          <w:tcPr>
            <w:tcW w:w="567" w:type="dxa"/>
            <w:vAlign w:val="center"/>
          </w:tcPr>
          <w:p w14:paraId="0877639E" w14:textId="7A86FC96" w:rsidR="007F3128" w:rsidRPr="00F658A6" w:rsidRDefault="00A400FA" w:rsidP="00F608A7">
            <w:pPr>
              <w:jc w:val="left"/>
              <w:rPr>
                <w:sz w:val="16"/>
                <w:szCs w:val="16"/>
              </w:rPr>
            </w:pPr>
            <w:r w:rsidRPr="00F658A6">
              <w:rPr>
                <w:sz w:val="16"/>
                <w:szCs w:val="16"/>
              </w:rPr>
              <w:t>3</w:t>
            </w:r>
          </w:p>
        </w:tc>
        <w:tc>
          <w:tcPr>
            <w:tcW w:w="4927" w:type="dxa"/>
            <w:vAlign w:val="center"/>
          </w:tcPr>
          <w:p w14:paraId="67355E04" w14:textId="279DFE53" w:rsidR="007F3128" w:rsidRPr="00F658A6" w:rsidRDefault="00A400FA" w:rsidP="00F608A7">
            <w:pPr>
              <w:jc w:val="left"/>
              <w:rPr>
                <w:sz w:val="16"/>
                <w:szCs w:val="16"/>
              </w:rPr>
            </w:pPr>
            <w:r w:rsidRPr="00F658A6">
              <w:rPr>
                <w:sz w:val="16"/>
                <w:szCs w:val="16"/>
              </w:rPr>
              <w:t>Lucrecia Isabel Dueñas Aguilar (Hija)</w:t>
            </w:r>
          </w:p>
        </w:tc>
      </w:tr>
      <w:tr w:rsidR="007F3128" w:rsidRPr="00F658A6" w14:paraId="2EE67414" w14:textId="77777777" w:rsidTr="00F608A7">
        <w:tc>
          <w:tcPr>
            <w:tcW w:w="560" w:type="dxa"/>
            <w:gridSpan w:val="2"/>
            <w:vMerge/>
            <w:vAlign w:val="center"/>
          </w:tcPr>
          <w:p w14:paraId="0344D6CA" w14:textId="77777777" w:rsidR="007F3128" w:rsidRPr="00F658A6" w:rsidRDefault="007F3128" w:rsidP="00F608A7">
            <w:pPr>
              <w:jc w:val="left"/>
              <w:rPr>
                <w:sz w:val="16"/>
                <w:szCs w:val="16"/>
              </w:rPr>
            </w:pPr>
          </w:p>
        </w:tc>
        <w:tc>
          <w:tcPr>
            <w:tcW w:w="2950" w:type="dxa"/>
            <w:vMerge/>
            <w:vAlign w:val="center"/>
          </w:tcPr>
          <w:p w14:paraId="02F0A39B" w14:textId="77777777" w:rsidR="007F3128" w:rsidRPr="00F658A6" w:rsidRDefault="007F3128" w:rsidP="00F608A7">
            <w:pPr>
              <w:jc w:val="left"/>
              <w:rPr>
                <w:sz w:val="16"/>
                <w:szCs w:val="16"/>
              </w:rPr>
            </w:pPr>
          </w:p>
        </w:tc>
        <w:tc>
          <w:tcPr>
            <w:tcW w:w="567" w:type="dxa"/>
            <w:vAlign w:val="center"/>
          </w:tcPr>
          <w:p w14:paraId="64C128D5" w14:textId="27950EB7" w:rsidR="007F3128" w:rsidRPr="00F658A6" w:rsidRDefault="00A400FA" w:rsidP="00F608A7">
            <w:pPr>
              <w:jc w:val="left"/>
              <w:rPr>
                <w:sz w:val="16"/>
                <w:szCs w:val="16"/>
              </w:rPr>
            </w:pPr>
            <w:r w:rsidRPr="00F658A6">
              <w:rPr>
                <w:sz w:val="16"/>
                <w:szCs w:val="16"/>
              </w:rPr>
              <w:t>4</w:t>
            </w:r>
          </w:p>
        </w:tc>
        <w:tc>
          <w:tcPr>
            <w:tcW w:w="4927" w:type="dxa"/>
            <w:vAlign w:val="center"/>
          </w:tcPr>
          <w:p w14:paraId="614854B4" w14:textId="7332862C" w:rsidR="007F3128" w:rsidRPr="00F658A6" w:rsidRDefault="00A400FA" w:rsidP="00F608A7">
            <w:pPr>
              <w:jc w:val="left"/>
              <w:rPr>
                <w:sz w:val="16"/>
                <w:szCs w:val="16"/>
              </w:rPr>
            </w:pPr>
            <w:r w:rsidRPr="00F658A6">
              <w:rPr>
                <w:sz w:val="16"/>
                <w:szCs w:val="16"/>
              </w:rPr>
              <w:t>Eva Dueñas Aguilar (Hija)</w:t>
            </w:r>
          </w:p>
        </w:tc>
      </w:tr>
      <w:tr w:rsidR="007F3128" w:rsidRPr="00F658A6" w14:paraId="178EA99C" w14:textId="77777777" w:rsidTr="00F608A7">
        <w:tc>
          <w:tcPr>
            <w:tcW w:w="560" w:type="dxa"/>
            <w:gridSpan w:val="2"/>
            <w:vMerge w:val="restart"/>
            <w:vAlign w:val="center"/>
          </w:tcPr>
          <w:p w14:paraId="59FFF250" w14:textId="77777777" w:rsidR="007F3128" w:rsidRPr="00F658A6" w:rsidRDefault="007F3128" w:rsidP="00F608A7">
            <w:pPr>
              <w:jc w:val="left"/>
              <w:rPr>
                <w:sz w:val="16"/>
                <w:szCs w:val="16"/>
              </w:rPr>
            </w:pPr>
            <w:r w:rsidRPr="00F658A6">
              <w:rPr>
                <w:sz w:val="16"/>
                <w:szCs w:val="16"/>
              </w:rPr>
              <w:t>17</w:t>
            </w:r>
          </w:p>
        </w:tc>
        <w:tc>
          <w:tcPr>
            <w:tcW w:w="2950" w:type="dxa"/>
            <w:vMerge w:val="restart"/>
            <w:vAlign w:val="center"/>
          </w:tcPr>
          <w:p w14:paraId="4AFFD91A" w14:textId="457F7878" w:rsidR="007F3128" w:rsidRPr="00F658A6" w:rsidRDefault="007F3128" w:rsidP="00F608A7">
            <w:pPr>
              <w:jc w:val="left"/>
              <w:rPr>
                <w:sz w:val="16"/>
                <w:szCs w:val="16"/>
              </w:rPr>
            </w:pPr>
            <w:r w:rsidRPr="00F658A6">
              <w:rPr>
                <w:sz w:val="16"/>
                <w:szCs w:val="16"/>
              </w:rPr>
              <w:t>Julia Aguilar</w:t>
            </w:r>
          </w:p>
        </w:tc>
        <w:tc>
          <w:tcPr>
            <w:tcW w:w="567" w:type="dxa"/>
            <w:vAlign w:val="center"/>
          </w:tcPr>
          <w:p w14:paraId="5438A5D1" w14:textId="650B683A" w:rsidR="007F3128" w:rsidRPr="00F658A6" w:rsidRDefault="00A400FA" w:rsidP="00F608A7">
            <w:pPr>
              <w:jc w:val="left"/>
              <w:rPr>
                <w:sz w:val="16"/>
                <w:szCs w:val="16"/>
              </w:rPr>
            </w:pPr>
            <w:r w:rsidRPr="00F658A6">
              <w:rPr>
                <w:sz w:val="16"/>
                <w:szCs w:val="16"/>
              </w:rPr>
              <w:t>1</w:t>
            </w:r>
          </w:p>
        </w:tc>
        <w:tc>
          <w:tcPr>
            <w:tcW w:w="4927" w:type="dxa"/>
            <w:vAlign w:val="center"/>
          </w:tcPr>
          <w:p w14:paraId="1C3E27EE" w14:textId="4D66C2B3" w:rsidR="007F3128" w:rsidRPr="00F658A6" w:rsidRDefault="00A400FA" w:rsidP="00F608A7">
            <w:pPr>
              <w:jc w:val="left"/>
              <w:rPr>
                <w:sz w:val="16"/>
                <w:szCs w:val="16"/>
              </w:rPr>
            </w:pPr>
            <w:r w:rsidRPr="00F658A6">
              <w:rPr>
                <w:sz w:val="16"/>
                <w:szCs w:val="16"/>
              </w:rPr>
              <w:t>Sebastián Emilio Dueñas</w:t>
            </w:r>
            <w:r w:rsidR="007F3128" w:rsidRPr="00F658A6">
              <w:rPr>
                <w:sz w:val="16"/>
                <w:szCs w:val="16"/>
              </w:rPr>
              <w:t xml:space="preserve"> (</w:t>
            </w:r>
            <w:r w:rsidRPr="00F658A6">
              <w:rPr>
                <w:sz w:val="16"/>
                <w:szCs w:val="16"/>
              </w:rPr>
              <w:t>Esposo</w:t>
            </w:r>
            <w:r w:rsidR="007F3128" w:rsidRPr="00F658A6">
              <w:rPr>
                <w:sz w:val="16"/>
                <w:szCs w:val="16"/>
              </w:rPr>
              <w:t>)</w:t>
            </w:r>
          </w:p>
        </w:tc>
      </w:tr>
      <w:tr w:rsidR="007F3128" w:rsidRPr="00F658A6" w14:paraId="2A2AEE67" w14:textId="77777777" w:rsidTr="00F608A7">
        <w:tc>
          <w:tcPr>
            <w:tcW w:w="560" w:type="dxa"/>
            <w:gridSpan w:val="2"/>
            <w:vMerge/>
            <w:vAlign w:val="center"/>
          </w:tcPr>
          <w:p w14:paraId="570D7879" w14:textId="77777777" w:rsidR="007F3128" w:rsidRPr="00F658A6" w:rsidRDefault="007F3128" w:rsidP="00F608A7">
            <w:pPr>
              <w:jc w:val="left"/>
              <w:rPr>
                <w:sz w:val="16"/>
                <w:szCs w:val="16"/>
              </w:rPr>
            </w:pPr>
          </w:p>
        </w:tc>
        <w:tc>
          <w:tcPr>
            <w:tcW w:w="2950" w:type="dxa"/>
            <w:vMerge/>
            <w:vAlign w:val="center"/>
          </w:tcPr>
          <w:p w14:paraId="3AD399A4" w14:textId="77777777" w:rsidR="007F3128" w:rsidRPr="00F658A6" w:rsidRDefault="007F3128" w:rsidP="00F608A7">
            <w:pPr>
              <w:jc w:val="left"/>
              <w:rPr>
                <w:sz w:val="16"/>
                <w:szCs w:val="16"/>
              </w:rPr>
            </w:pPr>
          </w:p>
        </w:tc>
        <w:tc>
          <w:tcPr>
            <w:tcW w:w="567" w:type="dxa"/>
            <w:vAlign w:val="center"/>
          </w:tcPr>
          <w:p w14:paraId="62BA00B1"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14B97785" w14:textId="77777777" w:rsidR="007F3128" w:rsidRPr="00F658A6" w:rsidRDefault="007F3128" w:rsidP="00F608A7">
            <w:pPr>
              <w:jc w:val="left"/>
              <w:rPr>
                <w:sz w:val="16"/>
                <w:szCs w:val="16"/>
              </w:rPr>
            </w:pPr>
            <w:r w:rsidRPr="00F658A6">
              <w:rPr>
                <w:sz w:val="16"/>
                <w:szCs w:val="16"/>
              </w:rPr>
              <w:t>María Dueñas Aguilar (Madre)</w:t>
            </w:r>
          </w:p>
        </w:tc>
      </w:tr>
      <w:tr w:rsidR="007F3128" w:rsidRPr="00F658A6" w14:paraId="7408DBF3" w14:textId="77777777" w:rsidTr="00F608A7">
        <w:tc>
          <w:tcPr>
            <w:tcW w:w="560" w:type="dxa"/>
            <w:gridSpan w:val="2"/>
            <w:vMerge/>
            <w:vAlign w:val="center"/>
          </w:tcPr>
          <w:p w14:paraId="4C08AB07" w14:textId="77777777" w:rsidR="007F3128" w:rsidRPr="00F658A6" w:rsidRDefault="007F3128" w:rsidP="00F608A7">
            <w:pPr>
              <w:jc w:val="left"/>
              <w:rPr>
                <w:sz w:val="16"/>
                <w:szCs w:val="16"/>
              </w:rPr>
            </w:pPr>
          </w:p>
        </w:tc>
        <w:tc>
          <w:tcPr>
            <w:tcW w:w="2950" w:type="dxa"/>
            <w:vMerge/>
            <w:vAlign w:val="center"/>
          </w:tcPr>
          <w:p w14:paraId="0395FB92" w14:textId="77777777" w:rsidR="007F3128" w:rsidRPr="00F658A6" w:rsidRDefault="007F3128" w:rsidP="00F608A7">
            <w:pPr>
              <w:jc w:val="left"/>
              <w:rPr>
                <w:sz w:val="16"/>
                <w:szCs w:val="16"/>
              </w:rPr>
            </w:pPr>
          </w:p>
        </w:tc>
        <w:tc>
          <w:tcPr>
            <w:tcW w:w="567" w:type="dxa"/>
            <w:vAlign w:val="center"/>
          </w:tcPr>
          <w:p w14:paraId="2BE0C337"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68ADF124" w14:textId="77777777" w:rsidR="007F3128" w:rsidRPr="00F658A6" w:rsidRDefault="007F3128" w:rsidP="00F608A7">
            <w:pPr>
              <w:jc w:val="left"/>
              <w:rPr>
                <w:sz w:val="16"/>
                <w:szCs w:val="16"/>
              </w:rPr>
            </w:pPr>
            <w:r w:rsidRPr="00F658A6">
              <w:rPr>
                <w:sz w:val="16"/>
                <w:szCs w:val="16"/>
              </w:rPr>
              <w:t>Fredy Dueñas Aguilar (Hijo)</w:t>
            </w:r>
          </w:p>
        </w:tc>
      </w:tr>
      <w:tr w:rsidR="007F3128" w:rsidRPr="00F658A6" w14:paraId="09773F8C" w14:textId="77777777" w:rsidTr="00F608A7">
        <w:tc>
          <w:tcPr>
            <w:tcW w:w="560" w:type="dxa"/>
            <w:gridSpan w:val="2"/>
            <w:vMerge/>
            <w:vAlign w:val="center"/>
          </w:tcPr>
          <w:p w14:paraId="12EAEC5F" w14:textId="77777777" w:rsidR="007F3128" w:rsidRPr="00F658A6" w:rsidRDefault="007F3128" w:rsidP="00F608A7">
            <w:pPr>
              <w:jc w:val="left"/>
              <w:rPr>
                <w:sz w:val="16"/>
                <w:szCs w:val="16"/>
              </w:rPr>
            </w:pPr>
          </w:p>
        </w:tc>
        <w:tc>
          <w:tcPr>
            <w:tcW w:w="2950" w:type="dxa"/>
            <w:vMerge/>
            <w:vAlign w:val="center"/>
          </w:tcPr>
          <w:p w14:paraId="597AABFC" w14:textId="77777777" w:rsidR="007F3128" w:rsidRPr="00F658A6" w:rsidRDefault="007F3128" w:rsidP="00F608A7">
            <w:pPr>
              <w:jc w:val="left"/>
              <w:rPr>
                <w:sz w:val="16"/>
                <w:szCs w:val="16"/>
              </w:rPr>
            </w:pPr>
          </w:p>
        </w:tc>
        <w:tc>
          <w:tcPr>
            <w:tcW w:w="567" w:type="dxa"/>
            <w:vAlign w:val="center"/>
          </w:tcPr>
          <w:p w14:paraId="5224DA95"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AE25F84" w14:textId="219BCF38" w:rsidR="007F3128" w:rsidRPr="00F658A6" w:rsidRDefault="008770CA" w:rsidP="00F608A7">
            <w:pPr>
              <w:jc w:val="left"/>
              <w:rPr>
                <w:sz w:val="16"/>
                <w:szCs w:val="16"/>
              </w:rPr>
            </w:pPr>
            <w:r w:rsidRPr="00F658A6">
              <w:rPr>
                <w:sz w:val="16"/>
                <w:szCs w:val="16"/>
              </w:rPr>
              <w:t>Lucrecia Is</w:t>
            </w:r>
            <w:r w:rsidR="007F3128" w:rsidRPr="00F658A6">
              <w:rPr>
                <w:sz w:val="16"/>
                <w:szCs w:val="16"/>
              </w:rPr>
              <w:t>abel Dueñas Aguilar (Hija)</w:t>
            </w:r>
          </w:p>
        </w:tc>
      </w:tr>
      <w:tr w:rsidR="007F3128" w:rsidRPr="00F658A6" w14:paraId="23464669" w14:textId="77777777" w:rsidTr="00F608A7">
        <w:tc>
          <w:tcPr>
            <w:tcW w:w="560" w:type="dxa"/>
            <w:gridSpan w:val="2"/>
            <w:vMerge/>
            <w:vAlign w:val="center"/>
          </w:tcPr>
          <w:p w14:paraId="3ECD8340" w14:textId="77777777" w:rsidR="007F3128" w:rsidRPr="00F658A6" w:rsidRDefault="007F3128" w:rsidP="00F608A7">
            <w:pPr>
              <w:jc w:val="left"/>
              <w:rPr>
                <w:sz w:val="16"/>
                <w:szCs w:val="16"/>
              </w:rPr>
            </w:pPr>
          </w:p>
        </w:tc>
        <w:tc>
          <w:tcPr>
            <w:tcW w:w="2950" w:type="dxa"/>
            <w:vMerge/>
            <w:vAlign w:val="center"/>
          </w:tcPr>
          <w:p w14:paraId="6D30FA3A" w14:textId="77777777" w:rsidR="007F3128" w:rsidRPr="00F658A6" w:rsidRDefault="007F3128" w:rsidP="00F608A7">
            <w:pPr>
              <w:jc w:val="left"/>
              <w:rPr>
                <w:sz w:val="16"/>
                <w:szCs w:val="16"/>
              </w:rPr>
            </w:pPr>
          </w:p>
        </w:tc>
        <w:tc>
          <w:tcPr>
            <w:tcW w:w="567" w:type="dxa"/>
            <w:vAlign w:val="center"/>
          </w:tcPr>
          <w:p w14:paraId="0AFC63F5"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0F935C3D" w14:textId="001AFEA3" w:rsidR="007F3128" w:rsidRPr="00F658A6" w:rsidRDefault="007F3128" w:rsidP="00F608A7">
            <w:pPr>
              <w:tabs>
                <w:tab w:val="left" w:pos="1277"/>
              </w:tabs>
              <w:jc w:val="left"/>
              <w:rPr>
                <w:sz w:val="16"/>
                <w:szCs w:val="16"/>
              </w:rPr>
            </w:pPr>
            <w:r w:rsidRPr="00F658A6">
              <w:rPr>
                <w:sz w:val="16"/>
                <w:szCs w:val="16"/>
              </w:rPr>
              <w:t>Eva Dueñas Aguilar (Hija)</w:t>
            </w:r>
          </w:p>
        </w:tc>
      </w:tr>
      <w:tr w:rsidR="007F3128" w:rsidRPr="00F658A6" w14:paraId="71A8D250" w14:textId="77777777" w:rsidTr="00F608A7">
        <w:tc>
          <w:tcPr>
            <w:tcW w:w="560" w:type="dxa"/>
            <w:gridSpan w:val="2"/>
            <w:vMerge w:val="restart"/>
            <w:vAlign w:val="center"/>
          </w:tcPr>
          <w:p w14:paraId="5A07F11A" w14:textId="77777777" w:rsidR="007F3128" w:rsidRPr="00F658A6" w:rsidRDefault="007F3128" w:rsidP="00F608A7">
            <w:pPr>
              <w:jc w:val="left"/>
              <w:rPr>
                <w:sz w:val="16"/>
                <w:szCs w:val="16"/>
              </w:rPr>
            </w:pPr>
            <w:r w:rsidRPr="00F658A6">
              <w:rPr>
                <w:sz w:val="16"/>
                <w:szCs w:val="16"/>
              </w:rPr>
              <w:t>18</w:t>
            </w:r>
          </w:p>
        </w:tc>
        <w:tc>
          <w:tcPr>
            <w:tcW w:w="2950" w:type="dxa"/>
            <w:vMerge w:val="restart"/>
            <w:vAlign w:val="center"/>
          </w:tcPr>
          <w:p w14:paraId="7DB94CCE" w14:textId="31734639" w:rsidR="007F3128" w:rsidRPr="00F658A6" w:rsidRDefault="007F3128" w:rsidP="00F608A7">
            <w:pPr>
              <w:jc w:val="left"/>
              <w:rPr>
                <w:sz w:val="16"/>
                <w:szCs w:val="16"/>
              </w:rPr>
            </w:pPr>
            <w:r w:rsidRPr="00F658A6">
              <w:rPr>
                <w:sz w:val="16"/>
                <w:szCs w:val="16"/>
              </w:rPr>
              <w:t>Felipe Tebalan Ord</w:t>
            </w:r>
            <w:r w:rsidR="006B3158">
              <w:rPr>
                <w:sz w:val="16"/>
                <w:szCs w:val="16"/>
              </w:rPr>
              <w:t>o</w:t>
            </w:r>
            <w:r w:rsidRPr="00F658A6">
              <w:rPr>
                <w:sz w:val="16"/>
                <w:szCs w:val="16"/>
              </w:rPr>
              <w:t>ñez</w:t>
            </w:r>
          </w:p>
        </w:tc>
        <w:tc>
          <w:tcPr>
            <w:tcW w:w="567" w:type="dxa"/>
            <w:vAlign w:val="center"/>
          </w:tcPr>
          <w:p w14:paraId="48C47D49"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35073C80" w14:textId="07D3A02D" w:rsidR="007F3128" w:rsidRPr="00F658A6" w:rsidRDefault="007F3128" w:rsidP="00F608A7">
            <w:pPr>
              <w:jc w:val="left"/>
              <w:rPr>
                <w:sz w:val="16"/>
                <w:szCs w:val="16"/>
              </w:rPr>
            </w:pPr>
            <w:r w:rsidRPr="00F658A6">
              <w:rPr>
                <w:sz w:val="16"/>
                <w:szCs w:val="16"/>
              </w:rPr>
              <w:t xml:space="preserve">Martina Candelaria </w:t>
            </w:r>
            <w:r w:rsidR="00827765" w:rsidRPr="00F658A6">
              <w:rPr>
                <w:sz w:val="16"/>
                <w:szCs w:val="16"/>
              </w:rPr>
              <w:t>A</w:t>
            </w:r>
            <w:r w:rsidRPr="00F658A6">
              <w:rPr>
                <w:sz w:val="16"/>
                <w:szCs w:val="16"/>
              </w:rPr>
              <w:t>lvarez Estrada (Esposa)</w:t>
            </w:r>
          </w:p>
        </w:tc>
      </w:tr>
      <w:tr w:rsidR="007F3128" w:rsidRPr="00F658A6" w14:paraId="4B84192B" w14:textId="77777777" w:rsidTr="00F608A7">
        <w:tc>
          <w:tcPr>
            <w:tcW w:w="560" w:type="dxa"/>
            <w:gridSpan w:val="2"/>
            <w:vMerge/>
            <w:vAlign w:val="center"/>
          </w:tcPr>
          <w:p w14:paraId="749942C4" w14:textId="77777777" w:rsidR="007F3128" w:rsidRPr="00F658A6" w:rsidRDefault="007F3128" w:rsidP="00F608A7">
            <w:pPr>
              <w:jc w:val="left"/>
              <w:rPr>
                <w:sz w:val="16"/>
                <w:szCs w:val="16"/>
              </w:rPr>
            </w:pPr>
          </w:p>
        </w:tc>
        <w:tc>
          <w:tcPr>
            <w:tcW w:w="2950" w:type="dxa"/>
            <w:vMerge/>
            <w:vAlign w:val="center"/>
          </w:tcPr>
          <w:p w14:paraId="36A35536" w14:textId="77777777" w:rsidR="007F3128" w:rsidRPr="00F658A6" w:rsidRDefault="007F3128" w:rsidP="00F608A7">
            <w:pPr>
              <w:jc w:val="left"/>
              <w:rPr>
                <w:sz w:val="16"/>
                <w:szCs w:val="16"/>
              </w:rPr>
            </w:pPr>
          </w:p>
        </w:tc>
        <w:tc>
          <w:tcPr>
            <w:tcW w:w="567" w:type="dxa"/>
            <w:vAlign w:val="center"/>
          </w:tcPr>
          <w:p w14:paraId="3308C3C5"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724B3D85" w14:textId="189E1BBF" w:rsidR="007F3128" w:rsidRPr="00F658A6" w:rsidRDefault="007F3128" w:rsidP="00F608A7">
            <w:pPr>
              <w:jc w:val="left"/>
              <w:rPr>
                <w:sz w:val="16"/>
                <w:szCs w:val="16"/>
              </w:rPr>
            </w:pPr>
            <w:r w:rsidRPr="00F658A6">
              <w:rPr>
                <w:sz w:val="16"/>
                <w:szCs w:val="16"/>
              </w:rPr>
              <w:t>Candelaria Or</w:t>
            </w:r>
            <w:r w:rsidR="006B3158">
              <w:rPr>
                <w:sz w:val="16"/>
                <w:szCs w:val="16"/>
              </w:rPr>
              <w:t>do</w:t>
            </w:r>
            <w:r w:rsidRPr="00F658A6">
              <w:rPr>
                <w:sz w:val="16"/>
                <w:szCs w:val="16"/>
              </w:rPr>
              <w:t xml:space="preserve">ñez </w:t>
            </w:r>
            <w:r w:rsidR="00827765" w:rsidRPr="00F658A6">
              <w:rPr>
                <w:sz w:val="16"/>
                <w:szCs w:val="16"/>
              </w:rPr>
              <w:t>A</w:t>
            </w:r>
            <w:r w:rsidRPr="00F658A6">
              <w:rPr>
                <w:sz w:val="16"/>
                <w:szCs w:val="16"/>
              </w:rPr>
              <w:t>lvarez (Hija)</w:t>
            </w:r>
          </w:p>
        </w:tc>
      </w:tr>
      <w:tr w:rsidR="007F3128" w:rsidRPr="00F658A6" w14:paraId="48BBFE72" w14:textId="77777777" w:rsidTr="00F608A7">
        <w:tc>
          <w:tcPr>
            <w:tcW w:w="560" w:type="dxa"/>
            <w:gridSpan w:val="2"/>
            <w:vMerge/>
            <w:vAlign w:val="center"/>
          </w:tcPr>
          <w:p w14:paraId="25C65838" w14:textId="77777777" w:rsidR="007F3128" w:rsidRPr="00F658A6" w:rsidRDefault="007F3128" w:rsidP="00F608A7">
            <w:pPr>
              <w:jc w:val="left"/>
              <w:rPr>
                <w:sz w:val="16"/>
                <w:szCs w:val="16"/>
              </w:rPr>
            </w:pPr>
          </w:p>
        </w:tc>
        <w:tc>
          <w:tcPr>
            <w:tcW w:w="2950" w:type="dxa"/>
            <w:vMerge/>
            <w:vAlign w:val="center"/>
          </w:tcPr>
          <w:p w14:paraId="45332EC4" w14:textId="77777777" w:rsidR="007F3128" w:rsidRPr="00F658A6" w:rsidRDefault="007F3128" w:rsidP="00F608A7">
            <w:pPr>
              <w:jc w:val="left"/>
              <w:rPr>
                <w:sz w:val="16"/>
                <w:szCs w:val="16"/>
              </w:rPr>
            </w:pPr>
          </w:p>
        </w:tc>
        <w:tc>
          <w:tcPr>
            <w:tcW w:w="567" w:type="dxa"/>
            <w:vAlign w:val="center"/>
          </w:tcPr>
          <w:p w14:paraId="5795E78C"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CE0D79A" w14:textId="0E602E1E" w:rsidR="007F3128" w:rsidRPr="00F658A6" w:rsidRDefault="006B3158" w:rsidP="00F608A7">
            <w:pPr>
              <w:jc w:val="left"/>
              <w:rPr>
                <w:sz w:val="16"/>
                <w:szCs w:val="16"/>
              </w:rPr>
            </w:pPr>
            <w:r>
              <w:rPr>
                <w:sz w:val="16"/>
                <w:szCs w:val="16"/>
              </w:rPr>
              <w:t>Argentina Ordo</w:t>
            </w:r>
            <w:r w:rsidR="007F3128" w:rsidRPr="00F658A6">
              <w:rPr>
                <w:sz w:val="16"/>
                <w:szCs w:val="16"/>
              </w:rPr>
              <w:t xml:space="preserve">ñez </w:t>
            </w:r>
            <w:r w:rsidR="00827765" w:rsidRPr="00F658A6">
              <w:rPr>
                <w:sz w:val="16"/>
                <w:szCs w:val="16"/>
              </w:rPr>
              <w:t>A</w:t>
            </w:r>
            <w:r w:rsidR="007F3128" w:rsidRPr="00F658A6">
              <w:rPr>
                <w:sz w:val="16"/>
                <w:szCs w:val="16"/>
              </w:rPr>
              <w:t>lvarez (Hija)</w:t>
            </w:r>
          </w:p>
        </w:tc>
      </w:tr>
      <w:tr w:rsidR="007F3128" w:rsidRPr="00F658A6" w14:paraId="32A80BE4" w14:textId="77777777" w:rsidTr="00F608A7">
        <w:tc>
          <w:tcPr>
            <w:tcW w:w="560" w:type="dxa"/>
            <w:gridSpan w:val="2"/>
            <w:vMerge/>
            <w:vAlign w:val="center"/>
          </w:tcPr>
          <w:p w14:paraId="6F1D2A89" w14:textId="77777777" w:rsidR="007F3128" w:rsidRPr="00F658A6" w:rsidRDefault="007F3128" w:rsidP="00F608A7">
            <w:pPr>
              <w:jc w:val="left"/>
              <w:rPr>
                <w:sz w:val="16"/>
                <w:szCs w:val="16"/>
              </w:rPr>
            </w:pPr>
          </w:p>
        </w:tc>
        <w:tc>
          <w:tcPr>
            <w:tcW w:w="2950" w:type="dxa"/>
            <w:vMerge/>
            <w:vAlign w:val="center"/>
          </w:tcPr>
          <w:p w14:paraId="4CF5C2C7" w14:textId="77777777" w:rsidR="007F3128" w:rsidRPr="00F658A6" w:rsidRDefault="007F3128" w:rsidP="00F608A7">
            <w:pPr>
              <w:jc w:val="left"/>
              <w:rPr>
                <w:sz w:val="16"/>
                <w:szCs w:val="16"/>
              </w:rPr>
            </w:pPr>
          </w:p>
        </w:tc>
        <w:tc>
          <w:tcPr>
            <w:tcW w:w="567" w:type="dxa"/>
            <w:vAlign w:val="center"/>
          </w:tcPr>
          <w:p w14:paraId="0B3E339F"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C4F20BE" w14:textId="449B2BCF" w:rsidR="007F3128" w:rsidRPr="00F658A6" w:rsidRDefault="006B3158" w:rsidP="00F608A7">
            <w:pPr>
              <w:jc w:val="left"/>
              <w:rPr>
                <w:sz w:val="16"/>
                <w:szCs w:val="16"/>
              </w:rPr>
            </w:pPr>
            <w:r>
              <w:rPr>
                <w:sz w:val="16"/>
                <w:szCs w:val="16"/>
              </w:rPr>
              <w:t>Honoria Ordo</w:t>
            </w:r>
            <w:r w:rsidR="007F3128" w:rsidRPr="00F658A6">
              <w:rPr>
                <w:sz w:val="16"/>
                <w:szCs w:val="16"/>
              </w:rPr>
              <w:t xml:space="preserve">ñez </w:t>
            </w:r>
            <w:r w:rsidR="00827765" w:rsidRPr="00F658A6">
              <w:rPr>
                <w:sz w:val="16"/>
                <w:szCs w:val="16"/>
              </w:rPr>
              <w:t>A</w:t>
            </w:r>
            <w:r w:rsidR="007F3128" w:rsidRPr="00F658A6">
              <w:rPr>
                <w:sz w:val="16"/>
                <w:szCs w:val="16"/>
              </w:rPr>
              <w:t>lvarez (Hija)</w:t>
            </w:r>
          </w:p>
        </w:tc>
      </w:tr>
      <w:tr w:rsidR="007F3128" w:rsidRPr="00F658A6" w14:paraId="44771998" w14:textId="77777777" w:rsidTr="00F608A7">
        <w:tc>
          <w:tcPr>
            <w:tcW w:w="560" w:type="dxa"/>
            <w:gridSpan w:val="2"/>
            <w:vMerge/>
            <w:vAlign w:val="center"/>
          </w:tcPr>
          <w:p w14:paraId="73DCEED6" w14:textId="77777777" w:rsidR="007F3128" w:rsidRPr="00F658A6" w:rsidRDefault="007F3128" w:rsidP="00F608A7">
            <w:pPr>
              <w:jc w:val="left"/>
              <w:rPr>
                <w:sz w:val="16"/>
                <w:szCs w:val="16"/>
              </w:rPr>
            </w:pPr>
          </w:p>
        </w:tc>
        <w:tc>
          <w:tcPr>
            <w:tcW w:w="2950" w:type="dxa"/>
            <w:vMerge/>
            <w:vAlign w:val="center"/>
          </w:tcPr>
          <w:p w14:paraId="7DC36CBE" w14:textId="77777777" w:rsidR="007F3128" w:rsidRPr="00F658A6" w:rsidRDefault="007F3128" w:rsidP="00F608A7">
            <w:pPr>
              <w:jc w:val="left"/>
              <w:rPr>
                <w:sz w:val="16"/>
                <w:szCs w:val="16"/>
              </w:rPr>
            </w:pPr>
          </w:p>
        </w:tc>
        <w:tc>
          <w:tcPr>
            <w:tcW w:w="567" w:type="dxa"/>
            <w:vAlign w:val="center"/>
          </w:tcPr>
          <w:p w14:paraId="4D2FAF88"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396DCDA6" w14:textId="331EE969" w:rsidR="007F3128" w:rsidRPr="00F658A6" w:rsidRDefault="006B3158" w:rsidP="00F608A7">
            <w:pPr>
              <w:jc w:val="left"/>
              <w:rPr>
                <w:sz w:val="16"/>
                <w:szCs w:val="16"/>
              </w:rPr>
            </w:pPr>
            <w:r>
              <w:rPr>
                <w:sz w:val="16"/>
                <w:szCs w:val="16"/>
              </w:rPr>
              <w:t>Cecilia Ordo</w:t>
            </w:r>
            <w:r w:rsidR="007F3128" w:rsidRPr="00F658A6">
              <w:rPr>
                <w:sz w:val="16"/>
                <w:szCs w:val="16"/>
              </w:rPr>
              <w:t xml:space="preserve">ñez </w:t>
            </w:r>
            <w:r w:rsidR="00827765" w:rsidRPr="00F658A6">
              <w:rPr>
                <w:sz w:val="16"/>
                <w:szCs w:val="16"/>
              </w:rPr>
              <w:t>A</w:t>
            </w:r>
            <w:r w:rsidR="007F3128" w:rsidRPr="00F658A6">
              <w:rPr>
                <w:sz w:val="16"/>
                <w:szCs w:val="16"/>
              </w:rPr>
              <w:t>lvarez (Hija)</w:t>
            </w:r>
          </w:p>
        </w:tc>
      </w:tr>
      <w:tr w:rsidR="007F3128" w:rsidRPr="00F658A6" w14:paraId="01345B2B" w14:textId="77777777" w:rsidTr="00F608A7">
        <w:tc>
          <w:tcPr>
            <w:tcW w:w="560" w:type="dxa"/>
            <w:gridSpan w:val="2"/>
            <w:vMerge/>
            <w:vAlign w:val="center"/>
          </w:tcPr>
          <w:p w14:paraId="281DB037" w14:textId="77777777" w:rsidR="007F3128" w:rsidRPr="00F658A6" w:rsidRDefault="007F3128" w:rsidP="00F608A7">
            <w:pPr>
              <w:jc w:val="left"/>
              <w:rPr>
                <w:sz w:val="16"/>
                <w:szCs w:val="16"/>
              </w:rPr>
            </w:pPr>
          </w:p>
        </w:tc>
        <w:tc>
          <w:tcPr>
            <w:tcW w:w="2950" w:type="dxa"/>
            <w:vMerge/>
            <w:vAlign w:val="center"/>
          </w:tcPr>
          <w:p w14:paraId="15FDF936" w14:textId="77777777" w:rsidR="007F3128" w:rsidRPr="00F658A6" w:rsidRDefault="007F3128" w:rsidP="00F608A7">
            <w:pPr>
              <w:jc w:val="left"/>
              <w:rPr>
                <w:sz w:val="16"/>
                <w:szCs w:val="16"/>
              </w:rPr>
            </w:pPr>
          </w:p>
        </w:tc>
        <w:tc>
          <w:tcPr>
            <w:tcW w:w="567" w:type="dxa"/>
            <w:vAlign w:val="center"/>
          </w:tcPr>
          <w:p w14:paraId="4B4E4E2E"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161A1215" w14:textId="1C981502" w:rsidR="007F3128" w:rsidRPr="00F658A6" w:rsidRDefault="006B3158" w:rsidP="00F608A7">
            <w:pPr>
              <w:jc w:val="left"/>
              <w:rPr>
                <w:sz w:val="16"/>
                <w:szCs w:val="16"/>
              </w:rPr>
            </w:pPr>
            <w:r>
              <w:rPr>
                <w:sz w:val="16"/>
                <w:szCs w:val="16"/>
              </w:rPr>
              <w:t>Daria Ordo</w:t>
            </w:r>
            <w:r w:rsidR="007F3128" w:rsidRPr="00F658A6">
              <w:rPr>
                <w:sz w:val="16"/>
                <w:szCs w:val="16"/>
              </w:rPr>
              <w:t xml:space="preserve">ñez </w:t>
            </w:r>
            <w:r w:rsidR="00827765" w:rsidRPr="00F658A6">
              <w:rPr>
                <w:sz w:val="16"/>
                <w:szCs w:val="16"/>
              </w:rPr>
              <w:t>A</w:t>
            </w:r>
            <w:r w:rsidR="007F3128" w:rsidRPr="00F658A6">
              <w:rPr>
                <w:sz w:val="16"/>
                <w:szCs w:val="16"/>
              </w:rPr>
              <w:t>lvarez (Hija)</w:t>
            </w:r>
          </w:p>
        </w:tc>
      </w:tr>
      <w:tr w:rsidR="007F3128" w:rsidRPr="00F658A6" w14:paraId="18BB1E31" w14:textId="77777777" w:rsidTr="00F608A7">
        <w:tc>
          <w:tcPr>
            <w:tcW w:w="560" w:type="dxa"/>
            <w:gridSpan w:val="2"/>
            <w:vMerge/>
            <w:vAlign w:val="center"/>
          </w:tcPr>
          <w:p w14:paraId="509A2230" w14:textId="77777777" w:rsidR="007F3128" w:rsidRPr="00F658A6" w:rsidRDefault="007F3128" w:rsidP="00F608A7">
            <w:pPr>
              <w:jc w:val="left"/>
              <w:rPr>
                <w:sz w:val="16"/>
                <w:szCs w:val="16"/>
              </w:rPr>
            </w:pPr>
          </w:p>
        </w:tc>
        <w:tc>
          <w:tcPr>
            <w:tcW w:w="2950" w:type="dxa"/>
            <w:vMerge/>
            <w:vAlign w:val="center"/>
          </w:tcPr>
          <w:p w14:paraId="441E73AA" w14:textId="77777777" w:rsidR="007F3128" w:rsidRPr="00F658A6" w:rsidRDefault="007F3128" w:rsidP="00F608A7">
            <w:pPr>
              <w:jc w:val="left"/>
              <w:rPr>
                <w:sz w:val="16"/>
                <w:szCs w:val="16"/>
              </w:rPr>
            </w:pPr>
          </w:p>
        </w:tc>
        <w:tc>
          <w:tcPr>
            <w:tcW w:w="567" w:type="dxa"/>
            <w:vAlign w:val="center"/>
          </w:tcPr>
          <w:p w14:paraId="5F481919"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6BF7B3D7" w14:textId="302D04F7" w:rsidR="007F3128" w:rsidRPr="00F658A6" w:rsidRDefault="006B3158" w:rsidP="00F608A7">
            <w:pPr>
              <w:jc w:val="left"/>
              <w:rPr>
                <w:sz w:val="16"/>
                <w:szCs w:val="16"/>
              </w:rPr>
            </w:pPr>
            <w:r>
              <w:rPr>
                <w:sz w:val="16"/>
                <w:szCs w:val="16"/>
              </w:rPr>
              <w:t>Juan Carlos Ordo</w:t>
            </w:r>
            <w:r w:rsidR="007F3128" w:rsidRPr="00F658A6">
              <w:rPr>
                <w:sz w:val="16"/>
                <w:szCs w:val="16"/>
              </w:rPr>
              <w:t xml:space="preserve">ñez </w:t>
            </w:r>
            <w:r w:rsidR="00827765" w:rsidRPr="00F658A6">
              <w:rPr>
                <w:sz w:val="16"/>
                <w:szCs w:val="16"/>
              </w:rPr>
              <w:t>A</w:t>
            </w:r>
            <w:r w:rsidR="007F3128" w:rsidRPr="00F658A6">
              <w:rPr>
                <w:sz w:val="16"/>
                <w:szCs w:val="16"/>
              </w:rPr>
              <w:t>lvarez (Hijo)</w:t>
            </w:r>
          </w:p>
        </w:tc>
      </w:tr>
      <w:tr w:rsidR="007F3128" w:rsidRPr="00F658A6" w14:paraId="61F6E7DD" w14:textId="77777777" w:rsidTr="00F608A7">
        <w:tc>
          <w:tcPr>
            <w:tcW w:w="560" w:type="dxa"/>
            <w:gridSpan w:val="2"/>
            <w:vMerge/>
            <w:vAlign w:val="center"/>
          </w:tcPr>
          <w:p w14:paraId="5D82049B" w14:textId="77777777" w:rsidR="007F3128" w:rsidRPr="00F658A6" w:rsidRDefault="007F3128" w:rsidP="00F608A7">
            <w:pPr>
              <w:jc w:val="left"/>
              <w:rPr>
                <w:sz w:val="16"/>
                <w:szCs w:val="16"/>
              </w:rPr>
            </w:pPr>
          </w:p>
        </w:tc>
        <w:tc>
          <w:tcPr>
            <w:tcW w:w="2950" w:type="dxa"/>
            <w:vMerge/>
            <w:vAlign w:val="center"/>
          </w:tcPr>
          <w:p w14:paraId="5FF7A119" w14:textId="77777777" w:rsidR="007F3128" w:rsidRPr="00F658A6" w:rsidRDefault="007F3128" w:rsidP="00F608A7">
            <w:pPr>
              <w:jc w:val="left"/>
              <w:rPr>
                <w:sz w:val="16"/>
                <w:szCs w:val="16"/>
              </w:rPr>
            </w:pPr>
          </w:p>
        </w:tc>
        <w:tc>
          <w:tcPr>
            <w:tcW w:w="567" w:type="dxa"/>
            <w:vAlign w:val="center"/>
          </w:tcPr>
          <w:p w14:paraId="39EC2069"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32A43E4D" w14:textId="7D7478B2" w:rsidR="007F3128" w:rsidRPr="00F658A6" w:rsidRDefault="006B3158" w:rsidP="00F608A7">
            <w:pPr>
              <w:jc w:val="left"/>
              <w:rPr>
                <w:sz w:val="16"/>
                <w:szCs w:val="16"/>
              </w:rPr>
            </w:pPr>
            <w:r>
              <w:rPr>
                <w:sz w:val="16"/>
                <w:szCs w:val="16"/>
              </w:rPr>
              <w:t>Luis Emiliano Ordo</w:t>
            </w:r>
            <w:r w:rsidR="007F3128" w:rsidRPr="00F658A6">
              <w:rPr>
                <w:sz w:val="16"/>
                <w:szCs w:val="16"/>
              </w:rPr>
              <w:t xml:space="preserve">ñez </w:t>
            </w:r>
            <w:r w:rsidR="00827765" w:rsidRPr="00F658A6">
              <w:rPr>
                <w:sz w:val="16"/>
                <w:szCs w:val="16"/>
              </w:rPr>
              <w:t>A</w:t>
            </w:r>
            <w:r w:rsidR="007F3128" w:rsidRPr="00F658A6">
              <w:rPr>
                <w:sz w:val="16"/>
                <w:szCs w:val="16"/>
              </w:rPr>
              <w:t>lvarez (Nieto)</w:t>
            </w:r>
          </w:p>
        </w:tc>
      </w:tr>
      <w:tr w:rsidR="007F3128" w:rsidRPr="00F658A6" w14:paraId="43A45F00" w14:textId="77777777" w:rsidTr="00F608A7">
        <w:tc>
          <w:tcPr>
            <w:tcW w:w="560" w:type="dxa"/>
            <w:gridSpan w:val="2"/>
            <w:vMerge/>
            <w:vAlign w:val="center"/>
          </w:tcPr>
          <w:p w14:paraId="5829E598" w14:textId="77777777" w:rsidR="007F3128" w:rsidRPr="00F658A6" w:rsidRDefault="007F3128" w:rsidP="00F608A7">
            <w:pPr>
              <w:jc w:val="left"/>
              <w:rPr>
                <w:sz w:val="16"/>
                <w:szCs w:val="16"/>
              </w:rPr>
            </w:pPr>
          </w:p>
        </w:tc>
        <w:tc>
          <w:tcPr>
            <w:tcW w:w="2950" w:type="dxa"/>
            <w:vMerge/>
            <w:vAlign w:val="center"/>
          </w:tcPr>
          <w:p w14:paraId="5A59F007" w14:textId="77777777" w:rsidR="007F3128" w:rsidRPr="00F658A6" w:rsidRDefault="007F3128" w:rsidP="00F608A7">
            <w:pPr>
              <w:jc w:val="left"/>
              <w:rPr>
                <w:sz w:val="16"/>
                <w:szCs w:val="16"/>
              </w:rPr>
            </w:pPr>
          </w:p>
        </w:tc>
        <w:tc>
          <w:tcPr>
            <w:tcW w:w="567" w:type="dxa"/>
            <w:vAlign w:val="center"/>
          </w:tcPr>
          <w:p w14:paraId="475A2764"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68A601EA" w14:textId="13E90F16" w:rsidR="007F3128" w:rsidRPr="00F658A6" w:rsidRDefault="007F3128" w:rsidP="00F608A7">
            <w:pPr>
              <w:jc w:val="left"/>
              <w:rPr>
                <w:sz w:val="16"/>
                <w:szCs w:val="16"/>
              </w:rPr>
            </w:pPr>
            <w:r w:rsidRPr="00F658A6">
              <w:rPr>
                <w:sz w:val="16"/>
                <w:szCs w:val="16"/>
              </w:rPr>
              <w:t>Mar</w:t>
            </w:r>
            <w:r w:rsidR="006B3158">
              <w:rPr>
                <w:sz w:val="16"/>
                <w:szCs w:val="16"/>
              </w:rPr>
              <w:t>tín Gildardo Ordo</w:t>
            </w:r>
            <w:r w:rsidRPr="00F658A6">
              <w:rPr>
                <w:sz w:val="16"/>
                <w:szCs w:val="16"/>
              </w:rPr>
              <w:t xml:space="preserve">ñez </w:t>
            </w:r>
            <w:r w:rsidR="00827765" w:rsidRPr="00F658A6">
              <w:rPr>
                <w:sz w:val="16"/>
                <w:szCs w:val="16"/>
              </w:rPr>
              <w:t>A</w:t>
            </w:r>
            <w:r w:rsidRPr="00F658A6">
              <w:rPr>
                <w:sz w:val="16"/>
                <w:szCs w:val="16"/>
              </w:rPr>
              <w:t>lvarez (Nieto)</w:t>
            </w:r>
          </w:p>
        </w:tc>
      </w:tr>
      <w:tr w:rsidR="007F3128" w:rsidRPr="00F658A6" w14:paraId="732296FD" w14:textId="77777777" w:rsidTr="00F608A7">
        <w:tc>
          <w:tcPr>
            <w:tcW w:w="560" w:type="dxa"/>
            <w:gridSpan w:val="2"/>
            <w:vMerge/>
            <w:vAlign w:val="center"/>
          </w:tcPr>
          <w:p w14:paraId="13DD598C" w14:textId="77777777" w:rsidR="007F3128" w:rsidRPr="00F658A6" w:rsidRDefault="007F3128" w:rsidP="00F608A7">
            <w:pPr>
              <w:jc w:val="left"/>
              <w:rPr>
                <w:sz w:val="16"/>
                <w:szCs w:val="16"/>
              </w:rPr>
            </w:pPr>
          </w:p>
        </w:tc>
        <w:tc>
          <w:tcPr>
            <w:tcW w:w="2950" w:type="dxa"/>
            <w:vMerge/>
            <w:vAlign w:val="center"/>
          </w:tcPr>
          <w:p w14:paraId="2DC0FB78" w14:textId="77777777" w:rsidR="007F3128" w:rsidRPr="00F658A6" w:rsidRDefault="007F3128" w:rsidP="00F608A7">
            <w:pPr>
              <w:jc w:val="left"/>
              <w:rPr>
                <w:sz w:val="16"/>
                <w:szCs w:val="16"/>
              </w:rPr>
            </w:pPr>
          </w:p>
        </w:tc>
        <w:tc>
          <w:tcPr>
            <w:tcW w:w="567" w:type="dxa"/>
            <w:vAlign w:val="center"/>
          </w:tcPr>
          <w:p w14:paraId="5F7BF97E"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321F3AE1" w14:textId="474749CF" w:rsidR="007F3128" w:rsidRPr="00F658A6" w:rsidRDefault="006B3158" w:rsidP="00F608A7">
            <w:pPr>
              <w:jc w:val="left"/>
              <w:rPr>
                <w:sz w:val="16"/>
                <w:szCs w:val="16"/>
              </w:rPr>
            </w:pPr>
            <w:r>
              <w:rPr>
                <w:sz w:val="16"/>
                <w:szCs w:val="16"/>
              </w:rPr>
              <w:t>Ivan Juárez Ordo</w:t>
            </w:r>
            <w:r w:rsidR="007F3128" w:rsidRPr="00F658A6">
              <w:rPr>
                <w:sz w:val="16"/>
                <w:szCs w:val="16"/>
              </w:rPr>
              <w:t>ñez (Nieto)</w:t>
            </w:r>
          </w:p>
        </w:tc>
      </w:tr>
      <w:tr w:rsidR="007F3128" w:rsidRPr="00F658A6" w14:paraId="240A2CBE" w14:textId="77777777" w:rsidTr="00F608A7">
        <w:tc>
          <w:tcPr>
            <w:tcW w:w="560" w:type="dxa"/>
            <w:gridSpan w:val="2"/>
            <w:vMerge/>
            <w:vAlign w:val="center"/>
          </w:tcPr>
          <w:p w14:paraId="11074C2B" w14:textId="77777777" w:rsidR="007F3128" w:rsidRPr="00F658A6" w:rsidRDefault="007F3128" w:rsidP="00F608A7">
            <w:pPr>
              <w:jc w:val="left"/>
              <w:rPr>
                <w:sz w:val="16"/>
                <w:szCs w:val="16"/>
              </w:rPr>
            </w:pPr>
          </w:p>
        </w:tc>
        <w:tc>
          <w:tcPr>
            <w:tcW w:w="2950" w:type="dxa"/>
            <w:vMerge/>
            <w:vAlign w:val="center"/>
          </w:tcPr>
          <w:p w14:paraId="6001C272" w14:textId="77777777" w:rsidR="007F3128" w:rsidRPr="00F658A6" w:rsidRDefault="007F3128" w:rsidP="00F608A7">
            <w:pPr>
              <w:jc w:val="left"/>
              <w:rPr>
                <w:sz w:val="16"/>
                <w:szCs w:val="16"/>
              </w:rPr>
            </w:pPr>
          </w:p>
        </w:tc>
        <w:tc>
          <w:tcPr>
            <w:tcW w:w="567" w:type="dxa"/>
            <w:vAlign w:val="center"/>
          </w:tcPr>
          <w:p w14:paraId="3E8D6B6D"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525F1089" w14:textId="77777777" w:rsidR="007F3128" w:rsidRPr="00F658A6" w:rsidRDefault="007F3128" w:rsidP="00F608A7">
            <w:pPr>
              <w:jc w:val="left"/>
              <w:rPr>
                <w:sz w:val="16"/>
                <w:szCs w:val="16"/>
              </w:rPr>
            </w:pPr>
            <w:r w:rsidRPr="00F658A6">
              <w:rPr>
                <w:sz w:val="16"/>
                <w:szCs w:val="16"/>
              </w:rPr>
              <w:t>Lauris Ernestina Juárez Ordóñez (Nieta)</w:t>
            </w:r>
          </w:p>
        </w:tc>
      </w:tr>
      <w:tr w:rsidR="007F3128" w:rsidRPr="00F658A6" w14:paraId="294B7582" w14:textId="77777777" w:rsidTr="00F608A7">
        <w:tc>
          <w:tcPr>
            <w:tcW w:w="560" w:type="dxa"/>
            <w:gridSpan w:val="2"/>
            <w:vMerge/>
            <w:vAlign w:val="center"/>
          </w:tcPr>
          <w:p w14:paraId="356327C0" w14:textId="77777777" w:rsidR="007F3128" w:rsidRPr="00F658A6" w:rsidRDefault="007F3128" w:rsidP="00F608A7">
            <w:pPr>
              <w:jc w:val="left"/>
              <w:rPr>
                <w:sz w:val="16"/>
                <w:szCs w:val="16"/>
              </w:rPr>
            </w:pPr>
          </w:p>
        </w:tc>
        <w:tc>
          <w:tcPr>
            <w:tcW w:w="2950" w:type="dxa"/>
            <w:vMerge/>
            <w:vAlign w:val="center"/>
          </w:tcPr>
          <w:p w14:paraId="37F8C977" w14:textId="77777777" w:rsidR="007F3128" w:rsidRPr="00F658A6" w:rsidRDefault="007F3128" w:rsidP="00F608A7">
            <w:pPr>
              <w:jc w:val="left"/>
              <w:rPr>
                <w:sz w:val="16"/>
                <w:szCs w:val="16"/>
              </w:rPr>
            </w:pPr>
          </w:p>
        </w:tc>
        <w:tc>
          <w:tcPr>
            <w:tcW w:w="567" w:type="dxa"/>
            <w:vAlign w:val="center"/>
          </w:tcPr>
          <w:p w14:paraId="5E55B677"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1945E413" w14:textId="3E292CB8" w:rsidR="007F3128" w:rsidRPr="00F658A6" w:rsidRDefault="006B3158" w:rsidP="00F608A7">
            <w:pPr>
              <w:jc w:val="left"/>
              <w:rPr>
                <w:sz w:val="16"/>
                <w:szCs w:val="16"/>
              </w:rPr>
            </w:pPr>
            <w:r>
              <w:rPr>
                <w:sz w:val="16"/>
                <w:szCs w:val="16"/>
              </w:rPr>
              <w:t>Yeslin Janeth Juárez Ordo</w:t>
            </w:r>
            <w:r w:rsidR="007F3128" w:rsidRPr="00F658A6">
              <w:rPr>
                <w:sz w:val="16"/>
                <w:szCs w:val="16"/>
              </w:rPr>
              <w:t>ñez (Nieta)</w:t>
            </w:r>
          </w:p>
        </w:tc>
      </w:tr>
      <w:tr w:rsidR="007F3128" w:rsidRPr="00F658A6" w14:paraId="567F1E6C" w14:textId="77777777" w:rsidTr="00F608A7">
        <w:tc>
          <w:tcPr>
            <w:tcW w:w="560" w:type="dxa"/>
            <w:gridSpan w:val="2"/>
            <w:vMerge w:val="restart"/>
            <w:vAlign w:val="center"/>
          </w:tcPr>
          <w:p w14:paraId="4EE7D671" w14:textId="77777777" w:rsidR="007F3128" w:rsidRPr="00F658A6" w:rsidRDefault="007F3128" w:rsidP="00F608A7">
            <w:pPr>
              <w:jc w:val="left"/>
              <w:rPr>
                <w:sz w:val="16"/>
                <w:szCs w:val="16"/>
              </w:rPr>
            </w:pPr>
            <w:r w:rsidRPr="00F658A6">
              <w:rPr>
                <w:sz w:val="16"/>
                <w:szCs w:val="16"/>
              </w:rPr>
              <w:t>19</w:t>
            </w:r>
          </w:p>
        </w:tc>
        <w:tc>
          <w:tcPr>
            <w:tcW w:w="2950" w:type="dxa"/>
            <w:vMerge w:val="restart"/>
            <w:vAlign w:val="center"/>
          </w:tcPr>
          <w:p w14:paraId="2F1A7B34" w14:textId="7F6EC238" w:rsidR="007F3128" w:rsidRPr="00F658A6" w:rsidRDefault="007F3128" w:rsidP="00F608A7">
            <w:pPr>
              <w:jc w:val="left"/>
              <w:rPr>
                <w:sz w:val="16"/>
                <w:szCs w:val="16"/>
              </w:rPr>
            </w:pPr>
            <w:r w:rsidRPr="00F658A6">
              <w:rPr>
                <w:sz w:val="16"/>
                <w:szCs w:val="16"/>
              </w:rPr>
              <w:t xml:space="preserve">Martina Candelaria </w:t>
            </w:r>
            <w:r w:rsidR="003C5C55" w:rsidRPr="00F658A6">
              <w:rPr>
                <w:sz w:val="16"/>
                <w:szCs w:val="16"/>
              </w:rPr>
              <w:t>A</w:t>
            </w:r>
            <w:r w:rsidRPr="00F658A6">
              <w:rPr>
                <w:sz w:val="16"/>
                <w:szCs w:val="16"/>
              </w:rPr>
              <w:t>lvarez Estrada</w:t>
            </w:r>
          </w:p>
        </w:tc>
        <w:tc>
          <w:tcPr>
            <w:tcW w:w="567" w:type="dxa"/>
            <w:vAlign w:val="center"/>
          </w:tcPr>
          <w:p w14:paraId="25F53EAD"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4C7242F2" w14:textId="77766221" w:rsidR="007F3128" w:rsidRPr="00F658A6" w:rsidRDefault="00012624" w:rsidP="00F608A7">
            <w:pPr>
              <w:jc w:val="left"/>
              <w:rPr>
                <w:sz w:val="16"/>
                <w:szCs w:val="16"/>
              </w:rPr>
            </w:pPr>
            <w:r>
              <w:rPr>
                <w:sz w:val="16"/>
                <w:szCs w:val="16"/>
              </w:rPr>
              <w:t>Felipe Tebalan Ordo</w:t>
            </w:r>
            <w:r w:rsidR="007F3128" w:rsidRPr="00F658A6">
              <w:rPr>
                <w:sz w:val="16"/>
                <w:szCs w:val="16"/>
              </w:rPr>
              <w:t>ñez (Esposo)</w:t>
            </w:r>
          </w:p>
        </w:tc>
      </w:tr>
      <w:tr w:rsidR="007F3128" w:rsidRPr="00F658A6" w14:paraId="1831F15B" w14:textId="77777777" w:rsidTr="00F608A7">
        <w:tc>
          <w:tcPr>
            <w:tcW w:w="560" w:type="dxa"/>
            <w:gridSpan w:val="2"/>
            <w:vMerge/>
            <w:vAlign w:val="center"/>
          </w:tcPr>
          <w:p w14:paraId="65BEED46" w14:textId="77777777" w:rsidR="007F3128" w:rsidRPr="00F658A6" w:rsidRDefault="007F3128" w:rsidP="00F608A7">
            <w:pPr>
              <w:jc w:val="left"/>
              <w:rPr>
                <w:sz w:val="16"/>
                <w:szCs w:val="16"/>
              </w:rPr>
            </w:pPr>
          </w:p>
        </w:tc>
        <w:tc>
          <w:tcPr>
            <w:tcW w:w="2950" w:type="dxa"/>
            <w:vMerge/>
            <w:vAlign w:val="center"/>
          </w:tcPr>
          <w:p w14:paraId="68A180AD" w14:textId="77777777" w:rsidR="007F3128" w:rsidRPr="00F658A6" w:rsidRDefault="007F3128" w:rsidP="00F608A7">
            <w:pPr>
              <w:jc w:val="left"/>
              <w:rPr>
                <w:sz w:val="16"/>
                <w:szCs w:val="16"/>
              </w:rPr>
            </w:pPr>
          </w:p>
        </w:tc>
        <w:tc>
          <w:tcPr>
            <w:tcW w:w="567" w:type="dxa"/>
            <w:vAlign w:val="center"/>
          </w:tcPr>
          <w:p w14:paraId="16D25C6B"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1F303A1B" w14:textId="435CA5A1" w:rsidR="007F3128" w:rsidRPr="00F658A6" w:rsidRDefault="00012624" w:rsidP="00F608A7">
            <w:pPr>
              <w:jc w:val="left"/>
              <w:rPr>
                <w:sz w:val="16"/>
                <w:szCs w:val="16"/>
              </w:rPr>
            </w:pPr>
            <w:r>
              <w:rPr>
                <w:sz w:val="16"/>
                <w:szCs w:val="16"/>
              </w:rPr>
              <w:t>Candelaria Ordo</w:t>
            </w:r>
            <w:r w:rsidR="007F3128" w:rsidRPr="00F658A6">
              <w:rPr>
                <w:sz w:val="16"/>
                <w:szCs w:val="16"/>
              </w:rPr>
              <w:t xml:space="preserve">ñez </w:t>
            </w:r>
            <w:r>
              <w:rPr>
                <w:sz w:val="16"/>
                <w:szCs w:val="16"/>
              </w:rPr>
              <w:t>A</w:t>
            </w:r>
            <w:r w:rsidR="007F3128" w:rsidRPr="00F658A6">
              <w:rPr>
                <w:sz w:val="16"/>
                <w:szCs w:val="16"/>
              </w:rPr>
              <w:t>lvarez (Hija)</w:t>
            </w:r>
          </w:p>
        </w:tc>
      </w:tr>
      <w:tr w:rsidR="007F3128" w:rsidRPr="00F658A6" w14:paraId="2CC22D8B" w14:textId="77777777" w:rsidTr="00F608A7">
        <w:tc>
          <w:tcPr>
            <w:tcW w:w="560" w:type="dxa"/>
            <w:gridSpan w:val="2"/>
            <w:vMerge/>
            <w:vAlign w:val="center"/>
          </w:tcPr>
          <w:p w14:paraId="4F04F7D7" w14:textId="77777777" w:rsidR="007F3128" w:rsidRPr="00F658A6" w:rsidRDefault="007F3128" w:rsidP="00F608A7">
            <w:pPr>
              <w:jc w:val="left"/>
              <w:rPr>
                <w:sz w:val="16"/>
                <w:szCs w:val="16"/>
              </w:rPr>
            </w:pPr>
          </w:p>
        </w:tc>
        <w:tc>
          <w:tcPr>
            <w:tcW w:w="2950" w:type="dxa"/>
            <w:vMerge/>
            <w:vAlign w:val="center"/>
          </w:tcPr>
          <w:p w14:paraId="0CA4CD66" w14:textId="77777777" w:rsidR="007F3128" w:rsidRPr="00F658A6" w:rsidRDefault="007F3128" w:rsidP="00F608A7">
            <w:pPr>
              <w:jc w:val="left"/>
              <w:rPr>
                <w:sz w:val="16"/>
                <w:szCs w:val="16"/>
              </w:rPr>
            </w:pPr>
          </w:p>
        </w:tc>
        <w:tc>
          <w:tcPr>
            <w:tcW w:w="567" w:type="dxa"/>
            <w:vAlign w:val="center"/>
          </w:tcPr>
          <w:p w14:paraId="296870D0"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6BC9C3A" w14:textId="274C6042" w:rsidR="007F3128" w:rsidRPr="00F658A6" w:rsidRDefault="00012624" w:rsidP="00F608A7">
            <w:pPr>
              <w:jc w:val="left"/>
              <w:rPr>
                <w:sz w:val="16"/>
                <w:szCs w:val="16"/>
              </w:rPr>
            </w:pPr>
            <w:r>
              <w:rPr>
                <w:sz w:val="16"/>
                <w:szCs w:val="16"/>
              </w:rPr>
              <w:t>Argentina Ordoñez A</w:t>
            </w:r>
            <w:r w:rsidR="007F3128" w:rsidRPr="00F658A6">
              <w:rPr>
                <w:sz w:val="16"/>
                <w:szCs w:val="16"/>
              </w:rPr>
              <w:t>lvarez (Hija)</w:t>
            </w:r>
          </w:p>
        </w:tc>
      </w:tr>
      <w:tr w:rsidR="007F3128" w:rsidRPr="00F658A6" w14:paraId="0EEB3B6A" w14:textId="77777777" w:rsidTr="00F608A7">
        <w:tc>
          <w:tcPr>
            <w:tcW w:w="560" w:type="dxa"/>
            <w:gridSpan w:val="2"/>
            <w:vMerge/>
            <w:vAlign w:val="center"/>
          </w:tcPr>
          <w:p w14:paraId="305A0A7C" w14:textId="77777777" w:rsidR="007F3128" w:rsidRPr="00F658A6" w:rsidRDefault="007F3128" w:rsidP="00F608A7">
            <w:pPr>
              <w:jc w:val="left"/>
              <w:rPr>
                <w:sz w:val="16"/>
                <w:szCs w:val="16"/>
              </w:rPr>
            </w:pPr>
          </w:p>
        </w:tc>
        <w:tc>
          <w:tcPr>
            <w:tcW w:w="2950" w:type="dxa"/>
            <w:vMerge/>
            <w:vAlign w:val="center"/>
          </w:tcPr>
          <w:p w14:paraId="0950FA7C" w14:textId="77777777" w:rsidR="007F3128" w:rsidRPr="00F658A6" w:rsidRDefault="007F3128" w:rsidP="00F608A7">
            <w:pPr>
              <w:jc w:val="left"/>
              <w:rPr>
                <w:sz w:val="16"/>
                <w:szCs w:val="16"/>
              </w:rPr>
            </w:pPr>
          </w:p>
        </w:tc>
        <w:tc>
          <w:tcPr>
            <w:tcW w:w="567" w:type="dxa"/>
            <w:vAlign w:val="center"/>
          </w:tcPr>
          <w:p w14:paraId="02A62CCF"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3C11B8CC" w14:textId="52224A06" w:rsidR="007F3128" w:rsidRPr="00F658A6" w:rsidRDefault="00012624" w:rsidP="00F608A7">
            <w:pPr>
              <w:jc w:val="left"/>
              <w:rPr>
                <w:sz w:val="16"/>
                <w:szCs w:val="16"/>
              </w:rPr>
            </w:pPr>
            <w:r>
              <w:rPr>
                <w:sz w:val="16"/>
                <w:szCs w:val="16"/>
              </w:rPr>
              <w:t>Honoria Ordoñez A</w:t>
            </w:r>
            <w:r w:rsidR="007F3128" w:rsidRPr="00F658A6">
              <w:rPr>
                <w:sz w:val="16"/>
                <w:szCs w:val="16"/>
              </w:rPr>
              <w:t>lvarez (Hija)</w:t>
            </w:r>
          </w:p>
        </w:tc>
      </w:tr>
      <w:tr w:rsidR="007F3128" w:rsidRPr="00F658A6" w14:paraId="0A92CBEC" w14:textId="77777777" w:rsidTr="00F608A7">
        <w:tc>
          <w:tcPr>
            <w:tcW w:w="560" w:type="dxa"/>
            <w:gridSpan w:val="2"/>
            <w:vMerge/>
            <w:vAlign w:val="center"/>
          </w:tcPr>
          <w:p w14:paraId="7152F8B1" w14:textId="77777777" w:rsidR="007F3128" w:rsidRPr="00F658A6" w:rsidRDefault="007F3128" w:rsidP="00F608A7">
            <w:pPr>
              <w:jc w:val="left"/>
              <w:rPr>
                <w:sz w:val="16"/>
                <w:szCs w:val="16"/>
              </w:rPr>
            </w:pPr>
          </w:p>
        </w:tc>
        <w:tc>
          <w:tcPr>
            <w:tcW w:w="2950" w:type="dxa"/>
            <w:vMerge/>
            <w:vAlign w:val="center"/>
          </w:tcPr>
          <w:p w14:paraId="171B9E6E" w14:textId="77777777" w:rsidR="007F3128" w:rsidRPr="00F658A6" w:rsidRDefault="007F3128" w:rsidP="00F608A7">
            <w:pPr>
              <w:jc w:val="left"/>
              <w:rPr>
                <w:sz w:val="16"/>
                <w:szCs w:val="16"/>
              </w:rPr>
            </w:pPr>
          </w:p>
        </w:tc>
        <w:tc>
          <w:tcPr>
            <w:tcW w:w="567" w:type="dxa"/>
            <w:vAlign w:val="center"/>
          </w:tcPr>
          <w:p w14:paraId="1999ACAB"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3781D345" w14:textId="2CE05211" w:rsidR="007F3128" w:rsidRPr="00F658A6" w:rsidRDefault="00012624" w:rsidP="00F608A7">
            <w:pPr>
              <w:jc w:val="left"/>
              <w:rPr>
                <w:sz w:val="16"/>
                <w:szCs w:val="16"/>
              </w:rPr>
            </w:pPr>
            <w:r>
              <w:rPr>
                <w:sz w:val="16"/>
                <w:szCs w:val="16"/>
              </w:rPr>
              <w:t>Cecilia Ordoñez A</w:t>
            </w:r>
            <w:r w:rsidR="007F3128" w:rsidRPr="00F658A6">
              <w:rPr>
                <w:sz w:val="16"/>
                <w:szCs w:val="16"/>
              </w:rPr>
              <w:t>lvarez (Hija)</w:t>
            </w:r>
          </w:p>
        </w:tc>
      </w:tr>
      <w:tr w:rsidR="007F3128" w:rsidRPr="00F658A6" w14:paraId="65A265C1" w14:textId="77777777" w:rsidTr="00F608A7">
        <w:tc>
          <w:tcPr>
            <w:tcW w:w="560" w:type="dxa"/>
            <w:gridSpan w:val="2"/>
            <w:vMerge/>
            <w:vAlign w:val="center"/>
          </w:tcPr>
          <w:p w14:paraId="3CA5C5A5" w14:textId="77777777" w:rsidR="007F3128" w:rsidRPr="00F658A6" w:rsidRDefault="007F3128" w:rsidP="00F608A7">
            <w:pPr>
              <w:jc w:val="left"/>
              <w:rPr>
                <w:sz w:val="16"/>
                <w:szCs w:val="16"/>
              </w:rPr>
            </w:pPr>
          </w:p>
        </w:tc>
        <w:tc>
          <w:tcPr>
            <w:tcW w:w="2950" w:type="dxa"/>
            <w:vMerge/>
            <w:vAlign w:val="center"/>
          </w:tcPr>
          <w:p w14:paraId="3E9C2B86" w14:textId="77777777" w:rsidR="007F3128" w:rsidRPr="00F658A6" w:rsidRDefault="007F3128" w:rsidP="00F608A7">
            <w:pPr>
              <w:jc w:val="left"/>
              <w:rPr>
                <w:sz w:val="16"/>
                <w:szCs w:val="16"/>
              </w:rPr>
            </w:pPr>
          </w:p>
        </w:tc>
        <w:tc>
          <w:tcPr>
            <w:tcW w:w="567" w:type="dxa"/>
            <w:vAlign w:val="center"/>
          </w:tcPr>
          <w:p w14:paraId="083E92B1"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638E5010" w14:textId="3B85C864" w:rsidR="007F3128" w:rsidRPr="00F658A6" w:rsidRDefault="00012624" w:rsidP="00F608A7">
            <w:pPr>
              <w:jc w:val="left"/>
              <w:rPr>
                <w:sz w:val="16"/>
                <w:szCs w:val="16"/>
              </w:rPr>
            </w:pPr>
            <w:r>
              <w:rPr>
                <w:sz w:val="16"/>
                <w:szCs w:val="16"/>
              </w:rPr>
              <w:t>Daria Ordoñez A</w:t>
            </w:r>
            <w:r w:rsidR="007F3128" w:rsidRPr="00F658A6">
              <w:rPr>
                <w:sz w:val="16"/>
                <w:szCs w:val="16"/>
              </w:rPr>
              <w:t>lvarez (Hija)</w:t>
            </w:r>
          </w:p>
        </w:tc>
      </w:tr>
      <w:tr w:rsidR="007F3128" w:rsidRPr="00F658A6" w14:paraId="1F777003" w14:textId="77777777" w:rsidTr="00F608A7">
        <w:tc>
          <w:tcPr>
            <w:tcW w:w="560" w:type="dxa"/>
            <w:gridSpan w:val="2"/>
            <w:vMerge/>
            <w:vAlign w:val="center"/>
          </w:tcPr>
          <w:p w14:paraId="22268531" w14:textId="77777777" w:rsidR="007F3128" w:rsidRPr="00F658A6" w:rsidRDefault="007F3128" w:rsidP="00F608A7">
            <w:pPr>
              <w:jc w:val="left"/>
              <w:rPr>
                <w:sz w:val="16"/>
                <w:szCs w:val="16"/>
              </w:rPr>
            </w:pPr>
          </w:p>
        </w:tc>
        <w:tc>
          <w:tcPr>
            <w:tcW w:w="2950" w:type="dxa"/>
            <w:vMerge/>
            <w:vAlign w:val="center"/>
          </w:tcPr>
          <w:p w14:paraId="3AD067BE" w14:textId="77777777" w:rsidR="007F3128" w:rsidRPr="00F658A6" w:rsidRDefault="007F3128" w:rsidP="00F608A7">
            <w:pPr>
              <w:jc w:val="left"/>
              <w:rPr>
                <w:sz w:val="16"/>
                <w:szCs w:val="16"/>
              </w:rPr>
            </w:pPr>
          </w:p>
        </w:tc>
        <w:tc>
          <w:tcPr>
            <w:tcW w:w="567" w:type="dxa"/>
            <w:vAlign w:val="center"/>
          </w:tcPr>
          <w:p w14:paraId="6828ADAD"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7B9BB4E3" w14:textId="006FAAD2" w:rsidR="007F3128" w:rsidRPr="00F658A6" w:rsidRDefault="00012624" w:rsidP="00F608A7">
            <w:pPr>
              <w:jc w:val="left"/>
              <w:rPr>
                <w:sz w:val="16"/>
                <w:szCs w:val="16"/>
              </w:rPr>
            </w:pPr>
            <w:r>
              <w:rPr>
                <w:sz w:val="16"/>
                <w:szCs w:val="16"/>
              </w:rPr>
              <w:t>Juan Carlos Ordoñez A</w:t>
            </w:r>
            <w:r w:rsidR="007F3128" w:rsidRPr="00F658A6">
              <w:rPr>
                <w:sz w:val="16"/>
                <w:szCs w:val="16"/>
              </w:rPr>
              <w:t>lvarez (Hijo)</w:t>
            </w:r>
          </w:p>
        </w:tc>
      </w:tr>
      <w:tr w:rsidR="007F3128" w:rsidRPr="00F658A6" w14:paraId="7CC5E383" w14:textId="77777777" w:rsidTr="00F608A7">
        <w:tc>
          <w:tcPr>
            <w:tcW w:w="560" w:type="dxa"/>
            <w:gridSpan w:val="2"/>
            <w:vMerge/>
            <w:vAlign w:val="center"/>
          </w:tcPr>
          <w:p w14:paraId="4410ED32" w14:textId="77777777" w:rsidR="007F3128" w:rsidRPr="00F658A6" w:rsidRDefault="007F3128" w:rsidP="00F608A7">
            <w:pPr>
              <w:jc w:val="left"/>
              <w:rPr>
                <w:sz w:val="16"/>
                <w:szCs w:val="16"/>
              </w:rPr>
            </w:pPr>
          </w:p>
        </w:tc>
        <w:tc>
          <w:tcPr>
            <w:tcW w:w="2950" w:type="dxa"/>
            <w:vMerge/>
            <w:vAlign w:val="center"/>
          </w:tcPr>
          <w:p w14:paraId="5868634A" w14:textId="77777777" w:rsidR="007F3128" w:rsidRPr="00F658A6" w:rsidRDefault="007F3128" w:rsidP="00F608A7">
            <w:pPr>
              <w:jc w:val="left"/>
              <w:rPr>
                <w:sz w:val="16"/>
                <w:szCs w:val="16"/>
              </w:rPr>
            </w:pPr>
          </w:p>
        </w:tc>
        <w:tc>
          <w:tcPr>
            <w:tcW w:w="567" w:type="dxa"/>
            <w:vAlign w:val="center"/>
          </w:tcPr>
          <w:p w14:paraId="37B5FCB4"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5BAC51AB" w14:textId="5983FA1C" w:rsidR="007F3128" w:rsidRPr="00F658A6" w:rsidRDefault="00012624" w:rsidP="00F608A7">
            <w:pPr>
              <w:jc w:val="left"/>
              <w:rPr>
                <w:sz w:val="16"/>
                <w:szCs w:val="16"/>
              </w:rPr>
            </w:pPr>
            <w:r>
              <w:rPr>
                <w:sz w:val="16"/>
                <w:szCs w:val="16"/>
              </w:rPr>
              <w:t>Luis Emiliano Ordoñez A</w:t>
            </w:r>
            <w:r w:rsidR="007F3128" w:rsidRPr="00F658A6">
              <w:rPr>
                <w:sz w:val="16"/>
                <w:szCs w:val="16"/>
              </w:rPr>
              <w:t>lvarez (Nieto)</w:t>
            </w:r>
          </w:p>
        </w:tc>
      </w:tr>
      <w:tr w:rsidR="007F3128" w:rsidRPr="00F658A6" w14:paraId="2503690D" w14:textId="77777777" w:rsidTr="00F608A7">
        <w:tc>
          <w:tcPr>
            <w:tcW w:w="560" w:type="dxa"/>
            <w:gridSpan w:val="2"/>
            <w:vMerge/>
            <w:vAlign w:val="center"/>
          </w:tcPr>
          <w:p w14:paraId="4EB602FD" w14:textId="77777777" w:rsidR="007F3128" w:rsidRPr="00F658A6" w:rsidRDefault="007F3128" w:rsidP="00F608A7">
            <w:pPr>
              <w:jc w:val="left"/>
              <w:rPr>
                <w:sz w:val="16"/>
                <w:szCs w:val="16"/>
              </w:rPr>
            </w:pPr>
          </w:p>
        </w:tc>
        <w:tc>
          <w:tcPr>
            <w:tcW w:w="2950" w:type="dxa"/>
            <w:vMerge/>
            <w:vAlign w:val="center"/>
          </w:tcPr>
          <w:p w14:paraId="379D7B0D" w14:textId="77777777" w:rsidR="007F3128" w:rsidRPr="00F658A6" w:rsidRDefault="007F3128" w:rsidP="00F608A7">
            <w:pPr>
              <w:jc w:val="left"/>
              <w:rPr>
                <w:sz w:val="16"/>
                <w:szCs w:val="16"/>
              </w:rPr>
            </w:pPr>
          </w:p>
        </w:tc>
        <w:tc>
          <w:tcPr>
            <w:tcW w:w="567" w:type="dxa"/>
            <w:vAlign w:val="center"/>
          </w:tcPr>
          <w:p w14:paraId="2F868514"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56AC248F" w14:textId="03F4075B" w:rsidR="007F3128" w:rsidRPr="00F658A6" w:rsidRDefault="007F3128" w:rsidP="00F608A7">
            <w:pPr>
              <w:jc w:val="left"/>
              <w:rPr>
                <w:sz w:val="16"/>
                <w:szCs w:val="16"/>
              </w:rPr>
            </w:pPr>
            <w:r w:rsidRPr="00F658A6">
              <w:rPr>
                <w:sz w:val="16"/>
                <w:szCs w:val="16"/>
              </w:rPr>
              <w:t>Martín G</w:t>
            </w:r>
            <w:r w:rsidR="00012624">
              <w:rPr>
                <w:sz w:val="16"/>
                <w:szCs w:val="16"/>
              </w:rPr>
              <w:t>ildardo Ordoñez A</w:t>
            </w:r>
            <w:r w:rsidRPr="00F658A6">
              <w:rPr>
                <w:sz w:val="16"/>
                <w:szCs w:val="16"/>
              </w:rPr>
              <w:t>lvarez (Nieto)</w:t>
            </w:r>
          </w:p>
        </w:tc>
      </w:tr>
      <w:tr w:rsidR="007F3128" w:rsidRPr="00F658A6" w14:paraId="54E08974" w14:textId="77777777" w:rsidTr="00F608A7">
        <w:tc>
          <w:tcPr>
            <w:tcW w:w="560" w:type="dxa"/>
            <w:gridSpan w:val="2"/>
            <w:vMerge/>
            <w:vAlign w:val="center"/>
          </w:tcPr>
          <w:p w14:paraId="0EE1EF2B" w14:textId="77777777" w:rsidR="007F3128" w:rsidRPr="00F658A6" w:rsidRDefault="007F3128" w:rsidP="00F608A7">
            <w:pPr>
              <w:jc w:val="left"/>
              <w:rPr>
                <w:sz w:val="16"/>
                <w:szCs w:val="16"/>
              </w:rPr>
            </w:pPr>
          </w:p>
        </w:tc>
        <w:tc>
          <w:tcPr>
            <w:tcW w:w="2950" w:type="dxa"/>
            <w:vMerge/>
            <w:vAlign w:val="center"/>
          </w:tcPr>
          <w:p w14:paraId="0CA0F720" w14:textId="77777777" w:rsidR="007F3128" w:rsidRPr="00F658A6" w:rsidRDefault="007F3128" w:rsidP="00F608A7">
            <w:pPr>
              <w:jc w:val="left"/>
              <w:rPr>
                <w:sz w:val="16"/>
                <w:szCs w:val="16"/>
              </w:rPr>
            </w:pPr>
          </w:p>
        </w:tc>
        <w:tc>
          <w:tcPr>
            <w:tcW w:w="567" w:type="dxa"/>
            <w:vAlign w:val="center"/>
          </w:tcPr>
          <w:p w14:paraId="16354A70"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15756CED" w14:textId="6589C43F" w:rsidR="007F3128" w:rsidRPr="00F658A6" w:rsidRDefault="00012624" w:rsidP="00F608A7">
            <w:pPr>
              <w:jc w:val="left"/>
              <w:rPr>
                <w:sz w:val="16"/>
                <w:szCs w:val="16"/>
              </w:rPr>
            </w:pPr>
            <w:r>
              <w:rPr>
                <w:sz w:val="16"/>
                <w:szCs w:val="16"/>
              </w:rPr>
              <w:t>Lauris Ernestina Juárez Ordo</w:t>
            </w:r>
            <w:r w:rsidR="007F3128" w:rsidRPr="00F658A6">
              <w:rPr>
                <w:sz w:val="16"/>
                <w:szCs w:val="16"/>
              </w:rPr>
              <w:t>ñez (Nieta)</w:t>
            </w:r>
          </w:p>
        </w:tc>
      </w:tr>
      <w:tr w:rsidR="007F3128" w:rsidRPr="00F658A6" w14:paraId="3B9538C7" w14:textId="77777777" w:rsidTr="00F608A7">
        <w:tc>
          <w:tcPr>
            <w:tcW w:w="560" w:type="dxa"/>
            <w:gridSpan w:val="2"/>
            <w:vMerge/>
            <w:vAlign w:val="center"/>
          </w:tcPr>
          <w:p w14:paraId="4505FA50" w14:textId="77777777" w:rsidR="007F3128" w:rsidRPr="00F658A6" w:rsidRDefault="007F3128" w:rsidP="00F608A7">
            <w:pPr>
              <w:jc w:val="left"/>
              <w:rPr>
                <w:sz w:val="16"/>
                <w:szCs w:val="16"/>
              </w:rPr>
            </w:pPr>
          </w:p>
        </w:tc>
        <w:tc>
          <w:tcPr>
            <w:tcW w:w="2950" w:type="dxa"/>
            <w:vMerge/>
            <w:vAlign w:val="center"/>
          </w:tcPr>
          <w:p w14:paraId="11609A5E" w14:textId="77777777" w:rsidR="007F3128" w:rsidRPr="00F658A6" w:rsidRDefault="007F3128" w:rsidP="00F608A7">
            <w:pPr>
              <w:jc w:val="left"/>
              <w:rPr>
                <w:sz w:val="16"/>
                <w:szCs w:val="16"/>
              </w:rPr>
            </w:pPr>
          </w:p>
        </w:tc>
        <w:tc>
          <w:tcPr>
            <w:tcW w:w="567" w:type="dxa"/>
            <w:vAlign w:val="center"/>
          </w:tcPr>
          <w:p w14:paraId="420ED0AE"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4D687675" w14:textId="6E725C57" w:rsidR="007F3128" w:rsidRPr="00F658A6" w:rsidRDefault="007F3128" w:rsidP="00F608A7">
            <w:pPr>
              <w:jc w:val="left"/>
              <w:rPr>
                <w:sz w:val="16"/>
                <w:szCs w:val="16"/>
              </w:rPr>
            </w:pPr>
            <w:r w:rsidRPr="00F658A6">
              <w:rPr>
                <w:sz w:val="16"/>
                <w:szCs w:val="16"/>
              </w:rPr>
              <w:t>Yeslin Janeth Juárez Ord</w:t>
            </w:r>
            <w:r w:rsidR="00012624">
              <w:rPr>
                <w:sz w:val="16"/>
                <w:szCs w:val="16"/>
              </w:rPr>
              <w:t>o</w:t>
            </w:r>
            <w:r w:rsidRPr="00F658A6">
              <w:rPr>
                <w:sz w:val="16"/>
                <w:szCs w:val="16"/>
              </w:rPr>
              <w:t>ñez (Nieta)</w:t>
            </w:r>
          </w:p>
        </w:tc>
      </w:tr>
      <w:tr w:rsidR="007F3128" w:rsidRPr="00F658A6" w14:paraId="2540C0ED" w14:textId="77777777" w:rsidTr="00F608A7">
        <w:tc>
          <w:tcPr>
            <w:tcW w:w="560" w:type="dxa"/>
            <w:gridSpan w:val="2"/>
            <w:vMerge/>
            <w:vAlign w:val="center"/>
          </w:tcPr>
          <w:p w14:paraId="66AFEEB3" w14:textId="77777777" w:rsidR="007F3128" w:rsidRPr="00F658A6" w:rsidRDefault="007F3128" w:rsidP="00F608A7">
            <w:pPr>
              <w:jc w:val="left"/>
              <w:rPr>
                <w:sz w:val="16"/>
                <w:szCs w:val="16"/>
              </w:rPr>
            </w:pPr>
          </w:p>
        </w:tc>
        <w:tc>
          <w:tcPr>
            <w:tcW w:w="2950" w:type="dxa"/>
            <w:vMerge/>
            <w:vAlign w:val="center"/>
          </w:tcPr>
          <w:p w14:paraId="06654304" w14:textId="77777777" w:rsidR="007F3128" w:rsidRPr="00F658A6" w:rsidRDefault="007F3128" w:rsidP="00F608A7">
            <w:pPr>
              <w:jc w:val="left"/>
              <w:rPr>
                <w:sz w:val="16"/>
                <w:szCs w:val="16"/>
              </w:rPr>
            </w:pPr>
          </w:p>
        </w:tc>
        <w:tc>
          <w:tcPr>
            <w:tcW w:w="567" w:type="dxa"/>
            <w:vAlign w:val="center"/>
          </w:tcPr>
          <w:p w14:paraId="75C898D6"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2B9C4646" w14:textId="18A22F7C" w:rsidR="007F3128" w:rsidRPr="00F658A6" w:rsidRDefault="007F3128" w:rsidP="00F608A7">
            <w:pPr>
              <w:jc w:val="left"/>
              <w:rPr>
                <w:sz w:val="16"/>
                <w:szCs w:val="16"/>
              </w:rPr>
            </w:pPr>
            <w:r w:rsidRPr="00F658A6">
              <w:rPr>
                <w:sz w:val="16"/>
                <w:szCs w:val="16"/>
              </w:rPr>
              <w:t>Ivan Juárez Ord</w:t>
            </w:r>
            <w:r w:rsidR="00012624">
              <w:rPr>
                <w:sz w:val="16"/>
                <w:szCs w:val="16"/>
              </w:rPr>
              <w:t>o</w:t>
            </w:r>
            <w:r w:rsidRPr="00F658A6">
              <w:rPr>
                <w:sz w:val="16"/>
                <w:szCs w:val="16"/>
              </w:rPr>
              <w:t>ñez (Nieto)</w:t>
            </w:r>
          </w:p>
        </w:tc>
      </w:tr>
      <w:tr w:rsidR="007F3128" w:rsidRPr="00F658A6" w14:paraId="1DEC1950" w14:textId="77777777" w:rsidTr="00F608A7">
        <w:tc>
          <w:tcPr>
            <w:tcW w:w="560" w:type="dxa"/>
            <w:gridSpan w:val="2"/>
            <w:vMerge w:val="restart"/>
            <w:vAlign w:val="center"/>
          </w:tcPr>
          <w:p w14:paraId="4036013D" w14:textId="77777777" w:rsidR="007F3128" w:rsidRPr="00F658A6" w:rsidRDefault="007F3128" w:rsidP="00F608A7">
            <w:pPr>
              <w:jc w:val="left"/>
              <w:rPr>
                <w:sz w:val="16"/>
                <w:szCs w:val="16"/>
              </w:rPr>
            </w:pPr>
            <w:r w:rsidRPr="00F658A6">
              <w:rPr>
                <w:sz w:val="16"/>
                <w:szCs w:val="16"/>
              </w:rPr>
              <w:t>20</w:t>
            </w:r>
          </w:p>
        </w:tc>
        <w:tc>
          <w:tcPr>
            <w:tcW w:w="2950" w:type="dxa"/>
            <w:vMerge w:val="restart"/>
            <w:vAlign w:val="center"/>
          </w:tcPr>
          <w:p w14:paraId="72DA6363" w14:textId="571DE810" w:rsidR="007F3128" w:rsidRPr="00F658A6" w:rsidRDefault="00A746EE" w:rsidP="00F608A7">
            <w:pPr>
              <w:jc w:val="left"/>
              <w:rPr>
                <w:sz w:val="16"/>
                <w:szCs w:val="16"/>
              </w:rPr>
            </w:pPr>
            <w:r w:rsidRPr="00F658A6">
              <w:rPr>
                <w:sz w:val="16"/>
                <w:szCs w:val="16"/>
              </w:rPr>
              <w:t>Luis Rubén Isabel A</w:t>
            </w:r>
            <w:r w:rsidR="007F3128" w:rsidRPr="00F658A6">
              <w:rPr>
                <w:sz w:val="16"/>
                <w:szCs w:val="16"/>
              </w:rPr>
              <w:t>lvarez Flores</w:t>
            </w:r>
          </w:p>
        </w:tc>
        <w:tc>
          <w:tcPr>
            <w:tcW w:w="567" w:type="dxa"/>
            <w:vAlign w:val="center"/>
          </w:tcPr>
          <w:p w14:paraId="3F23D230"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C4353A0" w14:textId="10361C6A" w:rsidR="007F3128" w:rsidRPr="00F658A6" w:rsidRDefault="007F3128" w:rsidP="00F608A7">
            <w:pPr>
              <w:tabs>
                <w:tab w:val="left" w:pos="1277"/>
              </w:tabs>
              <w:jc w:val="left"/>
              <w:rPr>
                <w:sz w:val="16"/>
                <w:szCs w:val="16"/>
              </w:rPr>
            </w:pPr>
            <w:r w:rsidRPr="00F658A6">
              <w:rPr>
                <w:sz w:val="16"/>
                <w:szCs w:val="16"/>
              </w:rPr>
              <w:t xml:space="preserve">Julio Rubén </w:t>
            </w:r>
            <w:r w:rsidR="00E25C46" w:rsidRPr="00F658A6">
              <w:rPr>
                <w:sz w:val="16"/>
                <w:szCs w:val="16"/>
              </w:rPr>
              <w:t>A</w:t>
            </w:r>
            <w:r w:rsidRPr="00F658A6">
              <w:rPr>
                <w:sz w:val="16"/>
                <w:szCs w:val="16"/>
              </w:rPr>
              <w:t>lvarez Chinchila (Padre)</w:t>
            </w:r>
          </w:p>
        </w:tc>
      </w:tr>
      <w:tr w:rsidR="007F3128" w:rsidRPr="00F658A6" w14:paraId="31CA88C8" w14:textId="77777777" w:rsidTr="00F608A7">
        <w:tc>
          <w:tcPr>
            <w:tcW w:w="560" w:type="dxa"/>
            <w:gridSpan w:val="2"/>
            <w:vMerge/>
            <w:vAlign w:val="center"/>
          </w:tcPr>
          <w:p w14:paraId="0593D307" w14:textId="77777777" w:rsidR="007F3128" w:rsidRPr="00F658A6" w:rsidRDefault="007F3128" w:rsidP="00F608A7">
            <w:pPr>
              <w:jc w:val="left"/>
              <w:rPr>
                <w:sz w:val="16"/>
                <w:szCs w:val="16"/>
              </w:rPr>
            </w:pPr>
          </w:p>
        </w:tc>
        <w:tc>
          <w:tcPr>
            <w:tcW w:w="2950" w:type="dxa"/>
            <w:vMerge/>
            <w:vAlign w:val="center"/>
          </w:tcPr>
          <w:p w14:paraId="13137987" w14:textId="77777777" w:rsidR="007F3128" w:rsidRPr="00F658A6" w:rsidRDefault="007F3128" w:rsidP="00F608A7">
            <w:pPr>
              <w:jc w:val="left"/>
              <w:rPr>
                <w:sz w:val="16"/>
                <w:szCs w:val="16"/>
              </w:rPr>
            </w:pPr>
          </w:p>
        </w:tc>
        <w:tc>
          <w:tcPr>
            <w:tcW w:w="567" w:type="dxa"/>
            <w:vAlign w:val="center"/>
          </w:tcPr>
          <w:p w14:paraId="6D29FC8B"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7ECA4BCA" w14:textId="77777777" w:rsidR="007F3128" w:rsidRPr="00F658A6" w:rsidRDefault="007F3128" w:rsidP="00F608A7">
            <w:pPr>
              <w:tabs>
                <w:tab w:val="left" w:pos="1277"/>
              </w:tabs>
              <w:jc w:val="left"/>
              <w:rPr>
                <w:sz w:val="16"/>
                <w:szCs w:val="16"/>
              </w:rPr>
            </w:pPr>
            <w:r w:rsidRPr="00F658A6">
              <w:rPr>
                <w:sz w:val="16"/>
                <w:szCs w:val="16"/>
              </w:rPr>
              <w:t>Margarita Flores Cuiza (Madre, fallecida)</w:t>
            </w:r>
          </w:p>
        </w:tc>
      </w:tr>
      <w:tr w:rsidR="007F3128" w:rsidRPr="00F658A6" w14:paraId="402D35F3" w14:textId="77777777" w:rsidTr="00F608A7">
        <w:tc>
          <w:tcPr>
            <w:tcW w:w="560" w:type="dxa"/>
            <w:gridSpan w:val="2"/>
            <w:vMerge/>
            <w:vAlign w:val="center"/>
          </w:tcPr>
          <w:p w14:paraId="41EE38FF" w14:textId="77777777" w:rsidR="007F3128" w:rsidRPr="00F658A6" w:rsidRDefault="007F3128" w:rsidP="00F608A7">
            <w:pPr>
              <w:jc w:val="left"/>
              <w:rPr>
                <w:sz w:val="16"/>
                <w:szCs w:val="16"/>
              </w:rPr>
            </w:pPr>
          </w:p>
        </w:tc>
        <w:tc>
          <w:tcPr>
            <w:tcW w:w="2950" w:type="dxa"/>
            <w:vMerge/>
            <w:vAlign w:val="center"/>
          </w:tcPr>
          <w:p w14:paraId="6B0D6E65" w14:textId="77777777" w:rsidR="007F3128" w:rsidRPr="00F658A6" w:rsidRDefault="007F3128" w:rsidP="00F608A7">
            <w:pPr>
              <w:jc w:val="left"/>
              <w:rPr>
                <w:sz w:val="16"/>
                <w:szCs w:val="16"/>
              </w:rPr>
            </w:pPr>
          </w:p>
        </w:tc>
        <w:tc>
          <w:tcPr>
            <w:tcW w:w="567" w:type="dxa"/>
            <w:vAlign w:val="center"/>
          </w:tcPr>
          <w:p w14:paraId="7D50F7C6"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63E541A" w14:textId="47220C75" w:rsidR="007F3128" w:rsidRPr="00F658A6" w:rsidRDefault="007F3128" w:rsidP="00F608A7">
            <w:pPr>
              <w:tabs>
                <w:tab w:val="left" w:pos="1277"/>
              </w:tabs>
              <w:jc w:val="left"/>
              <w:rPr>
                <w:sz w:val="16"/>
                <w:szCs w:val="16"/>
              </w:rPr>
            </w:pPr>
            <w:r w:rsidRPr="00F658A6">
              <w:rPr>
                <w:sz w:val="16"/>
                <w:szCs w:val="16"/>
              </w:rPr>
              <w:t xml:space="preserve">Atilio Sabas </w:t>
            </w:r>
            <w:r w:rsidR="00E25C46" w:rsidRPr="00F658A6">
              <w:rPr>
                <w:sz w:val="16"/>
                <w:szCs w:val="16"/>
              </w:rPr>
              <w:t>A</w:t>
            </w:r>
            <w:r w:rsidRPr="00F658A6">
              <w:rPr>
                <w:sz w:val="16"/>
                <w:szCs w:val="16"/>
              </w:rPr>
              <w:t>lvarez Flores (Hermano)</w:t>
            </w:r>
          </w:p>
        </w:tc>
      </w:tr>
      <w:tr w:rsidR="007F3128" w:rsidRPr="00F658A6" w14:paraId="7230563D" w14:textId="77777777" w:rsidTr="00F608A7">
        <w:tc>
          <w:tcPr>
            <w:tcW w:w="560" w:type="dxa"/>
            <w:gridSpan w:val="2"/>
            <w:vMerge/>
            <w:vAlign w:val="center"/>
          </w:tcPr>
          <w:p w14:paraId="217B7037" w14:textId="77777777" w:rsidR="007F3128" w:rsidRPr="00F658A6" w:rsidRDefault="007F3128" w:rsidP="00F608A7">
            <w:pPr>
              <w:jc w:val="left"/>
              <w:rPr>
                <w:sz w:val="16"/>
                <w:szCs w:val="16"/>
              </w:rPr>
            </w:pPr>
          </w:p>
        </w:tc>
        <w:tc>
          <w:tcPr>
            <w:tcW w:w="2950" w:type="dxa"/>
            <w:vMerge/>
            <w:vAlign w:val="center"/>
          </w:tcPr>
          <w:p w14:paraId="178CA5A8" w14:textId="77777777" w:rsidR="007F3128" w:rsidRPr="00F658A6" w:rsidRDefault="007F3128" w:rsidP="00F608A7">
            <w:pPr>
              <w:jc w:val="left"/>
              <w:rPr>
                <w:sz w:val="16"/>
                <w:szCs w:val="16"/>
              </w:rPr>
            </w:pPr>
          </w:p>
        </w:tc>
        <w:tc>
          <w:tcPr>
            <w:tcW w:w="567" w:type="dxa"/>
            <w:vAlign w:val="center"/>
          </w:tcPr>
          <w:p w14:paraId="09BBCFF0"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524DC9E" w14:textId="661960BA" w:rsidR="007F3128" w:rsidRPr="00F658A6" w:rsidRDefault="007F3128" w:rsidP="00F608A7">
            <w:pPr>
              <w:tabs>
                <w:tab w:val="left" w:pos="1277"/>
              </w:tabs>
              <w:jc w:val="left"/>
              <w:rPr>
                <w:sz w:val="16"/>
                <w:szCs w:val="16"/>
              </w:rPr>
            </w:pPr>
            <w:r w:rsidRPr="00F658A6">
              <w:rPr>
                <w:sz w:val="16"/>
                <w:szCs w:val="16"/>
              </w:rPr>
              <w:t xml:space="preserve">Lileana </w:t>
            </w:r>
            <w:r w:rsidR="00E25C46" w:rsidRPr="00F658A6">
              <w:rPr>
                <w:sz w:val="16"/>
                <w:szCs w:val="16"/>
              </w:rPr>
              <w:t>A</w:t>
            </w:r>
            <w:r w:rsidRPr="00F658A6">
              <w:rPr>
                <w:sz w:val="16"/>
                <w:szCs w:val="16"/>
              </w:rPr>
              <w:t>lvarez Flores (hermana)</w:t>
            </w:r>
          </w:p>
        </w:tc>
      </w:tr>
      <w:tr w:rsidR="007F3128" w:rsidRPr="00F658A6" w14:paraId="0A029BE4" w14:textId="77777777" w:rsidTr="00F608A7">
        <w:tc>
          <w:tcPr>
            <w:tcW w:w="560" w:type="dxa"/>
            <w:gridSpan w:val="2"/>
            <w:vMerge/>
            <w:vAlign w:val="center"/>
          </w:tcPr>
          <w:p w14:paraId="43694EE2" w14:textId="77777777" w:rsidR="007F3128" w:rsidRPr="00F658A6" w:rsidRDefault="007F3128" w:rsidP="00F608A7">
            <w:pPr>
              <w:jc w:val="left"/>
              <w:rPr>
                <w:sz w:val="16"/>
                <w:szCs w:val="16"/>
              </w:rPr>
            </w:pPr>
          </w:p>
        </w:tc>
        <w:tc>
          <w:tcPr>
            <w:tcW w:w="2950" w:type="dxa"/>
            <w:vMerge/>
            <w:vAlign w:val="center"/>
          </w:tcPr>
          <w:p w14:paraId="3A03FD28" w14:textId="77777777" w:rsidR="007F3128" w:rsidRPr="00F658A6" w:rsidRDefault="007F3128" w:rsidP="00F608A7">
            <w:pPr>
              <w:jc w:val="left"/>
              <w:rPr>
                <w:sz w:val="16"/>
                <w:szCs w:val="16"/>
              </w:rPr>
            </w:pPr>
          </w:p>
        </w:tc>
        <w:tc>
          <w:tcPr>
            <w:tcW w:w="567" w:type="dxa"/>
            <w:vAlign w:val="center"/>
          </w:tcPr>
          <w:p w14:paraId="4613C531"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7F80C496" w14:textId="0EECFA5F" w:rsidR="007F3128" w:rsidRPr="00F658A6" w:rsidRDefault="007F3128" w:rsidP="00F608A7">
            <w:pPr>
              <w:tabs>
                <w:tab w:val="left" w:pos="1277"/>
              </w:tabs>
              <w:jc w:val="left"/>
              <w:rPr>
                <w:sz w:val="16"/>
                <w:szCs w:val="16"/>
              </w:rPr>
            </w:pPr>
            <w:r w:rsidRPr="00F658A6">
              <w:rPr>
                <w:sz w:val="16"/>
                <w:szCs w:val="16"/>
              </w:rPr>
              <w:t xml:space="preserve">Victoriano Estanislao </w:t>
            </w:r>
            <w:r w:rsidR="00E25C46" w:rsidRPr="00F658A6">
              <w:rPr>
                <w:sz w:val="16"/>
                <w:szCs w:val="16"/>
              </w:rPr>
              <w:t>A</w:t>
            </w:r>
            <w:r w:rsidRPr="00F658A6">
              <w:rPr>
                <w:sz w:val="16"/>
                <w:szCs w:val="16"/>
              </w:rPr>
              <w:t>lvarez Flores (Hermano)</w:t>
            </w:r>
          </w:p>
        </w:tc>
      </w:tr>
      <w:tr w:rsidR="007F3128" w:rsidRPr="00F658A6" w14:paraId="0CDACE48" w14:textId="77777777" w:rsidTr="00F608A7">
        <w:tc>
          <w:tcPr>
            <w:tcW w:w="560" w:type="dxa"/>
            <w:gridSpan w:val="2"/>
            <w:vMerge/>
            <w:vAlign w:val="center"/>
          </w:tcPr>
          <w:p w14:paraId="212334CD" w14:textId="77777777" w:rsidR="007F3128" w:rsidRPr="00F658A6" w:rsidRDefault="007F3128" w:rsidP="00F608A7">
            <w:pPr>
              <w:jc w:val="left"/>
              <w:rPr>
                <w:sz w:val="16"/>
                <w:szCs w:val="16"/>
              </w:rPr>
            </w:pPr>
          </w:p>
        </w:tc>
        <w:tc>
          <w:tcPr>
            <w:tcW w:w="2950" w:type="dxa"/>
            <w:vMerge/>
            <w:vAlign w:val="center"/>
          </w:tcPr>
          <w:p w14:paraId="5EAD4E13" w14:textId="77777777" w:rsidR="007F3128" w:rsidRPr="00F658A6" w:rsidRDefault="007F3128" w:rsidP="00F608A7">
            <w:pPr>
              <w:jc w:val="left"/>
              <w:rPr>
                <w:sz w:val="16"/>
                <w:szCs w:val="16"/>
              </w:rPr>
            </w:pPr>
          </w:p>
        </w:tc>
        <w:tc>
          <w:tcPr>
            <w:tcW w:w="567" w:type="dxa"/>
            <w:vAlign w:val="center"/>
          </w:tcPr>
          <w:p w14:paraId="3999122F"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405B6267" w14:textId="27E983A2" w:rsidR="007F3128" w:rsidRPr="00F658A6" w:rsidRDefault="007F3128" w:rsidP="00F608A7">
            <w:pPr>
              <w:tabs>
                <w:tab w:val="left" w:pos="1277"/>
              </w:tabs>
              <w:jc w:val="left"/>
              <w:rPr>
                <w:sz w:val="16"/>
                <w:szCs w:val="16"/>
              </w:rPr>
            </w:pPr>
            <w:r w:rsidRPr="00F658A6">
              <w:rPr>
                <w:sz w:val="16"/>
                <w:szCs w:val="16"/>
              </w:rPr>
              <w:t xml:space="preserve">Julio Antonio </w:t>
            </w:r>
            <w:r w:rsidR="00E25C46" w:rsidRPr="00F658A6">
              <w:rPr>
                <w:sz w:val="16"/>
                <w:szCs w:val="16"/>
              </w:rPr>
              <w:t>A</w:t>
            </w:r>
            <w:r w:rsidRPr="00F658A6">
              <w:rPr>
                <w:sz w:val="16"/>
                <w:szCs w:val="16"/>
              </w:rPr>
              <w:t>lvarez Flores (Hermano)</w:t>
            </w:r>
          </w:p>
        </w:tc>
      </w:tr>
      <w:tr w:rsidR="007F3128" w:rsidRPr="00F658A6" w14:paraId="0BE7A34E" w14:textId="77777777" w:rsidTr="00F608A7">
        <w:tc>
          <w:tcPr>
            <w:tcW w:w="560" w:type="dxa"/>
            <w:gridSpan w:val="2"/>
            <w:vMerge/>
            <w:vAlign w:val="center"/>
          </w:tcPr>
          <w:p w14:paraId="412850DC" w14:textId="77777777" w:rsidR="007F3128" w:rsidRPr="00F658A6" w:rsidRDefault="007F3128" w:rsidP="00F608A7">
            <w:pPr>
              <w:jc w:val="left"/>
              <w:rPr>
                <w:sz w:val="16"/>
                <w:szCs w:val="16"/>
              </w:rPr>
            </w:pPr>
          </w:p>
        </w:tc>
        <w:tc>
          <w:tcPr>
            <w:tcW w:w="2950" w:type="dxa"/>
            <w:vMerge/>
            <w:vAlign w:val="center"/>
          </w:tcPr>
          <w:p w14:paraId="42B2E44F" w14:textId="77777777" w:rsidR="007F3128" w:rsidRPr="00F658A6" w:rsidRDefault="007F3128" w:rsidP="00F608A7">
            <w:pPr>
              <w:jc w:val="left"/>
              <w:rPr>
                <w:sz w:val="16"/>
                <w:szCs w:val="16"/>
              </w:rPr>
            </w:pPr>
          </w:p>
        </w:tc>
        <w:tc>
          <w:tcPr>
            <w:tcW w:w="567" w:type="dxa"/>
            <w:vAlign w:val="center"/>
          </w:tcPr>
          <w:p w14:paraId="63ED831D"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29CBD643" w14:textId="71116E63" w:rsidR="007F3128" w:rsidRPr="00F658A6" w:rsidRDefault="007F3128" w:rsidP="00F608A7">
            <w:pPr>
              <w:tabs>
                <w:tab w:val="left" w:pos="1277"/>
              </w:tabs>
              <w:jc w:val="left"/>
              <w:rPr>
                <w:sz w:val="16"/>
                <w:szCs w:val="16"/>
              </w:rPr>
            </w:pPr>
            <w:r w:rsidRPr="00F658A6">
              <w:rPr>
                <w:sz w:val="16"/>
                <w:szCs w:val="16"/>
              </w:rPr>
              <w:t xml:space="preserve">Samuel Gonzalo </w:t>
            </w:r>
            <w:r w:rsidR="00E25C46" w:rsidRPr="00F658A6">
              <w:rPr>
                <w:sz w:val="16"/>
                <w:szCs w:val="16"/>
              </w:rPr>
              <w:t>A</w:t>
            </w:r>
            <w:r w:rsidRPr="00F658A6">
              <w:rPr>
                <w:sz w:val="16"/>
                <w:szCs w:val="16"/>
              </w:rPr>
              <w:t>lvarez Flores (Hermano)</w:t>
            </w:r>
          </w:p>
        </w:tc>
      </w:tr>
      <w:tr w:rsidR="007F3128" w:rsidRPr="00F658A6" w14:paraId="2528CD30" w14:textId="77777777" w:rsidTr="00F608A7">
        <w:tc>
          <w:tcPr>
            <w:tcW w:w="560" w:type="dxa"/>
            <w:gridSpan w:val="2"/>
            <w:vAlign w:val="center"/>
          </w:tcPr>
          <w:p w14:paraId="5070AE71" w14:textId="77777777" w:rsidR="007F3128" w:rsidRPr="00F658A6" w:rsidRDefault="007F3128" w:rsidP="00F608A7">
            <w:pPr>
              <w:jc w:val="left"/>
              <w:rPr>
                <w:sz w:val="16"/>
                <w:szCs w:val="16"/>
              </w:rPr>
            </w:pPr>
            <w:r w:rsidRPr="00F658A6">
              <w:rPr>
                <w:sz w:val="16"/>
                <w:szCs w:val="16"/>
              </w:rPr>
              <w:t>21</w:t>
            </w:r>
          </w:p>
        </w:tc>
        <w:tc>
          <w:tcPr>
            <w:tcW w:w="2950" w:type="dxa"/>
            <w:vAlign w:val="center"/>
          </w:tcPr>
          <w:p w14:paraId="0DE10D5B" w14:textId="01AD46E6" w:rsidR="007F3128" w:rsidRPr="00F658A6" w:rsidRDefault="007F3128" w:rsidP="00F608A7">
            <w:pPr>
              <w:jc w:val="left"/>
              <w:rPr>
                <w:sz w:val="16"/>
                <w:szCs w:val="16"/>
              </w:rPr>
            </w:pPr>
            <w:r w:rsidRPr="00F658A6">
              <w:rPr>
                <w:sz w:val="16"/>
                <w:szCs w:val="16"/>
              </w:rPr>
              <w:t>Ingrid Janeth Barillas Martínez</w:t>
            </w:r>
          </w:p>
        </w:tc>
        <w:tc>
          <w:tcPr>
            <w:tcW w:w="567" w:type="dxa"/>
            <w:vAlign w:val="center"/>
          </w:tcPr>
          <w:p w14:paraId="0DCA098B" w14:textId="77777777" w:rsidR="007F3128" w:rsidRPr="00F658A6" w:rsidRDefault="007F3128" w:rsidP="00F608A7">
            <w:pPr>
              <w:jc w:val="left"/>
              <w:rPr>
                <w:sz w:val="16"/>
                <w:szCs w:val="16"/>
              </w:rPr>
            </w:pPr>
          </w:p>
        </w:tc>
        <w:tc>
          <w:tcPr>
            <w:tcW w:w="4927" w:type="dxa"/>
            <w:vAlign w:val="center"/>
          </w:tcPr>
          <w:p w14:paraId="1ADCD6CA" w14:textId="611E9236" w:rsidR="007F3128" w:rsidRPr="00F658A6" w:rsidRDefault="00093D72" w:rsidP="00F608A7">
            <w:pPr>
              <w:jc w:val="left"/>
              <w:rPr>
                <w:sz w:val="16"/>
                <w:szCs w:val="16"/>
              </w:rPr>
            </w:pPr>
            <w:r w:rsidRPr="00F658A6">
              <w:rPr>
                <w:sz w:val="16"/>
                <w:szCs w:val="16"/>
              </w:rPr>
              <w:t>No hay información disponible</w:t>
            </w:r>
          </w:p>
        </w:tc>
      </w:tr>
      <w:tr w:rsidR="007F3128" w:rsidRPr="00F658A6" w14:paraId="16E8B0CC" w14:textId="77777777" w:rsidTr="00F608A7">
        <w:tc>
          <w:tcPr>
            <w:tcW w:w="560" w:type="dxa"/>
            <w:gridSpan w:val="2"/>
            <w:vMerge w:val="restart"/>
            <w:vAlign w:val="center"/>
          </w:tcPr>
          <w:p w14:paraId="2954810E" w14:textId="77777777" w:rsidR="007F3128" w:rsidRPr="00F658A6" w:rsidRDefault="007F3128" w:rsidP="00F608A7">
            <w:pPr>
              <w:jc w:val="left"/>
              <w:rPr>
                <w:sz w:val="16"/>
                <w:szCs w:val="16"/>
              </w:rPr>
            </w:pPr>
            <w:r w:rsidRPr="00F658A6">
              <w:rPr>
                <w:sz w:val="16"/>
                <w:szCs w:val="16"/>
              </w:rPr>
              <w:t>22</w:t>
            </w:r>
          </w:p>
        </w:tc>
        <w:tc>
          <w:tcPr>
            <w:tcW w:w="2950" w:type="dxa"/>
            <w:vMerge w:val="restart"/>
            <w:vAlign w:val="center"/>
          </w:tcPr>
          <w:p w14:paraId="29E7CF07" w14:textId="315C821C" w:rsidR="007F3128" w:rsidRPr="00F658A6" w:rsidRDefault="007F3128" w:rsidP="00F608A7">
            <w:pPr>
              <w:jc w:val="left"/>
              <w:rPr>
                <w:sz w:val="16"/>
                <w:szCs w:val="16"/>
              </w:rPr>
            </w:pPr>
            <w:r w:rsidRPr="00F658A6">
              <w:rPr>
                <w:sz w:val="16"/>
                <w:szCs w:val="16"/>
              </w:rPr>
              <w:t>Saira Elisa Barrios</w:t>
            </w:r>
          </w:p>
        </w:tc>
        <w:tc>
          <w:tcPr>
            <w:tcW w:w="567" w:type="dxa"/>
            <w:vAlign w:val="center"/>
          </w:tcPr>
          <w:p w14:paraId="3CFE0A52"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78DED044" w14:textId="77777777" w:rsidR="007F3128" w:rsidRPr="00F658A6" w:rsidRDefault="007F3128" w:rsidP="00F608A7">
            <w:pPr>
              <w:tabs>
                <w:tab w:val="left" w:pos="1277"/>
              </w:tabs>
              <w:jc w:val="left"/>
              <w:rPr>
                <w:sz w:val="16"/>
                <w:szCs w:val="16"/>
              </w:rPr>
            </w:pPr>
            <w:r w:rsidRPr="00F658A6">
              <w:rPr>
                <w:sz w:val="16"/>
                <w:szCs w:val="16"/>
              </w:rPr>
              <w:t>Guillermo Donis (Esposo actual)</w:t>
            </w:r>
          </w:p>
        </w:tc>
      </w:tr>
      <w:tr w:rsidR="007F3128" w:rsidRPr="00F658A6" w14:paraId="384EC65E" w14:textId="77777777" w:rsidTr="00F608A7">
        <w:tc>
          <w:tcPr>
            <w:tcW w:w="560" w:type="dxa"/>
            <w:gridSpan w:val="2"/>
            <w:vMerge/>
            <w:vAlign w:val="center"/>
          </w:tcPr>
          <w:p w14:paraId="77D351C1" w14:textId="77777777" w:rsidR="007F3128" w:rsidRPr="00F658A6" w:rsidRDefault="007F3128" w:rsidP="00F608A7">
            <w:pPr>
              <w:jc w:val="left"/>
              <w:rPr>
                <w:sz w:val="16"/>
                <w:szCs w:val="16"/>
              </w:rPr>
            </w:pPr>
          </w:p>
        </w:tc>
        <w:tc>
          <w:tcPr>
            <w:tcW w:w="2950" w:type="dxa"/>
            <w:vMerge/>
            <w:vAlign w:val="center"/>
          </w:tcPr>
          <w:p w14:paraId="00F45C8B" w14:textId="77777777" w:rsidR="007F3128" w:rsidRPr="00F658A6" w:rsidRDefault="007F3128" w:rsidP="00F608A7">
            <w:pPr>
              <w:jc w:val="left"/>
              <w:rPr>
                <w:sz w:val="16"/>
                <w:szCs w:val="16"/>
              </w:rPr>
            </w:pPr>
          </w:p>
        </w:tc>
        <w:tc>
          <w:tcPr>
            <w:tcW w:w="567" w:type="dxa"/>
            <w:vAlign w:val="center"/>
          </w:tcPr>
          <w:p w14:paraId="398EE48A"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9E243C6" w14:textId="77777777" w:rsidR="007F3128" w:rsidRPr="00F658A6" w:rsidRDefault="007F3128" w:rsidP="00F608A7">
            <w:pPr>
              <w:tabs>
                <w:tab w:val="left" w:pos="1277"/>
              </w:tabs>
              <w:jc w:val="left"/>
              <w:rPr>
                <w:sz w:val="16"/>
                <w:szCs w:val="16"/>
              </w:rPr>
            </w:pPr>
            <w:r w:rsidRPr="00F658A6">
              <w:rPr>
                <w:sz w:val="16"/>
                <w:szCs w:val="16"/>
              </w:rPr>
              <w:t>Erick Jonás Sánchez (Padre de sus hijas, fallecido)</w:t>
            </w:r>
          </w:p>
        </w:tc>
      </w:tr>
      <w:tr w:rsidR="007F3128" w:rsidRPr="00F658A6" w14:paraId="6BF4DE5B" w14:textId="77777777" w:rsidTr="00F608A7">
        <w:tc>
          <w:tcPr>
            <w:tcW w:w="560" w:type="dxa"/>
            <w:gridSpan w:val="2"/>
            <w:vMerge/>
            <w:vAlign w:val="center"/>
          </w:tcPr>
          <w:p w14:paraId="411CC9E8" w14:textId="77777777" w:rsidR="007F3128" w:rsidRPr="00F658A6" w:rsidRDefault="007F3128" w:rsidP="00F608A7">
            <w:pPr>
              <w:jc w:val="left"/>
              <w:rPr>
                <w:sz w:val="16"/>
                <w:szCs w:val="16"/>
              </w:rPr>
            </w:pPr>
          </w:p>
        </w:tc>
        <w:tc>
          <w:tcPr>
            <w:tcW w:w="2950" w:type="dxa"/>
            <w:vMerge/>
            <w:vAlign w:val="center"/>
          </w:tcPr>
          <w:p w14:paraId="087AA73F" w14:textId="77777777" w:rsidR="007F3128" w:rsidRPr="00F658A6" w:rsidRDefault="007F3128" w:rsidP="00F608A7">
            <w:pPr>
              <w:jc w:val="left"/>
              <w:rPr>
                <w:sz w:val="16"/>
                <w:szCs w:val="16"/>
              </w:rPr>
            </w:pPr>
          </w:p>
        </w:tc>
        <w:tc>
          <w:tcPr>
            <w:tcW w:w="567" w:type="dxa"/>
            <w:vAlign w:val="center"/>
          </w:tcPr>
          <w:p w14:paraId="646EC6D2"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08CE4334" w14:textId="77777777" w:rsidR="007F3128" w:rsidRPr="00F658A6" w:rsidRDefault="007F3128" w:rsidP="00F608A7">
            <w:pPr>
              <w:tabs>
                <w:tab w:val="left" w:pos="1277"/>
              </w:tabs>
              <w:jc w:val="left"/>
              <w:rPr>
                <w:sz w:val="16"/>
                <w:szCs w:val="16"/>
              </w:rPr>
            </w:pPr>
            <w:r w:rsidRPr="00F658A6">
              <w:rPr>
                <w:sz w:val="16"/>
                <w:szCs w:val="16"/>
              </w:rPr>
              <w:t>Moisés Israel Rodas López (Padre)</w:t>
            </w:r>
          </w:p>
        </w:tc>
      </w:tr>
      <w:tr w:rsidR="007F3128" w:rsidRPr="00F658A6" w14:paraId="6F89E1CC" w14:textId="77777777" w:rsidTr="00F608A7">
        <w:tc>
          <w:tcPr>
            <w:tcW w:w="560" w:type="dxa"/>
            <w:gridSpan w:val="2"/>
            <w:vMerge/>
            <w:vAlign w:val="center"/>
          </w:tcPr>
          <w:p w14:paraId="2C03394D" w14:textId="77777777" w:rsidR="007F3128" w:rsidRPr="00F658A6" w:rsidRDefault="007F3128" w:rsidP="00F608A7">
            <w:pPr>
              <w:jc w:val="left"/>
              <w:rPr>
                <w:sz w:val="16"/>
                <w:szCs w:val="16"/>
              </w:rPr>
            </w:pPr>
          </w:p>
        </w:tc>
        <w:tc>
          <w:tcPr>
            <w:tcW w:w="2950" w:type="dxa"/>
            <w:vMerge/>
            <w:vAlign w:val="center"/>
          </w:tcPr>
          <w:p w14:paraId="12BA1C90" w14:textId="77777777" w:rsidR="007F3128" w:rsidRPr="00F658A6" w:rsidRDefault="007F3128" w:rsidP="00F608A7">
            <w:pPr>
              <w:jc w:val="left"/>
              <w:rPr>
                <w:sz w:val="16"/>
                <w:szCs w:val="16"/>
              </w:rPr>
            </w:pPr>
          </w:p>
        </w:tc>
        <w:tc>
          <w:tcPr>
            <w:tcW w:w="567" w:type="dxa"/>
            <w:vAlign w:val="center"/>
          </w:tcPr>
          <w:p w14:paraId="08E66EC6"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B3446B9" w14:textId="77777777" w:rsidR="007F3128" w:rsidRPr="00F658A6" w:rsidRDefault="007F3128" w:rsidP="00F608A7">
            <w:pPr>
              <w:tabs>
                <w:tab w:val="left" w:pos="1277"/>
              </w:tabs>
              <w:jc w:val="left"/>
              <w:rPr>
                <w:sz w:val="16"/>
                <w:szCs w:val="16"/>
              </w:rPr>
            </w:pPr>
            <w:r w:rsidRPr="00F658A6">
              <w:rPr>
                <w:sz w:val="16"/>
                <w:szCs w:val="16"/>
              </w:rPr>
              <w:t>Eiselda de Jesús Mazariegos de Rodas (Madre)</w:t>
            </w:r>
          </w:p>
        </w:tc>
      </w:tr>
      <w:tr w:rsidR="007F3128" w:rsidRPr="00F658A6" w14:paraId="4FC51155" w14:textId="77777777" w:rsidTr="00F608A7">
        <w:tc>
          <w:tcPr>
            <w:tcW w:w="560" w:type="dxa"/>
            <w:gridSpan w:val="2"/>
            <w:vMerge/>
            <w:vAlign w:val="center"/>
          </w:tcPr>
          <w:p w14:paraId="17A850F7" w14:textId="77777777" w:rsidR="007F3128" w:rsidRPr="00F658A6" w:rsidRDefault="007F3128" w:rsidP="00F608A7">
            <w:pPr>
              <w:jc w:val="left"/>
              <w:rPr>
                <w:sz w:val="16"/>
                <w:szCs w:val="16"/>
              </w:rPr>
            </w:pPr>
          </w:p>
        </w:tc>
        <w:tc>
          <w:tcPr>
            <w:tcW w:w="2950" w:type="dxa"/>
            <w:vMerge/>
            <w:vAlign w:val="center"/>
          </w:tcPr>
          <w:p w14:paraId="2F36BEF7" w14:textId="77777777" w:rsidR="007F3128" w:rsidRPr="00F658A6" w:rsidRDefault="007F3128" w:rsidP="00F608A7">
            <w:pPr>
              <w:jc w:val="left"/>
              <w:rPr>
                <w:sz w:val="16"/>
                <w:szCs w:val="16"/>
              </w:rPr>
            </w:pPr>
          </w:p>
        </w:tc>
        <w:tc>
          <w:tcPr>
            <w:tcW w:w="567" w:type="dxa"/>
            <w:vAlign w:val="center"/>
          </w:tcPr>
          <w:p w14:paraId="6248DC26"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20329684" w14:textId="77777777" w:rsidR="007F3128" w:rsidRPr="00F658A6" w:rsidRDefault="007F3128" w:rsidP="00F608A7">
            <w:pPr>
              <w:tabs>
                <w:tab w:val="left" w:pos="1277"/>
              </w:tabs>
              <w:jc w:val="left"/>
              <w:rPr>
                <w:sz w:val="16"/>
                <w:szCs w:val="16"/>
              </w:rPr>
            </w:pPr>
            <w:r w:rsidRPr="00F658A6">
              <w:rPr>
                <w:sz w:val="16"/>
                <w:szCs w:val="16"/>
              </w:rPr>
              <w:t>Edilma Evelina Barrios (Hija)</w:t>
            </w:r>
          </w:p>
        </w:tc>
      </w:tr>
      <w:tr w:rsidR="007F3128" w:rsidRPr="00F658A6" w14:paraId="0C150700" w14:textId="77777777" w:rsidTr="00F608A7">
        <w:tc>
          <w:tcPr>
            <w:tcW w:w="560" w:type="dxa"/>
            <w:gridSpan w:val="2"/>
            <w:vMerge/>
            <w:vAlign w:val="center"/>
          </w:tcPr>
          <w:p w14:paraId="5636B960" w14:textId="77777777" w:rsidR="007F3128" w:rsidRPr="00F658A6" w:rsidRDefault="007F3128" w:rsidP="00F608A7">
            <w:pPr>
              <w:jc w:val="left"/>
              <w:rPr>
                <w:sz w:val="16"/>
                <w:szCs w:val="16"/>
              </w:rPr>
            </w:pPr>
          </w:p>
        </w:tc>
        <w:tc>
          <w:tcPr>
            <w:tcW w:w="2950" w:type="dxa"/>
            <w:vMerge/>
            <w:vAlign w:val="center"/>
          </w:tcPr>
          <w:p w14:paraId="0C728D5E" w14:textId="77777777" w:rsidR="007F3128" w:rsidRPr="00F658A6" w:rsidRDefault="007F3128" w:rsidP="00F608A7">
            <w:pPr>
              <w:jc w:val="left"/>
              <w:rPr>
                <w:sz w:val="16"/>
                <w:szCs w:val="16"/>
              </w:rPr>
            </w:pPr>
          </w:p>
        </w:tc>
        <w:tc>
          <w:tcPr>
            <w:tcW w:w="567" w:type="dxa"/>
            <w:vAlign w:val="center"/>
          </w:tcPr>
          <w:p w14:paraId="21A5FB6F"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77AB9236" w14:textId="77777777" w:rsidR="007F3128" w:rsidRPr="00F658A6" w:rsidRDefault="007F3128" w:rsidP="00F608A7">
            <w:pPr>
              <w:tabs>
                <w:tab w:val="left" w:pos="1277"/>
              </w:tabs>
              <w:jc w:val="left"/>
              <w:rPr>
                <w:sz w:val="16"/>
                <w:szCs w:val="16"/>
              </w:rPr>
            </w:pPr>
            <w:r w:rsidRPr="00F658A6">
              <w:rPr>
                <w:sz w:val="16"/>
                <w:szCs w:val="16"/>
              </w:rPr>
              <w:t>Darlin Sureima Barrios (Hija)</w:t>
            </w:r>
          </w:p>
        </w:tc>
      </w:tr>
      <w:tr w:rsidR="007F3128" w:rsidRPr="00F658A6" w14:paraId="281DC349" w14:textId="77777777" w:rsidTr="00F608A7">
        <w:tc>
          <w:tcPr>
            <w:tcW w:w="560" w:type="dxa"/>
            <w:gridSpan w:val="2"/>
            <w:vMerge/>
            <w:vAlign w:val="center"/>
          </w:tcPr>
          <w:p w14:paraId="1DBA3556" w14:textId="77777777" w:rsidR="007F3128" w:rsidRPr="00F658A6" w:rsidRDefault="007F3128" w:rsidP="00F608A7">
            <w:pPr>
              <w:jc w:val="left"/>
              <w:rPr>
                <w:sz w:val="16"/>
                <w:szCs w:val="16"/>
              </w:rPr>
            </w:pPr>
          </w:p>
        </w:tc>
        <w:tc>
          <w:tcPr>
            <w:tcW w:w="2950" w:type="dxa"/>
            <w:vMerge/>
            <w:vAlign w:val="center"/>
          </w:tcPr>
          <w:p w14:paraId="0B9CEFC6" w14:textId="77777777" w:rsidR="007F3128" w:rsidRPr="00F658A6" w:rsidRDefault="007F3128" w:rsidP="00F608A7">
            <w:pPr>
              <w:jc w:val="left"/>
              <w:rPr>
                <w:sz w:val="16"/>
                <w:szCs w:val="16"/>
              </w:rPr>
            </w:pPr>
          </w:p>
        </w:tc>
        <w:tc>
          <w:tcPr>
            <w:tcW w:w="567" w:type="dxa"/>
            <w:vAlign w:val="center"/>
          </w:tcPr>
          <w:p w14:paraId="1EA73601"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0FCF8B40" w14:textId="77777777" w:rsidR="007F3128" w:rsidRPr="00F658A6" w:rsidRDefault="007F3128" w:rsidP="00F608A7">
            <w:pPr>
              <w:tabs>
                <w:tab w:val="left" w:pos="1277"/>
              </w:tabs>
              <w:jc w:val="left"/>
              <w:rPr>
                <w:sz w:val="16"/>
                <w:szCs w:val="16"/>
              </w:rPr>
            </w:pPr>
            <w:r w:rsidRPr="00F658A6">
              <w:rPr>
                <w:sz w:val="16"/>
                <w:szCs w:val="16"/>
              </w:rPr>
              <w:t>Kendi Liserli Barrios (Hija)</w:t>
            </w:r>
          </w:p>
        </w:tc>
      </w:tr>
      <w:tr w:rsidR="007F3128" w:rsidRPr="00F658A6" w14:paraId="6525D43E" w14:textId="77777777" w:rsidTr="00F608A7">
        <w:tc>
          <w:tcPr>
            <w:tcW w:w="560" w:type="dxa"/>
            <w:gridSpan w:val="2"/>
            <w:vMerge/>
            <w:vAlign w:val="center"/>
          </w:tcPr>
          <w:p w14:paraId="18D9815E" w14:textId="77777777" w:rsidR="007F3128" w:rsidRPr="00F658A6" w:rsidRDefault="007F3128" w:rsidP="00F608A7">
            <w:pPr>
              <w:jc w:val="left"/>
              <w:rPr>
                <w:sz w:val="16"/>
                <w:szCs w:val="16"/>
              </w:rPr>
            </w:pPr>
          </w:p>
        </w:tc>
        <w:tc>
          <w:tcPr>
            <w:tcW w:w="2950" w:type="dxa"/>
            <w:vMerge/>
            <w:vAlign w:val="center"/>
          </w:tcPr>
          <w:p w14:paraId="6B44AF50" w14:textId="77777777" w:rsidR="007F3128" w:rsidRPr="00F658A6" w:rsidRDefault="007F3128" w:rsidP="00F608A7">
            <w:pPr>
              <w:jc w:val="left"/>
              <w:rPr>
                <w:sz w:val="16"/>
                <w:szCs w:val="16"/>
              </w:rPr>
            </w:pPr>
          </w:p>
        </w:tc>
        <w:tc>
          <w:tcPr>
            <w:tcW w:w="567" w:type="dxa"/>
            <w:vAlign w:val="center"/>
          </w:tcPr>
          <w:p w14:paraId="45068ACC"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27077BD1" w14:textId="77777777" w:rsidR="007F3128" w:rsidRPr="00F658A6" w:rsidRDefault="007F3128" w:rsidP="00F608A7">
            <w:pPr>
              <w:tabs>
                <w:tab w:val="left" w:pos="1277"/>
              </w:tabs>
              <w:jc w:val="left"/>
              <w:rPr>
                <w:sz w:val="16"/>
                <w:szCs w:val="16"/>
              </w:rPr>
            </w:pPr>
            <w:r w:rsidRPr="00F658A6">
              <w:rPr>
                <w:sz w:val="16"/>
                <w:szCs w:val="16"/>
              </w:rPr>
              <w:t>Noret Adali Barrios (Hija)</w:t>
            </w:r>
          </w:p>
        </w:tc>
      </w:tr>
      <w:tr w:rsidR="007F3128" w:rsidRPr="00F658A6" w14:paraId="2886AF99" w14:textId="77777777" w:rsidTr="00F608A7">
        <w:tc>
          <w:tcPr>
            <w:tcW w:w="560" w:type="dxa"/>
            <w:gridSpan w:val="2"/>
            <w:vMerge w:val="restart"/>
            <w:vAlign w:val="center"/>
          </w:tcPr>
          <w:p w14:paraId="774C4E20" w14:textId="77777777" w:rsidR="007F3128" w:rsidRPr="00F658A6" w:rsidRDefault="007F3128" w:rsidP="00F608A7">
            <w:pPr>
              <w:jc w:val="left"/>
              <w:rPr>
                <w:sz w:val="16"/>
                <w:szCs w:val="16"/>
              </w:rPr>
            </w:pPr>
            <w:r w:rsidRPr="00F658A6">
              <w:rPr>
                <w:sz w:val="16"/>
                <w:szCs w:val="16"/>
              </w:rPr>
              <w:t>23</w:t>
            </w:r>
          </w:p>
        </w:tc>
        <w:tc>
          <w:tcPr>
            <w:tcW w:w="2950" w:type="dxa"/>
            <w:vMerge w:val="restart"/>
            <w:vAlign w:val="center"/>
          </w:tcPr>
          <w:p w14:paraId="455E0847" w14:textId="44F82CE9" w:rsidR="007F3128" w:rsidRPr="00F658A6" w:rsidRDefault="007F3128" w:rsidP="00F608A7">
            <w:pPr>
              <w:jc w:val="left"/>
              <w:rPr>
                <w:sz w:val="16"/>
                <w:szCs w:val="16"/>
              </w:rPr>
            </w:pPr>
            <w:r w:rsidRPr="00F658A6">
              <w:rPr>
                <w:sz w:val="16"/>
                <w:szCs w:val="16"/>
              </w:rPr>
              <w:t>Felix de Jesús Cabrera Morales</w:t>
            </w:r>
          </w:p>
        </w:tc>
        <w:tc>
          <w:tcPr>
            <w:tcW w:w="567" w:type="dxa"/>
            <w:vAlign w:val="center"/>
          </w:tcPr>
          <w:p w14:paraId="43705FCA"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4917939C" w14:textId="1124A5B9" w:rsidR="007F3128" w:rsidRPr="00F658A6" w:rsidRDefault="0093475B" w:rsidP="00F608A7">
            <w:pPr>
              <w:tabs>
                <w:tab w:val="left" w:pos="1277"/>
              </w:tabs>
              <w:jc w:val="left"/>
              <w:rPr>
                <w:sz w:val="16"/>
                <w:szCs w:val="16"/>
              </w:rPr>
            </w:pPr>
            <w:r w:rsidRPr="00F658A6">
              <w:rPr>
                <w:sz w:val="16"/>
                <w:szCs w:val="16"/>
              </w:rPr>
              <w:t>Ma</w:t>
            </w:r>
            <w:r w:rsidR="007F3128" w:rsidRPr="00F658A6">
              <w:rPr>
                <w:sz w:val="16"/>
                <w:szCs w:val="16"/>
              </w:rPr>
              <w:t>villa Ester Morales Agustín (Madre)</w:t>
            </w:r>
          </w:p>
        </w:tc>
      </w:tr>
      <w:tr w:rsidR="007F3128" w:rsidRPr="00F658A6" w14:paraId="75BED1C4" w14:textId="77777777" w:rsidTr="00F608A7">
        <w:tc>
          <w:tcPr>
            <w:tcW w:w="560" w:type="dxa"/>
            <w:gridSpan w:val="2"/>
            <w:vMerge/>
            <w:vAlign w:val="center"/>
          </w:tcPr>
          <w:p w14:paraId="520B57F3" w14:textId="77777777" w:rsidR="007F3128" w:rsidRPr="00F658A6" w:rsidRDefault="007F3128" w:rsidP="00F608A7">
            <w:pPr>
              <w:jc w:val="left"/>
              <w:rPr>
                <w:sz w:val="16"/>
                <w:szCs w:val="16"/>
              </w:rPr>
            </w:pPr>
          </w:p>
        </w:tc>
        <w:tc>
          <w:tcPr>
            <w:tcW w:w="2950" w:type="dxa"/>
            <w:vMerge/>
            <w:vAlign w:val="center"/>
          </w:tcPr>
          <w:p w14:paraId="1839D72D" w14:textId="77777777" w:rsidR="007F3128" w:rsidRPr="00F658A6" w:rsidRDefault="007F3128" w:rsidP="00F608A7">
            <w:pPr>
              <w:jc w:val="left"/>
              <w:rPr>
                <w:sz w:val="16"/>
                <w:szCs w:val="16"/>
              </w:rPr>
            </w:pPr>
          </w:p>
        </w:tc>
        <w:tc>
          <w:tcPr>
            <w:tcW w:w="567" w:type="dxa"/>
            <w:vAlign w:val="center"/>
          </w:tcPr>
          <w:p w14:paraId="7E00A146"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79380904" w14:textId="77777777" w:rsidR="007F3128" w:rsidRPr="00F658A6" w:rsidRDefault="007F3128" w:rsidP="00F608A7">
            <w:pPr>
              <w:tabs>
                <w:tab w:val="left" w:pos="1277"/>
              </w:tabs>
              <w:jc w:val="left"/>
              <w:rPr>
                <w:sz w:val="16"/>
                <w:szCs w:val="16"/>
              </w:rPr>
            </w:pPr>
            <w:r w:rsidRPr="00F658A6">
              <w:rPr>
                <w:sz w:val="16"/>
                <w:szCs w:val="16"/>
              </w:rPr>
              <w:t>Juan Pablo Cabrera Gatica (Padre)</w:t>
            </w:r>
          </w:p>
        </w:tc>
      </w:tr>
      <w:tr w:rsidR="007F3128" w:rsidRPr="00F658A6" w14:paraId="6DFBC133" w14:textId="77777777" w:rsidTr="00F608A7">
        <w:tc>
          <w:tcPr>
            <w:tcW w:w="560" w:type="dxa"/>
            <w:gridSpan w:val="2"/>
            <w:vMerge/>
            <w:vAlign w:val="center"/>
          </w:tcPr>
          <w:p w14:paraId="34823B06" w14:textId="77777777" w:rsidR="007F3128" w:rsidRPr="00F658A6" w:rsidRDefault="007F3128" w:rsidP="00F608A7">
            <w:pPr>
              <w:jc w:val="left"/>
              <w:rPr>
                <w:sz w:val="16"/>
                <w:szCs w:val="16"/>
              </w:rPr>
            </w:pPr>
          </w:p>
        </w:tc>
        <w:tc>
          <w:tcPr>
            <w:tcW w:w="2950" w:type="dxa"/>
            <w:vMerge/>
            <w:vAlign w:val="center"/>
          </w:tcPr>
          <w:p w14:paraId="031F2189" w14:textId="77777777" w:rsidR="007F3128" w:rsidRPr="00F658A6" w:rsidRDefault="007F3128" w:rsidP="00F608A7">
            <w:pPr>
              <w:jc w:val="left"/>
              <w:rPr>
                <w:sz w:val="16"/>
                <w:szCs w:val="16"/>
              </w:rPr>
            </w:pPr>
          </w:p>
        </w:tc>
        <w:tc>
          <w:tcPr>
            <w:tcW w:w="567" w:type="dxa"/>
            <w:vAlign w:val="center"/>
          </w:tcPr>
          <w:p w14:paraId="5C563BC4"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33FB47B" w14:textId="77777777" w:rsidR="007F3128" w:rsidRPr="00F658A6" w:rsidRDefault="007F3128" w:rsidP="00F608A7">
            <w:pPr>
              <w:tabs>
                <w:tab w:val="left" w:pos="1277"/>
              </w:tabs>
              <w:jc w:val="left"/>
              <w:rPr>
                <w:sz w:val="16"/>
                <w:szCs w:val="16"/>
              </w:rPr>
            </w:pPr>
            <w:r w:rsidRPr="00F658A6">
              <w:rPr>
                <w:sz w:val="16"/>
                <w:szCs w:val="16"/>
              </w:rPr>
              <w:t>Jesús Alberto González Cabrera (Hijo)</w:t>
            </w:r>
          </w:p>
        </w:tc>
      </w:tr>
      <w:tr w:rsidR="007F3128" w:rsidRPr="00F658A6" w14:paraId="5194C8B3" w14:textId="77777777" w:rsidTr="00F608A7">
        <w:tc>
          <w:tcPr>
            <w:tcW w:w="560" w:type="dxa"/>
            <w:gridSpan w:val="2"/>
            <w:vMerge w:val="restart"/>
            <w:vAlign w:val="center"/>
          </w:tcPr>
          <w:p w14:paraId="6E2FBEBB" w14:textId="77777777" w:rsidR="007F3128" w:rsidRPr="00F658A6" w:rsidRDefault="007F3128" w:rsidP="00F608A7">
            <w:pPr>
              <w:jc w:val="left"/>
              <w:rPr>
                <w:sz w:val="16"/>
                <w:szCs w:val="16"/>
              </w:rPr>
            </w:pPr>
            <w:r w:rsidRPr="00F658A6">
              <w:rPr>
                <w:sz w:val="16"/>
                <w:szCs w:val="16"/>
              </w:rPr>
              <w:t>24</w:t>
            </w:r>
          </w:p>
        </w:tc>
        <w:tc>
          <w:tcPr>
            <w:tcW w:w="2950" w:type="dxa"/>
            <w:vMerge w:val="restart"/>
            <w:vAlign w:val="center"/>
          </w:tcPr>
          <w:p w14:paraId="38B4F9DB" w14:textId="7FDFBE15" w:rsidR="007F3128" w:rsidRPr="00F658A6" w:rsidRDefault="0022189F" w:rsidP="00F608A7">
            <w:pPr>
              <w:jc w:val="left"/>
              <w:rPr>
                <w:sz w:val="16"/>
                <w:szCs w:val="16"/>
              </w:rPr>
            </w:pPr>
            <w:r w:rsidRPr="00F658A6">
              <w:rPr>
                <w:sz w:val="16"/>
                <w:szCs w:val="16"/>
              </w:rPr>
              <w:t>Cé</w:t>
            </w:r>
            <w:r w:rsidR="007F3128" w:rsidRPr="00F658A6">
              <w:rPr>
                <w:sz w:val="16"/>
                <w:szCs w:val="16"/>
              </w:rPr>
              <w:t>sar Noé Cancinos Gómez</w:t>
            </w:r>
          </w:p>
        </w:tc>
        <w:tc>
          <w:tcPr>
            <w:tcW w:w="567" w:type="dxa"/>
            <w:vAlign w:val="center"/>
          </w:tcPr>
          <w:p w14:paraId="11E20C05"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7F3DDE8" w14:textId="77777777" w:rsidR="007F3128" w:rsidRPr="00F658A6" w:rsidRDefault="007F3128" w:rsidP="00F608A7">
            <w:pPr>
              <w:tabs>
                <w:tab w:val="left" w:pos="1277"/>
              </w:tabs>
              <w:jc w:val="left"/>
              <w:rPr>
                <w:sz w:val="16"/>
                <w:szCs w:val="16"/>
              </w:rPr>
            </w:pPr>
            <w:r w:rsidRPr="00F658A6">
              <w:rPr>
                <w:sz w:val="16"/>
                <w:szCs w:val="16"/>
              </w:rPr>
              <w:t>Irma Leticia Vicente Morales (Esposa)</w:t>
            </w:r>
          </w:p>
        </w:tc>
      </w:tr>
      <w:tr w:rsidR="007F3128" w:rsidRPr="00F658A6" w14:paraId="61D494C3" w14:textId="77777777" w:rsidTr="00F608A7">
        <w:tc>
          <w:tcPr>
            <w:tcW w:w="560" w:type="dxa"/>
            <w:gridSpan w:val="2"/>
            <w:vMerge/>
            <w:vAlign w:val="center"/>
          </w:tcPr>
          <w:p w14:paraId="53E45670" w14:textId="77777777" w:rsidR="007F3128" w:rsidRPr="00F658A6" w:rsidRDefault="007F3128" w:rsidP="00F608A7">
            <w:pPr>
              <w:jc w:val="left"/>
              <w:rPr>
                <w:sz w:val="16"/>
                <w:szCs w:val="16"/>
              </w:rPr>
            </w:pPr>
          </w:p>
        </w:tc>
        <w:tc>
          <w:tcPr>
            <w:tcW w:w="2950" w:type="dxa"/>
            <w:vMerge/>
            <w:vAlign w:val="center"/>
          </w:tcPr>
          <w:p w14:paraId="79D4F79A" w14:textId="77777777" w:rsidR="007F3128" w:rsidRPr="00F658A6" w:rsidRDefault="007F3128" w:rsidP="00F608A7">
            <w:pPr>
              <w:jc w:val="left"/>
              <w:rPr>
                <w:sz w:val="16"/>
                <w:szCs w:val="16"/>
              </w:rPr>
            </w:pPr>
          </w:p>
        </w:tc>
        <w:tc>
          <w:tcPr>
            <w:tcW w:w="567" w:type="dxa"/>
            <w:vAlign w:val="center"/>
          </w:tcPr>
          <w:p w14:paraId="7A2BC4E1"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7C2CE831" w14:textId="77777777" w:rsidR="007F3128" w:rsidRPr="00F658A6" w:rsidRDefault="007F3128" w:rsidP="00F608A7">
            <w:pPr>
              <w:tabs>
                <w:tab w:val="left" w:pos="1277"/>
              </w:tabs>
              <w:jc w:val="left"/>
              <w:rPr>
                <w:sz w:val="16"/>
                <w:szCs w:val="16"/>
              </w:rPr>
            </w:pPr>
            <w:r w:rsidRPr="00F658A6">
              <w:rPr>
                <w:sz w:val="16"/>
                <w:szCs w:val="16"/>
              </w:rPr>
              <w:t>César Antonio Cancinos Vicente (Hijo)</w:t>
            </w:r>
          </w:p>
        </w:tc>
      </w:tr>
      <w:tr w:rsidR="007F3128" w:rsidRPr="00F658A6" w14:paraId="31187556" w14:textId="77777777" w:rsidTr="00F608A7">
        <w:tc>
          <w:tcPr>
            <w:tcW w:w="560" w:type="dxa"/>
            <w:gridSpan w:val="2"/>
            <w:vMerge/>
            <w:vAlign w:val="center"/>
          </w:tcPr>
          <w:p w14:paraId="335BEB83" w14:textId="77777777" w:rsidR="007F3128" w:rsidRPr="00F658A6" w:rsidRDefault="007F3128" w:rsidP="00F608A7">
            <w:pPr>
              <w:jc w:val="left"/>
              <w:rPr>
                <w:sz w:val="16"/>
                <w:szCs w:val="16"/>
              </w:rPr>
            </w:pPr>
          </w:p>
        </w:tc>
        <w:tc>
          <w:tcPr>
            <w:tcW w:w="2950" w:type="dxa"/>
            <w:vMerge/>
            <w:vAlign w:val="center"/>
          </w:tcPr>
          <w:p w14:paraId="6866BEEE" w14:textId="77777777" w:rsidR="007F3128" w:rsidRPr="00F658A6" w:rsidRDefault="007F3128" w:rsidP="00F608A7">
            <w:pPr>
              <w:jc w:val="left"/>
              <w:rPr>
                <w:sz w:val="16"/>
                <w:szCs w:val="16"/>
              </w:rPr>
            </w:pPr>
          </w:p>
        </w:tc>
        <w:tc>
          <w:tcPr>
            <w:tcW w:w="567" w:type="dxa"/>
            <w:vAlign w:val="center"/>
          </w:tcPr>
          <w:p w14:paraId="48B78F18"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44F9755E" w14:textId="77777777" w:rsidR="007F3128" w:rsidRPr="00F658A6" w:rsidRDefault="007F3128" w:rsidP="00F608A7">
            <w:pPr>
              <w:tabs>
                <w:tab w:val="left" w:pos="1277"/>
              </w:tabs>
              <w:jc w:val="left"/>
              <w:rPr>
                <w:sz w:val="16"/>
                <w:szCs w:val="16"/>
              </w:rPr>
            </w:pPr>
            <w:r w:rsidRPr="00F658A6">
              <w:rPr>
                <w:sz w:val="16"/>
                <w:szCs w:val="16"/>
              </w:rPr>
              <w:t>Leticia Yamilet Cancinos Vicente (Hija)</w:t>
            </w:r>
          </w:p>
        </w:tc>
      </w:tr>
      <w:tr w:rsidR="007F3128" w:rsidRPr="00F658A6" w14:paraId="341783CD" w14:textId="77777777" w:rsidTr="00F608A7">
        <w:tc>
          <w:tcPr>
            <w:tcW w:w="560" w:type="dxa"/>
            <w:gridSpan w:val="2"/>
            <w:vMerge/>
            <w:vAlign w:val="center"/>
          </w:tcPr>
          <w:p w14:paraId="125A2416" w14:textId="77777777" w:rsidR="007F3128" w:rsidRPr="00F658A6" w:rsidRDefault="007F3128" w:rsidP="00F608A7">
            <w:pPr>
              <w:jc w:val="left"/>
              <w:rPr>
                <w:sz w:val="16"/>
                <w:szCs w:val="16"/>
              </w:rPr>
            </w:pPr>
          </w:p>
        </w:tc>
        <w:tc>
          <w:tcPr>
            <w:tcW w:w="2950" w:type="dxa"/>
            <w:vMerge/>
            <w:vAlign w:val="center"/>
          </w:tcPr>
          <w:p w14:paraId="27270A2E" w14:textId="77777777" w:rsidR="007F3128" w:rsidRPr="00F658A6" w:rsidRDefault="007F3128" w:rsidP="00F608A7">
            <w:pPr>
              <w:jc w:val="left"/>
              <w:rPr>
                <w:sz w:val="16"/>
                <w:szCs w:val="16"/>
              </w:rPr>
            </w:pPr>
          </w:p>
        </w:tc>
        <w:tc>
          <w:tcPr>
            <w:tcW w:w="567" w:type="dxa"/>
            <w:vAlign w:val="center"/>
          </w:tcPr>
          <w:p w14:paraId="1FBE444E"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14F23A6" w14:textId="77777777" w:rsidR="007F3128" w:rsidRPr="00F658A6" w:rsidRDefault="007F3128" w:rsidP="00F608A7">
            <w:pPr>
              <w:tabs>
                <w:tab w:val="left" w:pos="1277"/>
              </w:tabs>
              <w:jc w:val="left"/>
              <w:rPr>
                <w:sz w:val="16"/>
                <w:szCs w:val="16"/>
              </w:rPr>
            </w:pPr>
            <w:r w:rsidRPr="00F658A6">
              <w:rPr>
                <w:sz w:val="16"/>
                <w:szCs w:val="16"/>
              </w:rPr>
              <w:t>Demecio Rogelio Cancinos Díaz (Padre)</w:t>
            </w:r>
          </w:p>
        </w:tc>
      </w:tr>
      <w:tr w:rsidR="007F3128" w:rsidRPr="00F658A6" w14:paraId="05C6D3D6" w14:textId="77777777" w:rsidTr="00F608A7">
        <w:tc>
          <w:tcPr>
            <w:tcW w:w="560" w:type="dxa"/>
            <w:gridSpan w:val="2"/>
            <w:vMerge/>
            <w:vAlign w:val="center"/>
          </w:tcPr>
          <w:p w14:paraId="052829EA" w14:textId="77777777" w:rsidR="007F3128" w:rsidRPr="00F658A6" w:rsidRDefault="007F3128" w:rsidP="00F608A7">
            <w:pPr>
              <w:jc w:val="left"/>
              <w:rPr>
                <w:sz w:val="16"/>
                <w:szCs w:val="16"/>
              </w:rPr>
            </w:pPr>
          </w:p>
        </w:tc>
        <w:tc>
          <w:tcPr>
            <w:tcW w:w="2950" w:type="dxa"/>
            <w:vMerge/>
            <w:vAlign w:val="center"/>
          </w:tcPr>
          <w:p w14:paraId="70DCB2B2" w14:textId="77777777" w:rsidR="007F3128" w:rsidRPr="00F658A6" w:rsidRDefault="007F3128" w:rsidP="00F608A7">
            <w:pPr>
              <w:jc w:val="left"/>
              <w:rPr>
                <w:sz w:val="16"/>
                <w:szCs w:val="16"/>
              </w:rPr>
            </w:pPr>
          </w:p>
        </w:tc>
        <w:tc>
          <w:tcPr>
            <w:tcW w:w="567" w:type="dxa"/>
            <w:vAlign w:val="center"/>
          </w:tcPr>
          <w:p w14:paraId="5DC05BCF"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378F0BDC" w14:textId="77777777" w:rsidR="007F3128" w:rsidRPr="00F658A6" w:rsidRDefault="007F3128" w:rsidP="00F608A7">
            <w:pPr>
              <w:tabs>
                <w:tab w:val="left" w:pos="1277"/>
              </w:tabs>
              <w:jc w:val="left"/>
              <w:rPr>
                <w:sz w:val="16"/>
                <w:szCs w:val="16"/>
              </w:rPr>
            </w:pPr>
            <w:r w:rsidRPr="00F658A6">
              <w:rPr>
                <w:sz w:val="16"/>
                <w:szCs w:val="16"/>
              </w:rPr>
              <w:t>Macedonia Gómez Oxlaj (Madre)</w:t>
            </w:r>
          </w:p>
        </w:tc>
      </w:tr>
      <w:tr w:rsidR="007F3128" w:rsidRPr="00F658A6" w14:paraId="37A524B3" w14:textId="77777777" w:rsidTr="00F608A7">
        <w:tc>
          <w:tcPr>
            <w:tcW w:w="560" w:type="dxa"/>
            <w:gridSpan w:val="2"/>
            <w:vMerge w:val="restart"/>
            <w:vAlign w:val="center"/>
          </w:tcPr>
          <w:p w14:paraId="37B97536" w14:textId="77777777" w:rsidR="007F3128" w:rsidRPr="00F658A6" w:rsidRDefault="007F3128" w:rsidP="00F608A7">
            <w:pPr>
              <w:jc w:val="left"/>
              <w:rPr>
                <w:sz w:val="16"/>
                <w:szCs w:val="16"/>
              </w:rPr>
            </w:pPr>
            <w:r w:rsidRPr="00F658A6">
              <w:rPr>
                <w:sz w:val="16"/>
                <w:szCs w:val="16"/>
              </w:rPr>
              <w:t>25</w:t>
            </w:r>
          </w:p>
        </w:tc>
        <w:tc>
          <w:tcPr>
            <w:tcW w:w="2950" w:type="dxa"/>
            <w:vMerge w:val="restart"/>
            <w:vAlign w:val="center"/>
          </w:tcPr>
          <w:p w14:paraId="60D2627F" w14:textId="458C2ADB" w:rsidR="007F3128" w:rsidRPr="00F658A6" w:rsidRDefault="007F3128" w:rsidP="00F608A7">
            <w:pPr>
              <w:jc w:val="left"/>
              <w:rPr>
                <w:sz w:val="16"/>
                <w:szCs w:val="16"/>
              </w:rPr>
            </w:pPr>
            <w:r w:rsidRPr="00F658A6">
              <w:rPr>
                <w:sz w:val="16"/>
                <w:szCs w:val="16"/>
              </w:rPr>
              <w:t>Aracely Cinto</w:t>
            </w:r>
          </w:p>
        </w:tc>
        <w:tc>
          <w:tcPr>
            <w:tcW w:w="567" w:type="dxa"/>
            <w:vAlign w:val="center"/>
          </w:tcPr>
          <w:p w14:paraId="02197FBA"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745B107" w14:textId="02E1775C" w:rsidR="007F3128" w:rsidRPr="00F658A6" w:rsidRDefault="007F3128" w:rsidP="00F608A7">
            <w:pPr>
              <w:tabs>
                <w:tab w:val="left" w:pos="1277"/>
              </w:tabs>
              <w:jc w:val="left"/>
              <w:rPr>
                <w:sz w:val="16"/>
                <w:szCs w:val="16"/>
              </w:rPr>
            </w:pPr>
            <w:r w:rsidRPr="00F658A6">
              <w:rPr>
                <w:sz w:val="16"/>
                <w:szCs w:val="16"/>
              </w:rPr>
              <w:t>María Teresa</w:t>
            </w:r>
            <w:r w:rsidR="006B7CFB" w:rsidRPr="00F658A6">
              <w:rPr>
                <w:sz w:val="16"/>
                <w:szCs w:val="16"/>
              </w:rPr>
              <w:t xml:space="preserve"> de</w:t>
            </w:r>
            <w:r w:rsidRPr="00F658A6">
              <w:rPr>
                <w:sz w:val="16"/>
                <w:szCs w:val="16"/>
              </w:rPr>
              <w:t xml:space="preserve"> Maldonado Cinto (Madre)</w:t>
            </w:r>
          </w:p>
        </w:tc>
      </w:tr>
      <w:tr w:rsidR="007F3128" w:rsidRPr="00F658A6" w14:paraId="063B8B5B" w14:textId="77777777" w:rsidTr="00F608A7">
        <w:tc>
          <w:tcPr>
            <w:tcW w:w="560" w:type="dxa"/>
            <w:gridSpan w:val="2"/>
            <w:vMerge/>
            <w:vAlign w:val="center"/>
          </w:tcPr>
          <w:p w14:paraId="557DB8A0" w14:textId="77777777" w:rsidR="007F3128" w:rsidRPr="00F658A6" w:rsidRDefault="007F3128" w:rsidP="00F608A7">
            <w:pPr>
              <w:jc w:val="left"/>
              <w:rPr>
                <w:sz w:val="16"/>
                <w:szCs w:val="16"/>
              </w:rPr>
            </w:pPr>
          </w:p>
        </w:tc>
        <w:tc>
          <w:tcPr>
            <w:tcW w:w="2950" w:type="dxa"/>
            <w:vMerge/>
            <w:vAlign w:val="center"/>
          </w:tcPr>
          <w:p w14:paraId="5320A48C" w14:textId="77777777" w:rsidR="007F3128" w:rsidRPr="00F658A6" w:rsidRDefault="007F3128" w:rsidP="00F608A7">
            <w:pPr>
              <w:jc w:val="left"/>
              <w:rPr>
                <w:sz w:val="16"/>
                <w:szCs w:val="16"/>
              </w:rPr>
            </w:pPr>
          </w:p>
        </w:tc>
        <w:tc>
          <w:tcPr>
            <w:tcW w:w="567" w:type="dxa"/>
            <w:vAlign w:val="center"/>
          </w:tcPr>
          <w:p w14:paraId="26556135"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47EF9A2" w14:textId="77777777" w:rsidR="007F3128" w:rsidRPr="00F658A6" w:rsidRDefault="007F3128" w:rsidP="00F608A7">
            <w:pPr>
              <w:tabs>
                <w:tab w:val="left" w:pos="1277"/>
              </w:tabs>
              <w:jc w:val="left"/>
              <w:rPr>
                <w:sz w:val="16"/>
                <w:szCs w:val="16"/>
              </w:rPr>
            </w:pPr>
            <w:r w:rsidRPr="00F658A6">
              <w:rPr>
                <w:sz w:val="16"/>
                <w:szCs w:val="16"/>
              </w:rPr>
              <w:t>Leonel Celestino Mazariegos Cinto (Hijo)</w:t>
            </w:r>
          </w:p>
        </w:tc>
      </w:tr>
      <w:tr w:rsidR="007F3128" w:rsidRPr="00F658A6" w14:paraId="0CA174C8" w14:textId="77777777" w:rsidTr="00F608A7">
        <w:tc>
          <w:tcPr>
            <w:tcW w:w="560" w:type="dxa"/>
            <w:gridSpan w:val="2"/>
            <w:vMerge/>
            <w:vAlign w:val="center"/>
          </w:tcPr>
          <w:p w14:paraId="355DCAD2" w14:textId="77777777" w:rsidR="007F3128" w:rsidRPr="00F658A6" w:rsidRDefault="007F3128" w:rsidP="00F608A7">
            <w:pPr>
              <w:jc w:val="left"/>
              <w:rPr>
                <w:sz w:val="16"/>
                <w:szCs w:val="16"/>
              </w:rPr>
            </w:pPr>
          </w:p>
        </w:tc>
        <w:tc>
          <w:tcPr>
            <w:tcW w:w="2950" w:type="dxa"/>
            <w:vMerge/>
            <w:vAlign w:val="center"/>
          </w:tcPr>
          <w:p w14:paraId="6A3AACEF" w14:textId="77777777" w:rsidR="007F3128" w:rsidRPr="00F658A6" w:rsidRDefault="007F3128" w:rsidP="00F608A7">
            <w:pPr>
              <w:jc w:val="left"/>
              <w:rPr>
                <w:sz w:val="16"/>
                <w:szCs w:val="16"/>
              </w:rPr>
            </w:pPr>
          </w:p>
        </w:tc>
        <w:tc>
          <w:tcPr>
            <w:tcW w:w="567" w:type="dxa"/>
            <w:vAlign w:val="center"/>
          </w:tcPr>
          <w:p w14:paraId="68093413"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441FA248" w14:textId="77777777" w:rsidR="007F3128" w:rsidRPr="00F658A6" w:rsidRDefault="007F3128" w:rsidP="00F608A7">
            <w:pPr>
              <w:tabs>
                <w:tab w:val="left" w:pos="1277"/>
              </w:tabs>
              <w:jc w:val="left"/>
              <w:rPr>
                <w:sz w:val="16"/>
                <w:szCs w:val="16"/>
              </w:rPr>
            </w:pPr>
            <w:r w:rsidRPr="00F658A6">
              <w:rPr>
                <w:sz w:val="16"/>
                <w:szCs w:val="16"/>
              </w:rPr>
              <w:t>Gladys Francisca Mazariegos Cinto (Hija, fallecida)</w:t>
            </w:r>
          </w:p>
        </w:tc>
      </w:tr>
      <w:tr w:rsidR="007F3128" w:rsidRPr="00F658A6" w14:paraId="40979888" w14:textId="77777777" w:rsidTr="00F608A7">
        <w:tc>
          <w:tcPr>
            <w:tcW w:w="560" w:type="dxa"/>
            <w:gridSpan w:val="2"/>
            <w:vMerge/>
            <w:vAlign w:val="center"/>
          </w:tcPr>
          <w:p w14:paraId="2909E138" w14:textId="77777777" w:rsidR="007F3128" w:rsidRPr="00F658A6" w:rsidRDefault="007F3128" w:rsidP="00F608A7">
            <w:pPr>
              <w:jc w:val="left"/>
              <w:rPr>
                <w:sz w:val="16"/>
                <w:szCs w:val="16"/>
              </w:rPr>
            </w:pPr>
          </w:p>
        </w:tc>
        <w:tc>
          <w:tcPr>
            <w:tcW w:w="2950" w:type="dxa"/>
            <w:vMerge/>
            <w:vAlign w:val="center"/>
          </w:tcPr>
          <w:p w14:paraId="7B11DC89" w14:textId="77777777" w:rsidR="007F3128" w:rsidRPr="00F658A6" w:rsidRDefault="007F3128" w:rsidP="00F608A7">
            <w:pPr>
              <w:jc w:val="left"/>
              <w:rPr>
                <w:sz w:val="16"/>
                <w:szCs w:val="16"/>
              </w:rPr>
            </w:pPr>
          </w:p>
        </w:tc>
        <w:tc>
          <w:tcPr>
            <w:tcW w:w="567" w:type="dxa"/>
            <w:vAlign w:val="center"/>
          </w:tcPr>
          <w:p w14:paraId="774660A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1F64A91" w14:textId="77777777" w:rsidR="007F3128" w:rsidRPr="00F658A6" w:rsidRDefault="007F3128" w:rsidP="00F608A7">
            <w:pPr>
              <w:tabs>
                <w:tab w:val="left" w:pos="1277"/>
              </w:tabs>
              <w:jc w:val="left"/>
              <w:rPr>
                <w:sz w:val="16"/>
                <w:szCs w:val="16"/>
              </w:rPr>
            </w:pPr>
            <w:r w:rsidRPr="00F658A6">
              <w:rPr>
                <w:sz w:val="16"/>
                <w:szCs w:val="16"/>
              </w:rPr>
              <w:t>Edwin Amílcar Maldonado Cinto (Hijo)</w:t>
            </w:r>
          </w:p>
        </w:tc>
      </w:tr>
      <w:tr w:rsidR="007F3128" w:rsidRPr="00F658A6" w14:paraId="5BB044BB" w14:textId="77777777" w:rsidTr="00F608A7">
        <w:tc>
          <w:tcPr>
            <w:tcW w:w="560" w:type="dxa"/>
            <w:gridSpan w:val="2"/>
            <w:vMerge w:val="restart"/>
            <w:vAlign w:val="center"/>
          </w:tcPr>
          <w:p w14:paraId="12C37CEA" w14:textId="77777777" w:rsidR="007F3128" w:rsidRPr="00F658A6" w:rsidRDefault="007F3128" w:rsidP="00F608A7">
            <w:pPr>
              <w:jc w:val="left"/>
              <w:rPr>
                <w:sz w:val="16"/>
                <w:szCs w:val="16"/>
              </w:rPr>
            </w:pPr>
            <w:r w:rsidRPr="00F658A6">
              <w:rPr>
                <w:sz w:val="16"/>
                <w:szCs w:val="16"/>
              </w:rPr>
              <w:t>26</w:t>
            </w:r>
          </w:p>
        </w:tc>
        <w:tc>
          <w:tcPr>
            <w:tcW w:w="2950" w:type="dxa"/>
            <w:vMerge w:val="restart"/>
            <w:vAlign w:val="center"/>
          </w:tcPr>
          <w:p w14:paraId="709BD8DF" w14:textId="2D54FDBC" w:rsidR="007F3128" w:rsidRPr="00F658A6" w:rsidRDefault="007F3128" w:rsidP="00F608A7">
            <w:pPr>
              <w:jc w:val="left"/>
              <w:rPr>
                <w:sz w:val="16"/>
                <w:szCs w:val="16"/>
              </w:rPr>
            </w:pPr>
            <w:r w:rsidRPr="00F658A6">
              <w:rPr>
                <w:sz w:val="16"/>
                <w:szCs w:val="16"/>
              </w:rPr>
              <w:t>Luis Rolando Cuscul Pivaral</w:t>
            </w:r>
          </w:p>
        </w:tc>
        <w:tc>
          <w:tcPr>
            <w:tcW w:w="567" w:type="dxa"/>
            <w:vAlign w:val="center"/>
          </w:tcPr>
          <w:p w14:paraId="25DBE83C"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00691DFE" w14:textId="77777777" w:rsidR="007F3128" w:rsidRPr="00F658A6" w:rsidRDefault="007F3128" w:rsidP="00F608A7">
            <w:pPr>
              <w:jc w:val="left"/>
              <w:rPr>
                <w:sz w:val="16"/>
                <w:szCs w:val="16"/>
              </w:rPr>
            </w:pPr>
            <w:r w:rsidRPr="00F658A6">
              <w:rPr>
                <w:sz w:val="16"/>
                <w:szCs w:val="16"/>
              </w:rPr>
              <w:t>María de la Cruz Mundo Zelaya (Madre adoptiva)</w:t>
            </w:r>
          </w:p>
        </w:tc>
      </w:tr>
      <w:tr w:rsidR="007F3128" w:rsidRPr="00F658A6" w14:paraId="58EE32B2" w14:textId="77777777" w:rsidTr="00F608A7">
        <w:tc>
          <w:tcPr>
            <w:tcW w:w="560" w:type="dxa"/>
            <w:gridSpan w:val="2"/>
            <w:vMerge/>
            <w:vAlign w:val="center"/>
          </w:tcPr>
          <w:p w14:paraId="1449A144" w14:textId="77777777" w:rsidR="007F3128" w:rsidRPr="00F658A6" w:rsidRDefault="007F3128" w:rsidP="00F608A7">
            <w:pPr>
              <w:jc w:val="left"/>
              <w:rPr>
                <w:sz w:val="16"/>
                <w:szCs w:val="16"/>
              </w:rPr>
            </w:pPr>
          </w:p>
        </w:tc>
        <w:tc>
          <w:tcPr>
            <w:tcW w:w="2950" w:type="dxa"/>
            <w:vMerge/>
            <w:vAlign w:val="center"/>
          </w:tcPr>
          <w:p w14:paraId="67BC5BB5" w14:textId="77777777" w:rsidR="007F3128" w:rsidRPr="00F658A6" w:rsidRDefault="007F3128" w:rsidP="00F608A7">
            <w:pPr>
              <w:jc w:val="left"/>
              <w:rPr>
                <w:sz w:val="16"/>
                <w:szCs w:val="16"/>
              </w:rPr>
            </w:pPr>
          </w:p>
        </w:tc>
        <w:tc>
          <w:tcPr>
            <w:tcW w:w="567" w:type="dxa"/>
            <w:vAlign w:val="center"/>
          </w:tcPr>
          <w:p w14:paraId="40171CD3"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51B99DF9" w14:textId="290CD652" w:rsidR="007F3128" w:rsidRPr="00F658A6" w:rsidRDefault="00703CA3" w:rsidP="00F608A7">
            <w:pPr>
              <w:jc w:val="left"/>
              <w:rPr>
                <w:sz w:val="16"/>
                <w:szCs w:val="16"/>
              </w:rPr>
            </w:pPr>
            <w:r>
              <w:rPr>
                <w:sz w:val="16"/>
                <w:szCs w:val="16"/>
              </w:rPr>
              <w:t>Pareja sentimental (Persona</w:t>
            </w:r>
            <w:r w:rsidR="007F3128" w:rsidRPr="00F658A6">
              <w:rPr>
                <w:sz w:val="16"/>
                <w:szCs w:val="16"/>
              </w:rPr>
              <w:t xml:space="preserve"> fallecida)</w:t>
            </w:r>
          </w:p>
        </w:tc>
      </w:tr>
      <w:tr w:rsidR="007F3128" w:rsidRPr="00F658A6" w14:paraId="06032B1E" w14:textId="77777777" w:rsidTr="00F608A7">
        <w:tc>
          <w:tcPr>
            <w:tcW w:w="560" w:type="dxa"/>
            <w:gridSpan w:val="2"/>
            <w:vMerge/>
            <w:vAlign w:val="center"/>
          </w:tcPr>
          <w:p w14:paraId="451BBD51" w14:textId="77777777" w:rsidR="007F3128" w:rsidRPr="00F658A6" w:rsidRDefault="007F3128" w:rsidP="00F608A7">
            <w:pPr>
              <w:jc w:val="left"/>
              <w:rPr>
                <w:sz w:val="16"/>
                <w:szCs w:val="16"/>
              </w:rPr>
            </w:pPr>
          </w:p>
        </w:tc>
        <w:tc>
          <w:tcPr>
            <w:tcW w:w="2950" w:type="dxa"/>
            <w:vMerge/>
            <w:vAlign w:val="center"/>
          </w:tcPr>
          <w:p w14:paraId="543AA06B" w14:textId="77777777" w:rsidR="007F3128" w:rsidRPr="00F658A6" w:rsidRDefault="007F3128" w:rsidP="00F608A7">
            <w:pPr>
              <w:jc w:val="left"/>
              <w:rPr>
                <w:sz w:val="16"/>
                <w:szCs w:val="16"/>
              </w:rPr>
            </w:pPr>
          </w:p>
        </w:tc>
        <w:tc>
          <w:tcPr>
            <w:tcW w:w="567" w:type="dxa"/>
            <w:vAlign w:val="center"/>
          </w:tcPr>
          <w:p w14:paraId="68291A76"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0BE908CC" w14:textId="77777777" w:rsidR="007F3128" w:rsidRPr="00F658A6" w:rsidRDefault="007F3128" w:rsidP="00F608A7">
            <w:pPr>
              <w:jc w:val="left"/>
              <w:rPr>
                <w:sz w:val="16"/>
                <w:szCs w:val="16"/>
              </w:rPr>
            </w:pPr>
            <w:r w:rsidRPr="00F658A6">
              <w:rPr>
                <w:sz w:val="16"/>
                <w:szCs w:val="16"/>
              </w:rPr>
              <w:t>Isaías Cuscul Mundo (Hermano)</w:t>
            </w:r>
          </w:p>
        </w:tc>
      </w:tr>
      <w:tr w:rsidR="007F3128" w:rsidRPr="00F658A6" w14:paraId="008CB0F7" w14:textId="77777777" w:rsidTr="00F608A7">
        <w:tc>
          <w:tcPr>
            <w:tcW w:w="560" w:type="dxa"/>
            <w:gridSpan w:val="2"/>
            <w:vMerge/>
            <w:vAlign w:val="center"/>
          </w:tcPr>
          <w:p w14:paraId="4299C96F" w14:textId="77777777" w:rsidR="007F3128" w:rsidRPr="00F658A6" w:rsidRDefault="007F3128" w:rsidP="00F608A7">
            <w:pPr>
              <w:jc w:val="left"/>
              <w:rPr>
                <w:sz w:val="16"/>
                <w:szCs w:val="16"/>
              </w:rPr>
            </w:pPr>
          </w:p>
        </w:tc>
        <w:tc>
          <w:tcPr>
            <w:tcW w:w="2950" w:type="dxa"/>
            <w:vMerge/>
            <w:vAlign w:val="center"/>
          </w:tcPr>
          <w:p w14:paraId="20D16F42" w14:textId="77777777" w:rsidR="007F3128" w:rsidRPr="00F658A6" w:rsidRDefault="007F3128" w:rsidP="00F608A7">
            <w:pPr>
              <w:jc w:val="left"/>
              <w:rPr>
                <w:sz w:val="16"/>
                <w:szCs w:val="16"/>
              </w:rPr>
            </w:pPr>
          </w:p>
        </w:tc>
        <w:tc>
          <w:tcPr>
            <w:tcW w:w="567" w:type="dxa"/>
            <w:vAlign w:val="center"/>
          </w:tcPr>
          <w:p w14:paraId="1DA5F8D7"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3481CFC" w14:textId="77777777" w:rsidR="007F3128" w:rsidRPr="00F658A6" w:rsidRDefault="007F3128" w:rsidP="00F608A7">
            <w:pPr>
              <w:jc w:val="left"/>
              <w:rPr>
                <w:sz w:val="16"/>
                <w:szCs w:val="16"/>
              </w:rPr>
            </w:pPr>
            <w:r w:rsidRPr="00F658A6">
              <w:rPr>
                <w:sz w:val="16"/>
                <w:szCs w:val="16"/>
              </w:rPr>
              <w:t>Raúl Cuscul Mundo (Hermano)</w:t>
            </w:r>
          </w:p>
        </w:tc>
      </w:tr>
      <w:tr w:rsidR="007F3128" w:rsidRPr="00F658A6" w14:paraId="2534D245" w14:textId="77777777" w:rsidTr="00F608A7">
        <w:tc>
          <w:tcPr>
            <w:tcW w:w="560" w:type="dxa"/>
            <w:gridSpan w:val="2"/>
            <w:vMerge/>
            <w:vAlign w:val="center"/>
          </w:tcPr>
          <w:p w14:paraId="306D96CD" w14:textId="77777777" w:rsidR="007F3128" w:rsidRPr="00F658A6" w:rsidRDefault="007F3128" w:rsidP="00F608A7">
            <w:pPr>
              <w:jc w:val="left"/>
              <w:rPr>
                <w:sz w:val="16"/>
                <w:szCs w:val="16"/>
              </w:rPr>
            </w:pPr>
          </w:p>
        </w:tc>
        <w:tc>
          <w:tcPr>
            <w:tcW w:w="2950" w:type="dxa"/>
            <w:vMerge/>
            <w:vAlign w:val="center"/>
          </w:tcPr>
          <w:p w14:paraId="773F013E" w14:textId="77777777" w:rsidR="007F3128" w:rsidRPr="00F658A6" w:rsidRDefault="007F3128" w:rsidP="00F608A7">
            <w:pPr>
              <w:jc w:val="left"/>
              <w:rPr>
                <w:sz w:val="16"/>
                <w:szCs w:val="16"/>
              </w:rPr>
            </w:pPr>
          </w:p>
        </w:tc>
        <w:tc>
          <w:tcPr>
            <w:tcW w:w="567" w:type="dxa"/>
            <w:vAlign w:val="center"/>
          </w:tcPr>
          <w:p w14:paraId="471F9F42"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232D8ADC" w14:textId="77777777" w:rsidR="007F3128" w:rsidRPr="00F658A6" w:rsidRDefault="007F3128" w:rsidP="00F608A7">
            <w:pPr>
              <w:jc w:val="left"/>
              <w:rPr>
                <w:sz w:val="16"/>
                <w:szCs w:val="16"/>
              </w:rPr>
            </w:pPr>
            <w:r w:rsidRPr="00F658A6">
              <w:rPr>
                <w:sz w:val="16"/>
                <w:szCs w:val="16"/>
              </w:rPr>
              <w:t>Manuel Antonio Cuscul Mundo (Hermano)</w:t>
            </w:r>
          </w:p>
        </w:tc>
      </w:tr>
      <w:tr w:rsidR="007F3128" w:rsidRPr="00F658A6" w14:paraId="7960015A" w14:textId="77777777" w:rsidTr="00F608A7">
        <w:tc>
          <w:tcPr>
            <w:tcW w:w="560" w:type="dxa"/>
            <w:gridSpan w:val="2"/>
            <w:vMerge/>
            <w:vAlign w:val="center"/>
          </w:tcPr>
          <w:p w14:paraId="76736B51" w14:textId="77777777" w:rsidR="007F3128" w:rsidRPr="00F658A6" w:rsidRDefault="007F3128" w:rsidP="00F608A7">
            <w:pPr>
              <w:jc w:val="left"/>
              <w:rPr>
                <w:sz w:val="16"/>
                <w:szCs w:val="16"/>
              </w:rPr>
            </w:pPr>
          </w:p>
        </w:tc>
        <w:tc>
          <w:tcPr>
            <w:tcW w:w="2950" w:type="dxa"/>
            <w:vMerge/>
            <w:vAlign w:val="center"/>
          </w:tcPr>
          <w:p w14:paraId="44E902DA" w14:textId="77777777" w:rsidR="007F3128" w:rsidRPr="00F658A6" w:rsidRDefault="007F3128" w:rsidP="00F608A7">
            <w:pPr>
              <w:jc w:val="left"/>
              <w:rPr>
                <w:sz w:val="16"/>
                <w:szCs w:val="16"/>
              </w:rPr>
            </w:pPr>
          </w:p>
        </w:tc>
        <w:tc>
          <w:tcPr>
            <w:tcW w:w="567" w:type="dxa"/>
            <w:vAlign w:val="center"/>
          </w:tcPr>
          <w:p w14:paraId="3A1F4BC6"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5DAAB7F4" w14:textId="77777777" w:rsidR="007F3128" w:rsidRPr="00F658A6" w:rsidRDefault="007F3128" w:rsidP="00F608A7">
            <w:pPr>
              <w:jc w:val="left"/>
              <w:rPr>
                <w:sz w:val="16"/>
                <w:szCs w:val="16"/>
              </w:rPr>
            </w:pPr>
            <w:r w:rsidRPr="00F658A6">
              <w:rPr>
                <w:sz w:val="16"/>
                <w:szCs w:val="16"/>
              </w:rPr>
              <w:t>Adolfo Cuscul Mundo (Hermano)</w:t>
            </w:r>
          </w:p>
        </w:tc>
      </w:tr>
      <w:tr w:rsidR="007F3128" w:rsidRPr="00F658A6" w14:paraId="7F235EF5" w14:textId="77777777" w:rsidTr="00F608A7">
        <w:tc>
          <w:tcPr>
            <w:tcW w:w="560" w:type="dxa"/>
            <w:gridSpan w:val="2"/>
            <w:vMerge/>
            <w:vAlign w:val="center"/>
          </w:tcPr>
          <w:p w14:paraId="7320C13E" w14:textId="77777777" w:rsidR="007F3128" w:rsidRPr="00F658A6" w:rsidRDefault="007F3128" w:rsidP="00F608A7">
            <w:pPr>
              <w:jc w:val="left"/>
              <w:rPr>
                <w:sz w:val="16"/>
                <w:szCs w:val="16"/>
              </w:rPr>
            </w:pPr>
          </w:p>
        </w:tc>
        <w:tc>
          <w:tcPr>
            <w:tcW w:w="2950" w:type="dxa"/>
            <w:vMerge/>
            <w:vAlign w:val="center"/>
          </w:tcPr>
          <w:p w14:paraId="4AA268C6" w14:textId="77777777" w:rsidR="007F3128" w:rsidRPr="00F658A6" w:rsidRDefault="007F3128" w:rsidP="00F608A7">
            <w:pPr>
              <w:jc w:val="left"/>
              <w:rPr>
                <w:sz w:val="16"/>
                <w:szCs w:val="16"/>
              </w:rPr>
            </w:pPr>
          </w:p>
        </w:tc>
        <w:tc>
          <w:tcPr>
            <w:tcW w:w="567" w:type="dxa"/>
            <w:vAlign w:val="center"/>
          </w:tcPr>
          <w:p w14:paraId="539A5A81"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638EFA40" w14:textId="77777777" w:rsidR="007F3128" w:rsidRPr="00F658A6" w:rsidRDefault="007F3128" w:rsidP="00F608A7">
            <w:pPr>
              <w:jc w:val="left"/>
              <w:rPr>
                <w:sz w:val="16"/>
                <w:szCs w:val="16"/>
              </w:rPr>
            </w:pPr>
            <w:r w:rsidRPr="00F658A6">
              <w:rPr>
                <w:sz w:val="16"/>
                <w:szCs w:val="16"/>
              </w:rPr>
              <w:t>Etelvina Cuscul Mundo (Hermana)</w:t>
            </w:r>
          </w:p>
        </w:tc>
      </w:tr>
      <w:tr w:rsidR="007F3128" w:rsidRPr="00F658A6" w14:paraId="1B812E7F" w14:textId="77777777" w:rsidTr="00F608A7">
        <w:tc>
          <w:tcPr>
            <w:tcW w:w="560" w:type="dxa"/>
            <w:gridSpan w:val="2"/>
            <w:vMerge/>
            <w:vAlign w:val="center"/>
          </w:tcPr>
          <w:p w14:paraId="0AFEEAEC" w14:textId="77777777" w:rsidR="007F3128" w:rsidRPr="00F658A6" w:rsidRDefault="007F3128" w:rsidP="00F608A7">
            <w:pPr>
              <w:jc w:val="left"/>
              <w:rPr>
                <w:sz w:val="16"/>
                <w:szCs w:val="16"/>
              </w:rPr>
            </w:pPr>
          </w:p>
        </w:tc>
        <w:tc>
          <w:tcPr>
            <w:tcW w:w="2950" w:type="dxa"/>
            <w:vMerge/>
            <w:vAlign w:val="center"/>
          </w:tcPr>
          <w:p w14:paraId="70871442" w14:textId="77777777" w:rsidR="007F3128" w:rsidRPr="00F658A6" w:rsidRDefault="007F3128" w:rsidP="00F608A7">
            <w:pPr>
              <w:jc w:val="left"/>
              <w:rPr>
                <w:sz w:val="16"/>
                <w:szCs w:val="16"/>
              </w:rPr>
            </w:pPr>
          </w:p>
        </w:tc>
        <w:tc>
          <w:tcPr>
            <w:tcW w:w="567" w:type="dxa"/>
            <w:vAlign w:val="center"/>
          </w:tcPr>
          <w:p w14:paraId="09210E7B"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54354ABE" w14:textId="77777777" w:rsidR="007F3128" w:rsidRPr="00F658A6" w:rsidRDefault="007F3128" w:rsidP="00F608A7">
            <w:pPr>
              <w:jc w:val="left"/>
              <w:rPr>
                <w:sz w:val="16"/>
                <w:szCs w:val="16"/>
              </w:rPr>
            </w:pPr>
            <w:r w:rsidRPr="00F658A6">
              <w:rPr>
                <w:sz w:val="16"/>
                <w:szCs w:val="16"/>
              </w:rPr>
              <w:t>Eduardo Isaías Cuscul Antonio (Sobrino)</w:t>
            </w:r>
          </w:p>
        </w:tc>
      </w:tr>
      <w:tr w:rsidR="007F3128" w:rsidRPr="00F658A6" w14:paraId="3810DA6D" w14:textId="77777777" w:rsidTr="00F608A7">
        <w:tc>
          <w:tcPr>
            <w:tcW w:w="560" w:type="dxa"/>
            <w:gridSpan w:val="2"/>
            <w:vMerge/>
            <w:vAlign w:val="center"/>
          </w:tcPr>
          <w:p w14:paraId="45E17EF3" w14:textId="77777777" w:rsidR="007F3128" w:rsidRPr="00F658A6" w:rsidRDefault="007F3128" w:rsidP="00F608A7">
            <w:pPr>
              <w:jc w:val="left"/>
              <w:rPr>
                <w:sz w:val="16"/>
                <w:szCs w:val="16"/>
              </w:rPr>
            </w:pPr>
          </w:p>
        </w:tc>
        <w:tc>
          <w:tcPr>
            <w:tcW w:w="2950" w:type="dxa"/>
            <w:vMerge/>
            <w:vAlign w:val="center"/>
          </w:tcPr>
          <w:p w14:paraId="76D00EAF" w14:textId="77777777" w:rsidR="007F3128" w:rsidRPr="00F658A6" w:rsidRDefault="007F3128" w:rsidP="00F608A7">
            <w:pPr>
              <w:jc w:val="left"/>
              <w:rPr>
                <w:sz w:val="16"/>
                <w:szCs w:val="16"/>
              </w:rPr>
            </w:pPr>
          </w:p>
        </w:tc>
        <w:tc>
          <w:tcPr>
            <w:tcW w:w="567" w:type="dxa"/>
            <w:vAlign w:val="center"/>
          </w:tcPr>
          <w:p w14:paraId="26D04AAF"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1FCDDFD6" w14:textId="2FCB31F9" w:rsidR="007F3128" w:rsidRPr="00F658A6" w:rsidRDefault="007F3128" w:rsidP="00F608A7">
            <w:pPr>
              <w:jc w:val="left"/>
              <w:rPr>
                <w:sz w:val="16"/>
                <w:szCs w:val="16"/>
              </w:rPr>
            </w:pPr>
            <w:r w:rsidRPr="00F658A6">
              <w:rPr>
                <w:sz w:val="16"/>
                <w:szCs w:val="16"/>
              </w:rPr>
              <w:t xml:space="preserve">Patricia Judith Cuscul </w:t>
            </w:r>
            <w:r w:rsidR="0028379E" w:rsidRPr="00F658A6">
              <w:rPr>
                <w:sz w:val="16"/>
                <w:szCs w:val="16"/>
              </w:rPr>
              <w:t>Antonio (Sobrina</w:t>
            </w:r>
            <w:r w:rsidRPr="00F658A6">
              <w:rPr>
                <w:sz w:val="16"/>
                <w:szCs w:val="16"/>
              </w:rPr>
              <w:t>)</w:t>
            </w:r>
          </w:p>
        </w:tc>
      </w:tr>
      <w:tr w:rsidR="007F3128" w:rsidRPr="00F658A6" w14:paraId="1F0FF31E" w14:textId="77777777" w:rsidTr="00F608A7">
        <w:tc>
          <w:tcPr>
            <w:tcW w:w="560" w:type="dxa"/>
            <w:gridSpan w:val="2"/>
            <w:vMerge/>
            <w:vAlign w:val="center"/>
          </w:tcPr>
          <w:p w14:paraId="79985E96" w14:textId="77777777" w:rsidR="007F3128" w:rsidRPr="00F658A6" w:rsidRDefault="007F3128" w:rsidP="00F608A7">
            <w:pPr>
              <w:jc w:val="left"/>
              <w:rPr>
                <w:sz w:val="16"/>
                <w:szCs w:val="16"/>
              </w:rPr>
            </w:pPr>
          </w:p>
        </w:tc>
        <w:tc>
          <w:tcPr>
            <w:tcW w:w="2950" w:type="dxa"/>
            <w:vMerge/>
            <w:vAlign w:val="center"/>
          </w:tcPr>
          <w:p w14:paraId="65719C46" w14:textId="77777777" w:rsidR="007F3128" w:rsidRPr="00F658A6" w:rsidRDefault="007F3128" w:rsidP="00F608A7">
            <w:pPr>
              <w:jc w:val="left"/>
              <w:rPr>
                <w:sz w:val="16"/>
                <w:szCs w:val="16"/>
              </w:rPr>
            </w:pPr>
          </w:p>
        </w:tc>
        <w:tc>
          <w:tcPr>
            <w:tcW w:w="567" w:type="dxa"/>
            <w:vAlign w:val="center"/>
          </w:tcPr>
          <w:p w14:paraId="528505F7"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5442BB15" w14:textId="77777777" w:rsidR="007F3128" w:rsidRPr="00F658A6" w:rsidRDefault="007F3128" w:rsidP="00F608A7">
            <w:pPr>
              <w:jc w:val="left"/>
              <w:rPr>
                <w:sz w:val="16"/>
                <w:szCs w:val="16"/>
              </w:rPr>
            </w:pPr>
            <w:r w:rsidRPr="00F658A6">
              <w:rPr>
                <w:sz w:val="16"/>
                <w:szCs w:val="16"/>
              </w:rPr>
              <w:t>Luis Pablo Cuscul Antonio (Sobrino)</w:t>
            </w:r>
          </w:p>
        </w:tc>
      </w:tr>
      <w:tr w:rsidR="007F3128" w:rsidRPr="00F658A6" w14:paraId="68900E4C" w14:textId="77777777" w:rsidTr="00F608A7">
        <w:tc>
          <w:tcPr>
            <w:tcW w:w="560" w:type="dxa"/>
            <w:gridSpan w:val="2"/>
            <w:vMerge/>
            <w:vAlign w:val="center"/>
          </w:tcPr>
          <w:p w14:paraId="41EE7B3F" w14:textId="77777777" w:rsidR="007F3128" w:rsidRPr="00F658A6" w:rsidRDefault="007F3128" w:rsidP="00F608A7">
            <w:pPr>
              <w:jc w:val="left"/>
              <w:rPr>
                <w:sz w:val="16"/>
                <w:szCs w:val="16"/>
              </w:rPr>
            </w:pPr>
          </w:p>
        </w:tc>
        <w:tc>
          <w:tcPr>
            <w:tcW w:w="2950" w:type="dxa"/>
            <w:vMerge/>
            <w:vAlign w:val="center"/>
          </w:tcPr>
          <w:p w14:paraId="74FB0650" w14:textId="77777777" w:rsidR="007F3128" w:rsidRPr="00F658A6" w:rsidRDefault="007F3128" w:rsidP="00F608A7">
            <w:pPr>
              <w:jc w:val="left"/>
              <w:rPr>
                <w:sz w:val="16"/>
                <w:szCs w:val="16"/>
              </w:rPr>
            </w:pPr>
          </w:p>
        </w:tc>
        <w:tc>
          <w:tcPr>
            <w:tcW w:w="567" w:type="dxa"/>
            <w:vAlign w:val="center"/>
          </w:tcPr>
          <w:p w14:paraId="5D2E1084"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4B3C6F8B" w14:textId="77777777" w:rsidR="007F3128" w:rsidRPr="00F658A6" w:rsidRDefault="007F3128" w:rsidP="00F608A7">
            <w:pPr>
              <w:jc w:val="left"/>
              <w:rPr>
                <w:sz w:val="16"/>
                <w:szCs w:val="16"/>
              </w:rPr>
            </w:pPr>
            <w:r w:rsidRPr="00F658A6">
              <w:rPr>
                <w:sz w:val="16"/>
                <w:szCs w:val="16"/>
              </w:rPr>
              <w:t>Bryan Alexander Adolfo Cuscul Quiñonez (Sobrino)</w:t>
            </w:r>
          </w:p>
        </w:tc>
      </w:tr>
      <w:tr w:rsidR="007F3128" w:rsidRPr="00F658A6" w14:paraId="173A704F" w14:textId="77777777" w:rsidTr="00F608A7">
        <w:tc>
          <w:tcPr>
            <w:tcW w:w="560" w:type="dxa"/>
            <w:gridSpan w:val="2"/>
            <w:vMerge/>
            <w:vAlign w:val="center"/>
          </w:tcPr>
          <w:p w14:paraId="79815B8A" w14:textId="77777777" w:rsidR="007F3128" w:rsidRPr="00F658A6" w:rsidRDefault="007F3128" w:rsidP="00F608A7">
            <w:pPr>
              <w:jc w:val="left"/>
              <w:rPr>
                <w:sz w:val="16"/>
                <w:szCs w:val="16"/>
              </w:rPr>
            </w:pPr>
          </w:p>
        </w:tc>
        <w:tc>
          <w:tcPr>
            <w:tcW w:w="2950" w:type="dxa"/>
            <w:vMerge/>
            <w:vAlign w:val="center"/>
          </w:tcPr>
          <w:p w14:paraId="72A1A67B" w14:textId="77777777" w:rsidR="007F3128" w:rsidRPr="00F658A6" w:rsidRDefault="007F3128" w:rsidP="00F608A7">
            <w:pPr>
              <w:jc w:val="left"/>
              <w:rPr>
                <w:sz w:val="16"/>
                <w:szCs w:val="16"/>
              </w:rPr>
            </w:pPr>
          </w:p>
        </w:tc>
        <w:tc>
          <w:tcPr>
            <w:tcW w:w="567" w:type="dxa"/>
            <w:vAlign w:val="center"/>
          </w:tcPr>
          <w:p w14:paraId="3E7CA55C"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4EE08AD2" w14:textId="0352FDAE" w:rsidR="007F3128" w:rsidRPr="00F658A6" w:rsidRDefault="0028379E" w:rsidP="00F608A7">
            <w:pPr>
              <w:jc w:val="left"/>
              <w:rPr>
                <w:sz w:val="16"/>
                <w:szCs w:val="16"/>
              </w:rPr>
            </w:pPr>
            <w:r w:rsidRPr="00F658A6">
              <w:rPr>
                <w:sz w:val="16"/>
                <w:szCs w:val="16"/>
              </w:rPr>
              <w:t>Andy Joe</w:t>
            </w:r>
            <w:r w:rsidR="007F3128" w:rsidRPr="00F658A6">
              <w:rPr>
                <w:sz w:val="16"/>
                <w:szCs w:val="16"/>
              </w:rPr>
              <w:t xml:space="preserve"> Cuscul Quiñonez (Sobrino)</w:t>
            </w:r>
          </w:p>
        </w:tc>
      </w:tr>
      <w:tr w:rsidR="007F3128" w:rsidRPr="00F658A6" w14:paraId="2ED05F54" w14:textId="77777777" w:rsidTr="00F608A7">
        <w:tc>
          <w:tcPr>
            <w:tcW w:w="560" w:type="dxa"/>
            <w:gridSpan w:val="2"/>
            <w:vMerge/>
            <w:vAlign w:val="center"/>
          </w:tcPr>
          <w:p w14:paraId="37F34E42" w14:textId="77777777" w:rsidR="007F3128" w:rsidRPr="00F658A6" w:rsidRDefault="007F3128" w:rsidP="00F608A7">
            <w:pPr>
              <w:jc w:val="left"/>
              <w:rPr>
                <w:sz w:val="16"/>
                <w:szCs w:val="16"/>
              </w:rPr>
            </w:pPr>
          </w:p>
        </w:tc>
        <w:tc>
          <w:tcPr>
            <w:tcW w:w="2950" w:type="dxa"/>
            <w:vMerge/>
            <w:vAlign w:val="center"/>
          </w:tcPr>
          <w:p w14:paraId="0C0DFF5D" w14:textId="77777777" w:rsidR="007F3128" w:rsidRPr="00F658A6" w:rsidRDefault="007F3128" w:rsidP="00F608A7">
            <w:pPr>
              <w:jc w:val="left"/>
              <w:rPr>
                <w:sz w:val="16"/>
                <w:szCs w:val="16"/>
              </w:rPr>
            </w:pPr>
          </w:p>
        </w:tc>
        <w:tc>
          <w:tcPr>
            <w:tcW w:w="567" w:type="dxa"/>
            <w:vAlign w:val="center"/>
          </w:tcPr>
          <w:p w14:paraId="100A4DE8" w14:textId="77777777" w:rsidR="007F3128" w:rsidRPr="00F658A6" w:rsidRDefault="007F3128" w:rsidP="00F608A7">
            <w:pPr>
              <w:jc w:val="left"/>
              <w:rPr>
                <w:sz w:val="16"/>
                <w:szCs w:val="16"/>
              </w:rPr>
            </w:pPr>
            <w:r w:rsidRPr="00F658A6">
              <w:rPr>
                <w:sz w:val="16"/>
                <w:szCs w:val="16"/>
              </w:rPr>
              <w:t>13</w:t>
            </w:r>
          </w:p>
        </w:tc>
        <w:tc>
          <w:tcPr>
            <w:tcW w:w="4927" w:type="dxa"/>
            <w:vAlign w:val="center"/>
          </w:tcPr>
          <w:p w14:paraId="765B7CD1" w14:textId="77777777" w:rsidR="007F3128" w:rsidRPr="00F658A6" w:rsidRDefault="007F3128" w:rsidP="00F608A7">
            <w:pPr>
              <w:jc w:val="left"/>
              <w:rPr>
                <w:sz w:val="16"/>
                <w:szCs w:val="16"/>
              </w:rPr>
            </w:pPr>
            <w:r w:rsidRPr="00F658A6">
              <w:rPr>
                <w:sz w:val="16"/>
                <w:szCs w:val="16"/>
              </w:rPr>
              <w:t>Manuel Cuscul Álvarez (Sobrino)</w:t>
            </w:r>
          </w:p>
        </w:tc>
      </w:tr>
      <w:tr w:rsidR="007F3128" w:rsidRPr="00F658A6" w14:paraId="21D65B6E" w14:textId="77777777" w:rsidTr="00F608A7">
        <w:tc>
          <w:tcPr>
            <w:tcW w:w="560" w:type="dxa"/>
            <w:gridSpan w:val="2"/>
            <w:vMerge/>
            <w:vAlign w:val="center"/>
          </w:tcPr>
          <w:p w14:paraId="0AE5E7AB" w14:textId="77777777" w:rsidR="007F3128" w:rsidRPr="00F658A6" w:rsidRDefault="007F3128" w:rsidP="00F608A7">
            <w:pPr>
              <w:jc w:val="left"/>
              <w:rPr>
                <w:sz w:val="16"/>
                <w:szCs w:val="16"/>
              </w:rPr>
            </w:pPr>
          </w:p>
        </w:tc>
        <w:tc>
          <w:tcPr>
            <w:tcW w:w="2950" w:type="dxa"/>
            <w:vMerge/>
            <w:vAlign w:val="center"/>
          </w:tcPr>
          <w:p w14:paraId="30F54FE8" w14:textId="77777777" w:rsidR="007F3128" w:rsidRPr="00F658A6" w:rsidRDefault="007F3128" w:rsidP="00F608A7">
            <w:pPr>
              <w:jc w:val="left"/>
              <w:rPr>
                <w:sz w:val="16"/>
                <w:szCs w:val="16"/>
              </w:rPr>
            </w:pPr>
          </w:p>
        </w:tc>
        <w:tc>
          <w:tcPr>
            <w:tcW w:w="567" w:type="dxa"/>
            <w:vAlign w:val="center"/>
          </w:tcPr>
          <w:p w14:paraId="4E074761" w14:textId="77777777" w:rsidR="007F3128" w:rsidRPr="00F658A6" w:rsidRDefault="007F3128" w:rsidP="00F608A7">
            <w:pPr>
              <w:jc w:val="left"/>
              <w:rPr>
                <w:sz w:val="16"/>
                <w:szCs w:val="16"/>
              </w:rPr>
            </w:pPr>
            <w:r w:rsidRPr="00F658A6">
              <w:rPr>
                <w:sz w:val="16"/>
                <w:szCs w:val="16"/>
              </w:rPr>
              <w:t>14</w:t>
            </w:r>
          </w:p>
        </w:tc>
        <w:tc>
          <w:tcPr>
            <w:tcW w:w="4927" w:type="dxa"/>
            <w:vAlign w:val="center"/>
          </w:tcPr>
          <w:p w14:paraId="084A34C0" w14:textId="77777777" w:rsidR="007F3128" w:rsidRPr="00F658A6" w:rsidRDefault="007F3128" w:rsidP="00F608A7">
            <w:pPr>
              <w:jc w:val="left"/>
              <w:rPr>
                <w:sz w:val="16"/>
                <w:szCs w:val="16"/>
              </w:rPr>
            </w:pPr>
            <w:r w:rsidRPr="00F658A6">
              <w:rPr>
                <w:sz w:val="16"/>
                <w:szCs w:val="16"/>
              </w:rPr>
              <w:t>Kevin Raúl Cuscul Flores (Sobrino)</w:t>
            </w:r>
          </w:p>
        </w:tc>
      </w:tr>
      <w:tr w:rsidR="007F3128" w:rsidRPr="00F658A6" w14:paraId="6B1C95F1" w14:textId="77777777" w:rsidTr="00F608A7">
        <w:tc>
          <w:tcPr>
            <w:tcW w:w="560" w:type="dxa"/>
            <w:gridSpan w:val="2"/>
            <w:vMerge/>
            <w:vAlign w:val="center"/>
          </w:tcPr>
          <w:p w14:paraId="377E4ED9" w14:textId="77777777" w:rsidR="007F3128" w:rsidRPr="00F658A6" w:rsidRDefault="007F3128" w:rsidP="00F608A7">
            <w:pPr>
              <w:jc w:val="left"/>
              <w:rPr>
                <w:sz w:val="16"/>
                <w:szCs w:val="16"/>
              </w:rPr>
            </w:pPr>
          </w:p>
        </w:tc>
        <w:tc>
          <w:tcPr>
            <w:tcW w:w="2950" w:type="dxa"/>
            <w:vMerge/>
            <w:vAlign w:val="center"/>
          </w:tcPr>
          <w:p w14:paraId="03A3A40A" w14:textId="77777777" w:rsidR="007F3128" w:rsidRPr="00F658A6" w:rsidRDefault="007F3128" w:rsidP="00F608A7">
            <w:pPr>
              <w:jc w:val="left"/>
              <w:rPr>
                <w:sz w:val="16"/>
                <w:szCs w:val="16"/>
              </w:rPr>
            </w:pPr>
          </w:p>
        </w:tc>
        <w:tc>
          <w:tcPr>
            <w:tcW w:w="567" w:type="dxa"/>
            <w:vAlign w:val="center"/>
          </w:tcPr>
          <w:p w14:paraId="37D8D8DE" w14:textId="77777777" w:rsidR="007F3128" w:rsidRPr="00F658A6" w:rsidRDefault="007F3128" w:rsidP="00F608A7">
            <w:pPr>
              <w:jc w:val="left"/>
              <w:rPr>
                <w:sz w:val="16"/>
                <w:szCs w:val="16"/>
              </w:rPr>
            </w:pPr>
            <w:r w:rsidRPr="00F658A6">
              <w:rPr>
                <w:sz w:val="16"/>
                <w:szCs w:val="16"/>
              </w:rPr>
              <w:t>15</w:t>
            </w:r>
          </w:p>
        </w:tc>
        <w:tc>
          <w:tcPr>
            <w:tcW w:w="4927" w:type="dxa"/>
            <w:vAlign w:val="center"/>
          </w:tcPr>
          <w:p w14:paraId="15049032" w14:textId="3C5A74E3" w:rsidR="007F3128" w:rsidRPr="00F658A6" w:rsidRDefault="00DA5BCE" w:rsidP="00F608A7">
            <w:pPr>
              <w:jc w:val="left"/>
              <w:rPr>
                <w:sz w:val="16"/>
                <w:szCs w:val="16"/>
              </w:rPr>
            </w:pPr>
            <w:r w:rsidRPr="00F658A6">
              <w:rPr>
                <w:sz w:val="16"/>
                <w:szCs w:val="16"/>
              </w:rPr>
              <w:t>Andrea Etelvina Sá</w:t>
            </w:r>
            <w:r w:rsidR="007F3128" w:rsidRPr="00F658A6">
              <w:rPr>
                <w:sz w:val="16"/>
                <w:szCs w:val="16"/>
              </w:rPr>
              <w:t>nchez Cuscul (Sobrina)</w:t>
            </w:r>
          </w:p>
        </w:tc>
      </w:tr>
      <w:tr w:rsidR="007F3128" w:rsidRPr="00F658A6" w14:paraId="5EF98DAE" w14:textId="77777777" w:rsidTr="00F608A7">
        <w:tc>
          <w:tcPr>
            <w:tcW w:w="560" w:type="dxa"/>
            <w:gridSpan w:val="2"/>
            <w:vMerge/>
            <w:vAlign w:val="center"/>
          </w:tcPr>
          <w:p w14:paraId="42B13F34" w14:textId="77777777" w:rsidR="007F3128" w:rsidRPr="00F658A6" w:rsidRDefault="007F3128" w:rsidP="00F608A7">
            <w:pPr>
              <w:jc w:val="left"/>
              <w:rPr>
                <w:sz w:val="16"/>
                <w:szCs w:val="16"/>
              </w:rPr>
            </w:pPr>
          </w:p>
        </w:tc>
        <w:tc>
          <w:tcPr>
            <w:tcW w:w="2950" w:type="dxa"/>
            <w:vMerge/>
            <w:vAlign w:val="center"/>
          </w:tcPr>
          <w:p w14:paraId="24D28316" w14:textId="77777777" w:rsidR="007F3128" w:rsidRPr="00F658A6" w:rsidRDefault="007F3128" w:rsidP="00F608A7">
            <w:pPr>
              <w:jc w:val="left"/>
              <w:rPr>
                <w:sz w:val="16"/>
                <w:szCs w:val="16"/>
              </w:rPr>
            </w:pPr>
          </w:p>
        </w:tc>
        <w:tc>
          <w:tcPr>
            <w:tcW w:w="567" w:type="dxa"/>
            <w:vAlign w:val="center"/>
          </w:tcPr>
          <w:p w14:paraId="3AFBAAA0" w14:textId="77777777" w:rsidR="007F3128" w:rsidRPr="00F658A6" w:rsidRDefault="007F3128" w:rsidP="00F608A7">
            <w:pPr>
              <w:jc w:val="left"/>
              <w:rPr>
                <w:sz w:val="16"/>
                <w:szCs w:val="16"/>
              </w:rPr>
            </w:pPr>
            <w:r w:rsidRPr="00F658A6">
              <w:rPr>
                <w:sz w:val="16"/>
                <w:szCs w:val="16"/>
              </w:rPr>
              <w:t>16</w:t>
            </w:r>
          </w:p>
        </w:tc>
        <w:tc>
          <w:tcPr>
            <w:tcW w:w="4927" w:type="dxa"/>
            <w:vAlign w:val="center"/>
          </w:tcPr>
          <w:p w14:paraId="63CD887A" w14:textId="6F1D1644" w:rsidR="007F3128" w:rsidRPr="00F658A6" w:rsidRDefault="00DA5BCE" w:rsidP="00F608A7">
            <w:pPr>
              <w:jc w:val="left"/>
              <w:rPr>
                <w:sz w:val="16"/>
                <w:szCs w:val="16"/>
              </w:rPr>
            </w:pPr>
            <w:r w:rsidRPr="00F658A6">
              <w:rPr>
                <w:sz w:val="16"/>
                <w:szCs w:val="16"/>
              </w:rPr>
              <w:t>Roxana Pamela Sá</w:t>
            </w:r>
            <w:r w:rsidR="007F3128" w:rsidRPr="00F658A6">
              <w:rPr>
                <w:sz w:val="16"/>
                <w:szCs w:val="16"/>
              </w:rPr>
              <w:t>nchez Cuscul (Sobrina)</w:t>
            </w:r>
          </w:p>
        </w:tc>
      </w:tr>
      <w:tr w:rsidR="007F3128" w:rsidRPr="00F658A6" w14:paraId="277B4191" w14:textId="77777777" w:rsidTr="00F608A7">
        <w:tc>
          <w:tcPr>
            <w:tcW w:w="560" w:type="dxa"/>
            <w:gridSpan w:val="2"/>
            <w:vMerge/>
            <w:vAlign w:val="center"/>
          </w:tcPr>
          <w:p w14:paraId="26BD327D" w14:textId="77777777" w:rsidR="007F3128" w:rsidRPr="00F658A6" w:rsidRDefault="007F3128" w:rsidP="00F608A7">
            <w:pPr>
              <w:jc w:val="left"/>
              <w:rPr>
                <w:sz w:val="16"/>
                <w:szCs w:val="16"/>
              </w:rPr>
            </w:pPr>
          </w:p>
        </w:tc>
        <w:tc>
          <w:tcPr>
            <w:tcW w:w="2950" w:type="dxa"/>
            <w:vMerge/>
            <w:vAlign w:val="center"/>
          </w:tcPr>
          <w:p w14:paraId="4346BCED" w14:textId="77777777" w:rsidR="007F3128" w:rsidRPr="00F658A6" w:rsidRDefault="007F3128" w:rsidP="00F608A7">
            <w:pPr>
              <w:jc w:val="left"/>
              <w:rPr>
                <w:sz w:val="16"/>
                <w:szCs w:val="16"/>
              </w:rPr>
            </w:pPr>
          </w:p>
        </w:tc>
        <w:tc>
          <w:tcPr>
            <w:tcW w:w="567" w:type="dxa"/>
            <w:vAlign w:val="center"/>
          </w:tcPr>
          <w:p w14:paraId="0BCAAFEF" w14:textId="77777777" w:rsidR="007F3128" w:rsidRPr="00F658A6" w:rsidRDefault="007F3128" w:rsidP="00F608A7">
            <w:pPr>
              <w:jc w:val="left"/>
              <w:rPr>
                <w:sz w:val="16"/>
                <w:szCs w:val="16"/>
              </w:rPr>
            </w:pPr>
            <w:r w:rsidRPr="00F658A6">
              <w:rPr>
                <w:sz w:val="16"/>
                <w:szCs w:val="16"/>
              </w:rPr>
              <w:t>17</w:t>
            </w:r>
          </w:p>
        </w:tc>
        <w:tc>
          <w:tcPr>
            <w:tcW w:w="4927" w:type="dxa"/>
            <w:vAlign w:val="center"/>
          </w:tcPr>
          <w:p w14:paraId="79CC2383" w14:textId="77777777" w:rsidR="007F3128" w:rsidRPr="00F658A6" w:rsidRDefault="007F3128" w:rsidP="00F608A7">
            <w:pPr>
              <w:jc w:val="left"/>
              <w:rPr>
                <w:sz w:val="16"/>
                <w:szCs w:val="16"/>
              </w:rPr>
            </w:pPr>
            <w:r w:rsidRPr="00F658A6">
              <w:rPr>
                <w:sz w:val="16"/>
                <w:szCs w:val="16"/>
              </w:rPr>
              <w:t>Marlon Daniel Cuscul Flores (Sobrino)</w:t>
            </w:r>
          </w:p>
        </w:tc>
      </w:tr>
      <w:tr w:rsidR="007F3128" w:rsidRPr="00F658A6" w14:paraId="3F880F50" w14:textId="77777777" w:rsidTr="00F608A7">
        <w:tc>
          <w:tcPr>
            <w:tcW w:w="560" w:type="dxa"/>
            <w:gridSpan w:val="2"/>
            <w:vMerge/>
            <w:vAlign w:val="center"/>
          </w:tcPr>
          <w:p w14:paraId="3E8F1D96" w14:textId="77777777" w:rsidR="007F3128" w:rsidRPr="00F658A6" w:rsidRDefault="007F3128" w:rsidP="00F608A7">
            <w:pPr>
              <w:jc w:val="left"/>
              <w:rPr>
                <w:sz w:val="16"/>
                <w:szCs w:val="16"/>
              </w:rPr>
            </w:pPr>
          </w:p>
        </w:tc>
        <w:tc>
          <w:tcPr>
            <w:tcW w:w="2950" w:type="dxa"/>
            <w:vMerge/>
            <w:vAlign w:val="center"/>
          </w:tcPr>
          <w:p w14:paraId="136EC907" w14:textId="77777777" w:rsidR="007F3128" w:rsidRPr="00F658A6" w:rsidRDefault="007F3128" w:rsidP="00F608A7">
            <w:pPr>
              <w:jc w:val="left"/>
              <w:rPr>
                <w:sz w:val="16"/>
                <w:szCs w:val="16"/>
              </w:rPr>
            </w:pPr>
          </w:p>
        </w:tc>
        <w:tc>
          <w:tcPr>
            <w:tcW w:w="567" w:type="dxa"/>
            <w:vAlign w:val="center"/>
          </w:tcPr>
          <w:p w14:paraId="1C22DA9A" w14:textId="77777777" w:rsidR="007F3128" w:rsidRPr="00F658A6" w:rsidRDefault="007F3128" w:rsidP="00F608A7">
            <w:pPr>
              <w:jc w:val="left"/>
              <w:rPr>
                <w:sz w:val="16"/>
                <w:szCs w:val="16"/>
              </w:rPr>
            </w:pPr>
            <w:r w:rsidRPr="00F658A6">
              <w:rPr>
                <w:sz w:val="16"/>
                <w:szCs w:val="16"/>
              </w:rPr>
              <w:t>18</w:t>
            </w:r>
          </w:p>
        </w:tc>
        <w:tc>
          <w:tcPr>
            <w:tcW w:w="4927" w:type="dxa"/>
            <w:vAlign w:val="center"/>
          </w:tcPr>
          <w:p w14:paraId="0028FD3F" w14:textId="77777777" w:rsidR="007F3128" w:rsidRPr="00F658A6" w:rsidRDefault="007F3128" w:rsidP="00F608A7">
            <w:pPr>
              <w:jc w:val="left"/>
              <w:rPr>
                <w:sz w:val="16"/>
                <w:szCs w:val="16"/>
              </w:rPr>
            </w:pPr>
            <w:r w:rsidRPr="00F658A6">
              <w:rPr>
                <w:sz w:val="16"/>
                <w:szCs w:val="16"/>
              </w:rPr>
              <w:t>Ángel Gabriel Cuscul Flores (Sobrino)</w:t>
            </w:r>
          </w:p>
        </w:tc>
      </w:tr>
      <w:tr w:rsidR="007F3128" w:rsidRPr="00F658A6" w14:paraId="1DF5929A" w14:textId="77777777" w:rsidTr="00F608A7">
        <w:tc>
          <w:tcPr>
            <w:tcW w:w="560" w:type="dxa"/>
            <w:gridSpan w:val="2"/>
            <w:vAlign w:val="center"/>
          </w:tcPr>
          <w:p w14:paraId="61C03718" w14:textId="77777777" w:rsidR="007F3128" w:rsidRPr="00F658A6" w:rsidRDefault="007F3128" w:rsidP="00F608A7">
            <w:pPr>
              <w:jc w:val="left"/>
              <w:rPr>
                <w:sz w:val="16"/>
                <w:szCs w:val="16"/>
              </w:rPr>
            </w:pPr>
            <w:r w:rsidRPr="00F658A6">
              <w:rPr>
                <w:sz w:val="16"/>
                <w:szCs w:val="16"/>
              </w:rPr>
              <w:t>27</w:t>
            </w:r>
          </w:p>
        </w:tc>
        <w:tc>
          <w:tcPr>
            <w:tcW w:w="2950" w:type="dxa"/>
            <w:vAlign w:val="center"/>
          </w:tcPr>
          <w:p w14:paraId="260E8370" w14:textId="3096D789" w:rsidR="007F3128" w:rsidRPr="00F658A6" w:rsidRDefault="007F3128" w:rsidP="00F608A7">
            <w:pPr>
              <w:jc w:val="left"/>
              <w:rPr>
                <w:sz w:val="16"/>
                <w:szCs w:val="16"/>
              </w:rPr>
            </w:pPr>
            <w:r w:rsidRPr="00F658A6">
              <w:rPr>
                <w:sz w:val="16"/>
                <w:szCs w:val="16"/>
              </w:rPr>
              <w:t>Olga Marina Castillo</w:t>
            </w:r>
          </w:p>
        </w:tc>
        <w:tc>
          <w:tcPr>
            <w:tcW w:w="567" w:type="dxa"/>
            <w:vAlign w:val="center"/>
          </w:tcPr>
          <w:p w14:paraId="15D532DC" w14:textId="77777777" w:rsidR="007F3128" w:rsidRPr="00F658A6" w:rsidRDefault="007F3128" w:rsidP="00F608A7">
            <w:pPr>
              <w:jc w:val="left"/>
              <w:rPr>
                <w:sz w:val="16"/>
                <w:szCs w:val="16"/>
              </w:rPr>
            </w:pPr>
          </w:p>
        </w:tc>
        <w:tc>
          <w:tcPr>
            <w:tcW w:w="4927" w:type="dxa"/>
            <w:vAlign w:val="center"/>
          </w:tcPr>
          <w:p w14:paraId="2F0CED3A" w14:textId="1D8AE640" w:rsidR="007F3128" w:rsidRPr="00F658A6" w:rsidRDefault="001B66B3" w:rsidP="00F608A7">
            <w:pPr>
              <w:jc w:val="left"/>
              <w:rPr>
                <w:sz w:val="16"/>
                <w:szCs w:val="16"/>
              </w:rPr>
            </w:pPr>
            <w:r w:rsidRPr="00F658A6">
              <w:rPr>
                <w:sz w:val="16"/>
                <w:szCs w:val="16"/>
              </w:rPr>
              <w:t>No hay información disponible.</w:t>
            </w:r>
          </w:p>
        </w:tc>
      </w:tr>
      <w:tr w:rsidR="007F3128" w:rsidRPr="00F658A6" w14:paraId="3B3B7053" w14:textId="77777777" w:rsidTr="00F608A7">
        <w:tc>
          <w:tcPr>
            <w:tcW w:w="560" w:type="dxa"/>
            <w:gridSpan w:val="2"/>
            <w:vMerge w:val="restart"/>
            <w:vAlign w:val="center"/>
          </w:tcPr>
          <w:p w14:paraId="7105F130" w14:textId="77777777" w:rsidR="007F3128" w:rsidRPr="00F658A6" w:rsidRDefault="007F3128" w:rsidP="00F608A7">
            <w:pPr>
              <w:jc w:val="left"/>
              <w:rPr>
                <w:sz w:val="16"/>
                <w:szCs w:val="16"/>
              </w:rPr>
            </w:pPr>
            <w:r w:rsidRPr="00F658A6">
              <w:rPr>
                <w:sz w:val="16"/>
                <w:szCs w:val="16"/>
              </w:rPr>
              <w:t>28</w:t>
            </w:r>
          </w:p>
        </w:tc>
        <w:tc>
          <w:tcPr>
            <w:tcW w:w="2950" w:type="dxa"/>
            <w:vMerge w:val="restart"/>
            <w:vAlign w:val="center"/>
          </w:tcPr>
          <w:p w14:paraId="0C02B713" w14:textId="25D76C20" w:rsidR="007F3128" w:rsidRPr="00F658A6" w:rsidRDefault="007F3128" w:rsidP="00F608A7">
            <w:pPr>
              <w:jc w:val="left"/>
              <w:rPr>
                <w:sz w:val="16"/>
                <w:szCs w:val="16"/>
              </w:rPr>
            </w:pPr>
            <w:r w:rsidRPr="00F658A6">
              <w:rPr>
                <w:sz w:val="16"/>
                <w:szCs w:val="16"/>
              </w:rPr>
              <w:t>Mar</w:t>
            </w:r>
            <w:r w:rsidR="00256EEB" w:rsidRPr="00F658A6">
              <w:rPr>
                <w:sz w:val="16"/>
                <w:szCs w:val="16"/>
              </w:rPr>
              <w:t>í</w:t>
            </w:r>
            <w:r w:rsidRPr="00F658A6">
              <w:rPr>
                <w:sz w:val="16"/>
                <w:szCs w:val="16"/>
              </w:rPr>
              <w:t>a Felipe Pérez</w:t>
            </w:r>
          </w:p>
        </w:tc>
        <w:tc>
          <w:tcPr>
            <w:tcW w:w="567" w:type="dxa"/>
            <w:vAlign w:val="center"/>
          </w:tcPr>
          <w:p w14:paraId="5F36184F"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394F88AF" w14:textId="77777777" w:rsidR="007F3128" w:rsidRPr="00F658A6" w:rsidRDefault="007F3128" w:rsidP="00F608A7">
            <w:pPr>
              <w:tabs>
                <w:tab w:val="left" w:pos="1277"/>
              </w:tabs>
              <w:jc w:val="left"/>
              <w:rPr>
                <w:sz w:val="16"/>
                <w:szCs w:val="16"/>
              </w:rPr>
            </w:pPr>
            <w:r w:rsidRPr="00F658A6">
              <w:rPr>
                <w:sz w:val="16"/>
                <w:szCs w:val="16"/>
              </w:rPr>
              <w:t>Rocael Gómez Felipe (Hijo)</w:t>
            </w:r>
          </w:p>
        </w:tc>
      </w:tr>
      <w:tr w:rsidR="007F3128" w:rsidRPr="00F658A6" w14:paraId="4142C9E0" w14:textId="77777777" w:rsidTr="00F608A7">
        <w:tc>
          <w:tcPr>
            <w:tcW w:w="560" w:type="dxa"/>
            <w:gridSpan w:val="2"/>
            <w:vMerge/>
            <w:vAlign w:val="center"/>
          </w:tcPr>
          <w:p w14:paraId="7250F651" w14:textId="77777777" w:rsidR="007F3128" w:rsidRPr="00F658A6" w:rsidRDefault="007F3128" w:rsidP="00F608A7">
            <w:pPr>
              <w:jc w:val="left"/>
              <w:rPr>
                <w:sz w:val="16"/>
                <w:szCs w:val="16"/>
              </w:rPr>
            </w:pPr>
          </w:p>
        </w:tc>
        <w:tc>
          <w:tcPr>
            <w:tcW w:w="2950" w:type="dxa"/>
            <w:vMerge/>
            <w:vAlign w:val="center"/>
          </w:tcPr>
          <w:p w14:paraId="27067D49" w14:textId="77777777" w:rsidR="007F3128" w:rsidRPr="00F658A6" w:rsidRDefault="007F3128" w:rsidP="00F608A7">
            <w:pPr>
              <w:jc w:val="left"/>
              <w:rPr>
                <w:sz w:val="16"/>
                <w:szCs w:val="16"/>
              </w:rPr>
            </w:pPr>
          </w:p>
        </w:tc>
        <w:tc>
          <w:tcPr>
            <w:tcW w:w="567" w:type="dxa"/>
            <w:vAlign w:val="center"/>
          </w:tcPr>
          <w:p w14:paraId="3F0116B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27D2137F" w14:textId="77777777" w:rsidR="007F3128" w:rsidRPr="00F658A6" w:rsidRDefault="007F3128" w:rsidP="00F608A7">
            <w:pPr>
              <w:tabs>
                <w:tab w:val="left" w:pos="1277"/>
              </w:tabs>
              <w:jc w:val="left"/>
              <w:rPr>
                <w:sz w:val="16"/>
                <w:szCs w:val="16"/>
              </w:rPr>
            </w:pPr>
            <w:r w:rsidRPr="00F658A6">
              <w:rPr>
                <w:sz w:val="16"/>
                <w:szCs w:val="16"/>
              </w:rPr>
              <w:t>Jaime Gómez Felipe (Hijo)</w:t>
            </w:r>
          </w:p>
        </w:tc>
      </w:tr>
      <w:tr w:rsidR="007F3128" w:rsidRPr="00F658A6" w14:paraId="4C7EBF54" w14:textId="77777777" w:rsidTr="00F608A7">
        <w:tc>
          <w:tcPr>
            <w:tcW w:w="560" w:type="dxa"/>
            <w:gridSpan w:val="2"/>
            <w:vMerge/>
            <w:vAlign w:val="center"/>
          </w:tcPr>
          <w:p w14:paraId="3A476EF1" w14:textId="77777777" w:rsidR="007F3128" w:rsidRPr="00F658A6" w:rsidRDefault="007F3128" w:rsidP="00F608A7">
            <w:pPr>
              <w:jc w:val="left"/>
              <w:rPr>
                <w:sz w:val="16"/>
                <w:szCs w:val="16"/>
              </w:rPr>
            </w:pPr>
          </w:p>
        </w:tc>
        <w:tc>
          <w:tcPr>
            <w:tcW w:w="2950" w:type="dxa"/>
            <w:vMerge/>
            <w:vAlign w:val="center"/>
          </w:tcPr>
          <w:p w14:paraId="6177E1D9" w14:textId="77777777" w:rsidR="007F3128" w:rsidRPr="00F658A6" w:rsidRDefault="007F3128" w:rsidP="00F608A7">
            <w:pPr>
              <w:jc w:val="left"/>
              <w:rPr>
                <w:sz w:val="16"/>
                <w:szCs w:val="16"/>
              </w:rPr>
            </w:pPr>
          </w:p>
        </w:tc>
        <w:tc>
          <w:tcPr>
            <w:tcW w:w="567" w:type="dxa"/>
            <w:vAlign w:val="center"/>
          </w:tcPr>
          <w:p w14:paraId="4F203AEA"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281113B" w14:textId="77777777" w:rsidR="007F3128" w:rsidRPr="00F658A6" w:rsidRDefault="007F3128" w:rsidP="00F608A7">
            <w:pPr>
              <w:tabs>
                <w:tab w:val="left" w:pos="1277"/>
              </w:tabs>
              <w:jc w:val="left"/>
              <w:rPr>
                <w:sz w:val="16"/>
                <w:szCs w:val="16"/>
              </w:rPr>
            </w:pPr>
            <w:r w:rsidRPr="00F658A6">
              <w:rPr>
                <w:sz w:val="16"/>
                <w:szCs w:val="16"/>
              </w:rPr>
              <w:t>Miguel Gómez Felipe (Hijo)</w:t>
            </w:r>
          </w:p>
        </w:tc>
      </w:tr>
      <w:tr w:rsidR="007F3128" w:rsidRPr="00F658A6" w14:paraId="66A53372" w14:textId="77777777" w:rsidTr="00F608A7">
        <w:tc>
          <w:tcPr>
            <w:tcW w:w="560" w:type="dxa"/>
            <w:gridSpan w:val="2"/>
            <w:vMerge/>
            <w:vAlign w:val="center"/>
          </w:tcPr>
          <w:p w14:paraId="357ECA84" w14:textId="77777777" w:rsidR="007F3128" w:rsidRPr="00F658A6" w:rsidRDefault="007F3128" w:rsidP="00F608A7">
            <w:pPr>
              <w:jc w:val="left"/>
              <w:rPr>
                <w:sz w:val="16"/>
                <w:szCs w:val="16"/>
              </w:rPr>
            </w:pPr>
          </w:p>
        </w:tc>
        <w:tc>
          <w:tcPr>
            <w:tcW w:w="2950" w:type="dxa"/>
            <w:vMerge/>
            <w:vAlign w:val="center"/>
          </w:tcPr>
          <w:p w14:paraId="5C2BEAFD" w14:textId="77777777" w:rsidR="007F3128" w:rsidRPr="00F658A6" w:rsidRDefault="007F3128" w:rsidP="00F608A7">
            <w:pPr>
              <w:jc w:val="left"/>
              <w:rPr>
                <w:sz w:val="16"/>
                <w:szCs w:val="16"/>
              </w:rPr>
            </w:pPr>
          </w:p>
        </w:tc>
        <w:tc>
          <w:tcPr>
            <w:tcW w:w="567" w:type="dxa"/>
            <w:vAlign w:val="center"/>
          </w:tcPr>
          <w:p w14:paraId="1BE2DF3A"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99A7C73" w14:textId="77777777" w:rsidR="007F3128" w:rsidRPr="00F658A6" w:rsidRDefault="007F3128" w:rsidP="00F608A7">
            <w:pPr>
              <w:tabs>
                <w:tab w:val="left" w:pos="1277"/>
              </w:tabs>
              <w:jc w:val="left"/>
              <w:rPr>
                <w:sz w:val="16"/>
                <w:szCs w:val="16"/>
              </w:rPr>
            </w:pPr>
            <w:r w:rsidRPr="00F658A6">
              <w:rPr>
                <w:sz w:val="16"/>
                <w:szCs w:val="16"/>
              </w:rPr>
              <w:t>Carlos Gómez Felipe (Hijo)</w:t>
            </w:r>
          </w:p>
        </w:tc>
      </w:tr>
      <w:tr w:rsidR="007F3128" w:rsidRPr="00F658A6" w14:paraId="6F625002" w14:textId="77777777" w:rsidTr="00F608A7">
        <w:tc>
          <w:tcPr>
            <w:tcW w:w="560" w:type="dxa"/>
            <w:gridSpan w:val="2"/>
            <w:vMerge/>
            <w:vAlign w:val="center"/>
          </w:tcPr>
          <w:p w14:paraId="6AB39D4A" w14:textId="77777777" w:rsidR="007F3128" w:rsidRPr="00F658A6" w:rsidRDefault="007F3128" w:rsidP="00F608A7">
            <w:pPr>
              <w:jc w:val="left"/>
              <w:rPr>
                <w:sz w:val="16"/>
                <w:szCs w:val="16"/>
              </w:rPr>
            </w:pPr>
          </w:p>
        </w:tc>
        <w:tc>
          <w:tcPr>
            <w:tcW w:w="2950" w:type="dxa"/>
            <w:vMerge/>
            <w:vAlign w:val="center"/>
          </w:tcPr>
          <w:p w14:paraId="07A609E9" w14:textId="77777777" w:rsidR="007F3128" w:rsidRPr="00F658A6" w:rsidRDefault="007F3128" w:rsidP="00F608A7">
            <w:pPr>
              <w:jc w:val="left"/>
              <w:rPr>
                <w:sz w:val="16"/>
                <w:szCs w:val="16"/>
              </w:rPr>
            </w:pPr>
          </w:p>
        </w:tc>
        <w:tc>
          <w:tcPr>
            <w:tcW w:w="567" w:type="dxa"/>
            <w:vAlign w:val="center"/>
          </w:tcPr>
          <w:p w14:paraId="07D6E3F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59F38C82" w14:textId="77777777" w:rsidR="007F3128" w:rsidRPr="00F658A6" w:rsidRDefault="007F3128" w:rsidP="00F608A7">
            <w:pPr>
              <w:tabs>
                <w:tab w:val="left" w:pos="1277"/>
              </w:tabs>
              <w:jc w:val="left"/>
              <w:rPr>
                <w:sz w:val="16"/>
                <w:szCs w:val="16"/>
              </w:rPr>
            </w:pPr>
            <w:r w:rsidRPr="00F658A6">
              <w:rPr>
                <w:sz w:val="16"/>
                <w:szCs w:val="16"/>
              </w:rPr>
              <w:t>Francisco Gómez Felipe (Hijo)</w:t>
            </w:r>
          </w:p>
        </w:tc>
      </w:tr>
      <w:tr w:rsidR="007F3128" w:rsidRPr="00F658A6" w14:paraId="12201E4F" w14:textId="77777777" w:rsidTr="00F608A7">
        <w:tc>
          <w:tcPr>
            <w:tcW w:w="560" w:type="dxa"/>
            <w:gridSpan w:val="2"/>
            <w:vMerge/>
            <w:vAlign w:val="center"/>
          </w:tcPr>
          <w:p w14:paraId="29A45570" w14:textId="77777777" w:rsidR="007F3128" w:rsidRPr="00F658A6" w:rsidRDefault="007F3128" w:rsidP="00F608A7">
            <w:pPr>
              <w:jc w:val="left"/>
              <w:rPr>
                <w:sz w:val="16"/>
                <w:szCs w:val="16"/>
              </w:rPr>
            </w:pPr>
          </w:p>
        </w:tc>
        <w:tc>
          <w:tcPr>
            <w:tcW w:w="2950" w:type="dxa"/>
            <w:vMerge/>
            <w:vAlign w:val="center"/>
          </w:tcPr>
          <w:p w14:paraId="206E7524" w14:textId="77777777" w:rsidR="007F3128" w:rsidRPr="00F658A6" w:rsidRDefault="007F3128" w:rsidP="00F608A7">
            <w:pPr>
              <w:jc w:val="left"/>
              <w:rPr>
                <w:sz w:val="16"/>
                <w:szCs w:val="16"/>
              </w:rPr>
            </w:pPr>
          </w:p>
        </w:tc>
        <w:tc>
          <w:tcPr>
            <w:tcW w:w="567" w:type="dxa"/>
            <w:vAlign w:val="center"/>
          </w:tcPr>
          <w:p w14:paraId="4890BC8C"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739E11DC" w14:textId="77777777" w:rsidR="007F3128" w:rsidRPr="00F658A6" w:rsidRDefault="007F3128" w:rsidP="00F608A7">
            <w:pPr>
              <w:tabs>
                <w:tab w:val="left" w:pos="1277"/>
              </w:tabs>
              <w:jc w:val="left"/>
              <w:rPr>
                <w:sz w:val="16"/>
                <w:szCs w:val="16"/>
              </w:rPr>
            </w:pPr>
            <w:r w:rsidRPr="00F658A6">
              <w:rPr>
                <w:sz w:val="16"/>
                <w:szCs w:val="16"/>
              </w:rPr>
              <w:t>Margarita Gómez Felipe (Hija)</w:t>
            </w:r>
          </w:p>
        </w:tc>
      </w:tr>
      <w:tr w:rsidR="007F3128" w:rsidRPr="00F658A6" w14:paraId="5FCAEB03" w14:textId="77777777" w:rsidTr="00F608A7">
        <w:tc>
          <w:tcPr>
            <w:tcW w:w="560" w:type="dxa"/>
            <w:gridSpan w:val="2"/>
            <w:vMerge/>
            <w:vAlign w:val="center"/>
          </w:tcPr>
          <w:p w14:paraId="75377A10" w14:textId="77777777" w:rsidR="007F3128" w:rsidRPr="00F658A6" w:rsidRDefault="007F3128" w:rsidP="00F608A7">
            <w:pPr>
              <w:jc w:val="left"/>
              <w:rPr>
                <w:sz w:val="16"/>
                <w:szCs w:val="16"/>
              </w:rPr>
            </w:pPr>
          </w:p>
        </w:tc>
        <w:tc>
          <w:tcPr>
            <w:tcW w:w="2950" w:type="dxa"/>
            <w:vMerge/>
            <w:vAlign w:val="center"/>
          </w:tcPr>
          <w:p w14:paraId="6C52AEF2" w14:textId="77777777" w:rsidR="007F3128" w:rsidRPr="00F658A6" w:rsidRDefault="007F3128" w:rsidP="00F608A7">
            <w:pPr>
              <w:jc w:val="left"/>
              <w:rPr>
                <w:sz w:val="16"/>
                <w:szCs w:val="16"/>
              </w:rPr>
            </w:pPr>
          </w:p>
        </w:tc>
        <w:tc>
          <w:tcPr>
            <w:tcW w:w="567" w:type="dxa"/>
            <w:vAlign w:val="center"/>
          </w:tcPr>
          <w:p w14:paraId="3B0E72C6"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3455EF52" w14:textId="77777777" w:rsidR="007F3128" w:rsidRPr="00F658A6" w:rsidRDefault="007F3128" w:rsidP="00F608A7">
            <w:pPr>
              <w:tabs>
                <w:tab w:val="left" w:pos="1277"/>
              </w:tabs>
              <w:jc w:val="left"/>
              <w:rPr>
                <w:sz w:val="16"/>
                <w:szCs w:val="16"/>
              </w:rPr>
            </w:pPr>
            <w:r w:rsidRPr="00F658A6">
              <w:rPr>
                <w:sz w:val="16"/>
                <w:szCs w:val="16"/>
              </w:rPr>
              <w:t>Ana Patricia Gómez Felipe (Hija)</w:t>
            </w:r>
          </w:p>
        </w:tc>
      </w:tr>
      <w:tr w:rsidR="007F3128" w:rsidRPr="00F658A6" w14:paraId="45E4018F" w14:textId="77777777" w:rsidTr="00F608A7">
        <w:tc>
          <w:tcPr>
            <w:tcW w:w="560" w:type="dxa"/>
            <w:gridSpan w:val="2"/>
            <w:vMerge/>
            <w:vAlign w:val="center"/>
          </w:tcPr>
          <w:p w14:paraId="06A6C436" w14:textId="77777777" w:rsidR="007F3128" w:rsidRPr="00F658A6" w:rsidRDefault="007F3128" w:rsidP="00F608A7">
            <w:pPr>
              <w:jc w:val="left"/>
              <w:rPr>
                <w:sz w:val="16"/>
                <w:szCs w:val="16"/>
              </w:rPr>
            </w:pPr>
          </w:p>
        </w:tc>
        <w:tc>
          <w:tcPr>
            <w:tcW w:w="2950" w:type="dxa"/>
            <w:vMerge/>
            <w:vAlign w:val="center"/>
          </w:tcPr>
          <w:p w14:paraId="46C1F13B" w14:textId="77777777" w:rsidR="007F3128" w:rsidRPr="00F658A6" w:rsidRDefault="007F3128" w:rsidP="00F608A7">
            <w:pPr>
              <w:jc w:val="left"/>
              <w:rPr>
                <w:sz w:val="16"/>
                <w:szCs w:val="16"/>
              </w:rPr>
            </w:pPr>
          </w:p>
        </w:tc>
        <w:tc>
          <w:tcPr>
            <w:tcW w:w="567" w:type="dxa"/>
            <w:vAlign w:val="center"/>
          </w:tcPr>
          <w:p w14:paraId="19504552"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378008F2" w14:textId="77777777" w:rsidR="007F3128" w:rsidRPr="00F658A6" w:rsidRDefault="007F3128" w:rsidP="00F608A7">
            <w:pPr>
              <w:tabs>
                <w:tab w:val="left" w:pos="1277"/>
              </w:tabs>
              <w:jc w:val="left"/>
              <w:rPr>
                <w:sz w:val="16"/>
                <w:szCs w:val="16"/>
              </w:rPr>
            </w:pPr>
            <w:r w:rsidRPr="00F658A6">
              <w:rPr>
                <w:sz w:val="16"/>
                <w:szCs w:val="16"/>
              </w:rPr>
              <w:t>Roberto Gómez García (Padre de sus hijos fallecido)</w:t>
            </w:r>
          </w:p>
        </w:tc>
      </w:tr>
      <w:tr w:rsidR="007F3128" w:rsidRPr="00F658A6" w14:paraId="197E61EC" w14:textId="77777777" w:rsidTr="00F608A7">
        <w:tc>
          <w:tcPr>
            <w:tcW w:w="560" w:type="dxa"/>
            <w:gridSpan w:val="2"/>
            <w:vMerge w:val="restart"/>
            <w:vAlign w:val="center"/>
          </w:tcPr>
          <w:p w14:paraId="571C9607" w14:textId="77777777" w:rsidR="007F3128" w:rsidRPr="00F658A6" w:rsidRDefault="007F3128" w:rsidP="00F608A7">
            <w:pPr>
              <w:jc w:val="left"/>
              <w:rPr>
                <w:sz w:val="16"/>
                <w:szCs w:val="16"/>
              </w:rPr>
            </w:pPr>
            <w:r w:rsidRPr="00F658A6">
              <w:rPr>
                <w:sz w:val="16"/>
                <w:szCs w:val="16"/>
              </w:rPr>
              <w:t>29</w:t>
            </w:r>
          </w:p>
        </w:tc>
        <w:tc>
          <w:tcPr>
            <w:tcW w:w="2950" w:type="dxa"/>
            <w:vMerge w:val="restart"/>
            <w:vAlign w:val="center"/>
          </w:tcPr>
          <w:p w14:paraId="7EB46487" w14:textId="545BDACB" w:rsidR="007F3128" w:rsidRPr="00F658A6" w:rsidRDefault="007F3128" w:rsidP="00F608A7">
            <w:pPr>
              <w:jc w:val="left"/>
              <w:rPr>
                <w:sz w:val="16"/>
                <w:szCs w:val="16"/>
              </w:rPr>
            </w:pPr>
            <w:r w:rsidRPr="00F658A6">
              <w:rPr>
                <w:sz w:val="16"/>
                <w:szCs w:val="16"/>
              </w:rPr>
              <w:t>Ismerai Olibia García Castañ</w:t>
            </w:r>
            <w:r w:rsidR="00A04295" w:rsidRPr="00F658A6">
              <w:rPr>
                <w:sz w:val="16"/>
                <w:szCs w:val="16"/>
              </w:rPr>
              <w:t>o</w:t>
            </w:r>
            <w:r w:rsidRPr="00F658A6">
              <w:rPr>
                <w:sz w:val="16"/>
                <w:szCs w:val="16"/>
              </w:rPr>
              <w:t>n</w:t>
            </w:r>
          </w:p>
        </w:tc>
        <w:tc>
          <w:tcPr>
            <w:tcW w:w="567" w:type="dxa"/>
            <w:vAlign w:val="center"/>
          </w:tcPr>
          <w:p w14:paraId="69819503"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B3E8B9A" w14:textId="77777777" w:rsidR="007F3128" w:rsidRPr="00F658A6" w:rsidRDefault="007F3128" w:rsidP="00F608A7">
            <w:pPr>
              <w:tabs>
                <w:tab w:val="left" w:pos="1277"/>
              </w:tabs>
              <w:jc w:val="left"/>
              <w:rPr>
                <w:sz w:val="16"/>
                <w:szCs w:val="16"/>
              </w:rPr>
            </w:pPr>
            <w:r w:rsidRPr="00F658A6">
              <w:rPr>
                <w:sz w:val="16"/>
                <w:szCs w:val="16"/>
              </w:rPr>
              <w:t>Leonidas Alberto Cifuentes García (Hijo)</w:t>
            </w:r>
          </w:p>
        </w:tc>
      </w:tr>
      <w:tr w:rsidR="007F3128" w:rsidRPr="00F658A6" w14:paraId="46FC61A7" w14:textId="77777777" w:rsidTr="00F608A7">
        <w:tc>
          <w:tcPr>
            <w:tcW w:w="560" w:type="dxa"/>
            <w:gridSpan w:val="2"/>
            <w:vMerge/>
            <w:vAlign w:val="center"/>
          </w:tcPr>
          <w:p w14:paraId="207F5F72" w14:textId="77777777" w:rsidR="007F3128" w:rsidRPr="00F658A6" w:rsidRDefault="007F3128" w:rsidP="00F608A7">
            <w:pPr>
              <w:jc w:val="left"/>
              <w:rPr>
                <w:sz w:val="16"/>
                <w:szCs w:val="16"/>
              </w:rPr>
            </w:pPr>
          </w:p>
        </w:tc>
        <w:tc>
          <w:tcPr>
            <w:tcW w:w="2950" w:type="dxa"/>
            <w:vMerge/>
            <w:vAlign w:val="center"/>
          </w:tcPr>
          <w:p w14:paraId="517D618B" w14:textId="77777777" w:rsidR="007F3128" w:rsidRPr="00F658A6" w:rsidRDefault="007F3128" w:rsidP="00F608A7">
            <w:pPr>
              <w:jc w:val="left"/>
              <w:rPr>
                <w:sz w:val="16"/>
                <w:szCs w:val="16"/>
              </w:rPr>
            </w:pPr>
          </w:p>
        </w:tc>
        <w:tc>
          <w:tcPr>
            <w:tcW w:w="567" w:type="dxa"/>
            <w:vAlign w:val="center"/>
          </w:tcPr>
          <w:p w14:paraId="5213F620"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62D6014A" w14:textId="77777777" w:rsidR="007F3128" w:rsidRPr="00F658A6" w:rsidRDefault="007F3128" w:rsidP="00F608A7">
            <w:pPr>
              <w:tabs>
                <w:tab w:val="left" w:pos="1277"/>
              </w:tabs>
              <w:jc w:val="left"/>
              <w:rPr>
                <w:sz w:val="16"/>
                <w:szCs w:val="16"/>
              </w:rPr>
            </w:pPr>
            <w:r w:rsidRPr="00F658A6">
              <w:rPr>
                <w:sz w:val="16"/>
                <w:szCs w:val="16"/>
              </w:rPr>
              <w:t>Guillermo Neemias Cifuentes García (Hijo)</w:t>
            </w:r>
          </w:p>
        </w:tc>
      </w:tr>
      <w:tr w:rsidR="007F3128" w:rsidRPr="00F658A6" w14:paraId="65034A76" w14:textId="77777777" w:rsidTr="00F608A7">
        <w:tc>
          <w:tcPr>
            <w:tcW w:w="560" w:type="dxa"/>
            <w:gridSpan w:val="2"/>
            <w:vMerge/>
            <w:vAlign w:val="center"/>
          </w:tcPr>
          <w:p w14:paraId="5B3B217A" w14:textId="77777777" w:rsidR="007F3128" w:rsidRPr="00F658A6" w:rsidRDefault="007F3128" w:rsidP="00F608A7">
            <w:pPr>
              <w:jc w:val="left"/>
              <w:rPr>
                <w:sz w:val="16"/>
                <w:szCs w:val="16"/>
              </w:rPr>
            </w:pPr>
          </w:p>
        </w:tc>
        <w:tc>
          <w:tcPr>
            <w:tcW w:w="2950" w:type="dxa"/>
            <w:vMerge/>
            <w:vAlign w:val="center"/>
          </w:tcPr>
          <w:p w14:paraId="06802F0C" w14:textId="77777777" w:rsidR="007F3128" w:rsidRPr="00F658A6" w:rsidRDefault="007F3128" w:rsidP="00F608A7">
            <w:pPr>
              <w:jc w:val="left"/>
              <w:rPr>
                <w:sz w:val="16"/>
                <w:szCs w:val="16"/>
              </w:rPr>
            </w:pPr>
          </w:p>
        </w:tc>
        <w:tc>
          <w:tcPr>
            <w:tcW w:w="567" w:type="dxa"/>
            <w:vAlign w:val="center"/>
          </w:tcPr>
          <w:p w14:paraId="7E999E25"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6654F9E2" w14:textId="77777777" w:rsidR="007F3128" w:rsidRPr="00F658A6" w:rsidRDefault="007F3128" w:rsidP="00F608A7">
            <w:pPr>
              <w:tabs>
                <w:tab w:val="left" w:pos="1277"/>
              </w:tabs>
              <w:jc w:val="left"/>
              <w:rPr>
                <w:sz w:val="16"/>
                <w:szCs w:val="16"/>
              </w:rPr>
            </w:pPr>
            <w:r w:rsidRPr="00F658A6">
              <w:rPr>
                <w:sz w:val="16"/>
                <w:szCs w:val="16"/>
              </w:rPr>
              <w:t>Elder Neftali Cifuentes García (Hijo)</w:t>
            </w:r>
          </w:p>
        </w:tc>
      </w:tr>
      <w:tr w:rsidR="007F3128" w:rsidRPr="00F658A6" w14:paraId="607E8541" w14:textId="77777777" w:rsidTr="00F608A7">
        <w:tc>
          <w:tcPr>
            <w:tcW w:w="560" w:type="dxa"/>
            <w:gridSpan w:val="2"/>
            <w:vMerge/>
            <w:vAlign w:val="center"/>
          </w:tcPr>
          <w:p w14:paraId="4A4C7845" w14:textId="77777777" w:rsidR="007F3128" w:rsidRPr="00F658A6" w:rsidRDefault="007F3128" w:rsidP="00F608A7">
            <w:pPr>
              <w:jc w:val="left"/>
              <w:rPr>
                <w:sz w:val="16"/>
                <w:szCs w:val="16"/>
              </w:rPr>
            </w:pPr>
          </w:p>
        </w:tc>
        <w:tc>
          <w:tcPr>
            <w:tcW w:w="2950" w:type="dxa"/>
            <w:vMerge/>
            <w:vAlign w:val="center"/>
          </w:tcPr>
          <w:p w14:paraId="72AEBC04" w14:textId="77777777" w:rsidR="007F3128" w:rsidRPr="00F658A6" w:rsidRDefault="007F3128" w:rsidP="00F608A7">
            <w:pPr>
              <w:jc w:val="left"/>
              <w:rPr>
                <w:sz w:val="16"/>
                <w:szCs w:val="16"/>
              </w:rPr>
            </w:pPr>
          </w:p>
        </w:tc>
        <w:tc>
          <w:tcPr>
            <w:tcW w:w="567" w:type="dxa"/>
            <w:vAlign w:val="center"/>
          </w:tcPr>
          <w:p w14:paraId="346FD43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412C6DD6" w14:textId="77777777" w:rsidR="007F3128" w:rsidRPr="00F658A6" w:rsidRDefault="007F3128" w:rsidP="00F608A7">
            <w:pPr>
              <w:tabs>
                <w:tab w:val="left" w:pos="1277"/>
              </w:tabs>
              <w:jc w:val="left"/>
              <w:rPr>
                <w:sz w:val="16"/>
                <w:szCs w:val="16"/>
              </w:rPr>
            </w:pPr>
            <w:r w:rsidRPr="00F658A6">
              <w:rPr>
                <w:sz w:val="16"/>
                <w:szCs w:val="16"/>
              </w:rPr>
              <w:t>Ingrid Olivia Cifuentes García (Hija)</w:t>
            </w:r>
          </w:p>
        </w:tc>
      </w:tr>
      <w:tr w:rsidR="007F3128" w:rsidRPr="00F658A6" w14:paraId="19B8791B" w14:textId="77777777" w:rsidTr="00F608A7">
        <w:tc>
          <w:tcPr>
            <w:tcW w:w="560" w:type="dxa"/>
            <w:gridSpan w:val="2"/>
            <w:vMerge/>
            <w:vAlign w:val="center"/>
          </w:tcPr>
          <w:p w14:paraId="70CAF8A2" w14:textId="77777777" w:rsidR="007F3128" w:rsidRPr="00F658A6" w:rsidRDefault="007F3128" w:rsidP="00F608A7">
            <w:pPr>
              <w:jc w:val="left"/>
              <w:rPr>
                <w:sz w:val="16"/>
                <w:szCs w:val="16"/>
              </w:rPr>
            </w:pPr>
          </w:p>
        </w:tc>
        <w:tc>
          <w:tcPr>
            <w:tcW w:w="2950" w:type="dxa"/>
            <w:vMerge/>
            <w:vAlign w:val="center"/>
          </w:tcPr>
          <w:p w14:paraId="35B15FE1" w14:textId="77777777" w:rsidR="007F3128" w:rsidRPr="00F658A6" w:rsidRDefault="007F3128" w:rsidP="00F608A7">
            <w:pPr>
              <w:jc w:val="left"/>
              <w:rPr>
                <w:sz w:val="16"/>
                <w:szCs w:val="16"/>
              </w:rPr>
            </w:pPr>
          </w:p>
        </w:tc>
        <w:tc>
          <w:tcPr>
            <w:tcW w:w="567" w:type="dxa"/>
            <w:vAlign w:val="center"/>
          </w:tcPr>
          <w:p w14:paraId="70B80C55"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5FBE11A9" w14:textId="77777777" w:rsidR="007F3128" w:rsidRPr="00F658A6" w:rsidRDefault="007F3128" w:rsidP="00F608A7">
            <w:pPr>
              <w:tabs>
                <w:tab w:val="left" w:pos="1277"/>
              </w:tabs>
              <w:jc w:val="left"/>
              <w:rPr>
                <w:sz w:val="16"/>
                <w:szCs w:val="16"/>
              </w:rPr>
            </w:pPr>
            <w:r w:rsidRPr="00F658A6">
              <w:rPr>
                <w:sz w:val="16"/>
                <w:szCs w:val="16"/>
              </w:rPr>
              <w:t>Juan Antonio Cifuentes García (Hijo fallecido)</w:t>
            </w:r>
          </w:p>
        </w:tc>
      </w:tr>
      <w:tr w:rsidR="007F3128" w:rsidRPr="00F658A6" w14:paraId="24A73C02" w14:textId="77777777" w:rsidTr="00F608A7">
        <w:tc>
          <w:tcPr>
            <w:tcW w:w="560" w:type="dxa"/>
            <w:gridSpan w:val="2"/>
            <w:vMerge/>
            <w:vAlign w:val="center"/>
          </w:tcPr>
          <w:p w14:paraId="550ACC2F" w14:textId="77777777" w:rsidR="007F3128" w:rsidRPr="00F658A6" w:rsidRDefault="007F3128" w:rsidP="00F608A7">
            <w:pPr>
              <w:jc w:val="left"/>
              <w:rPr>
                <w:sz w:val="16"/>
                <w:szCs w:val="16"/>
              </w:rPr>
            </w:pPr>
          </w:p>
        </w:tc>
        <w:tc>
          <w:tcPr>
            <w:tcW w:w="2950" w:type="dxa"/>
            <w:vMerge/>
            <w:vAlign w:val="center"/>
          </w:tcPr>
          <w:p w14:paraId="1A481CF0" w14:textId="77777777" w:rsidR="007F3128" w:rsidRPr="00F658A6" w:rsidRDefault="007F3128" w:rsidP="00F608A7">
            <w:pPr>
              <w:jc w:val="left"/>
              <w:rPr>
                <w:sz w:val="16"/>
                <w:szCs w:val="16"/>
              </w:rPr>
            </w:pPr>
          </w:p>
        </w:tc>
        <w:tc>
          <w:tcPr>
            <w:tcW w:w="567" w:type="dxa"/>
            <w:vAlign w:val="center"/>
          </w:tcPr>
          <w:p w14:paraId="5B8AF24F"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7C7EB9B4" w14:textId="77777777" w:rsidR="007F3128" w:rsidRPr="00F658A6" w:rsidRDefault="007F3128" w:rsidP="00F608A7">
            <w:pPr>
              <w:tabs>
                <w:tab w:val="left" w:pos="1277"/>
              </w:tabs>
              <w:jc w:val="left"/>
              <w:rPr>
                <w:sz w:val="16"/>
                <w:szCs w:val="16"/>
              </w:rPr>
            </w:pPr>
            <w:r w:rsidRPr="00F658A6">
              <w:rPr>
                <w:sz w:val="16"/>
                <w:szCs w:val="16"/>
              </w:rPr>
              <w:t>Juan Guillermo Cifuentes Orozco (Padre de sus hijos)</w:t>
            </w:r>
          </w:p>
        </w:tc>
      </w:tr>
      <w:tr w:rsidR="007F3128" w:rsidRPr="00F658A6" w14:paraId="752A7FF9" w14:textId="77777777" w:rsidTr="00F608A7">
        <w:tc>
          <w:tcPr>
            <w:tcW w:w="560" w:type="dxa"/>
            <w:gridSpan w:val="2"/>
            <w:vMerge/>
            <w:vAlign w:val="center"/>
          </w:tcPr>
          <w:p w14:paraId="3EB5D7BE" w14:textId="77777777" w:rsidR="007F3128" w:rsidRPr="00F658A6" w:rsidRDefault="007F3128" w:rsidP="00F608A7">
            <w:pPr>
              <w:jc w:val="left"/>
              <w:rPr>
                <w:sz w:val="16"/>
                <w:szCs w:val="16"/>
              </w:rPr>
            </w:pPr>
          </w:p>
        </w:tc>
        <w:tc>
          <w:tcPr>
            <w:tcW w:w="2950" w:type="dxa"/>
            <w:vMerge/>
            <w:vAlign w:val="center"/>
          </w:tcPr>
          <w:p w14:paraId="612264A5" w14:textId="77777777" w:rsidR="007F3128" w:rsidRPr="00F658A6" w:rsidRDefault="007F3128" w:rsidP="00F608A7">
            <w:pPr>
              <w:jc w:val="left"/>
              <w:rPr>
                <w:sz w:val="16"/>
                <w:szCs w:val="16"/>
              </w:rPr>
            </w:pPr>
          </w:p>
        </w:tc>
        <w:tc>
          <w:tcPr>
            <w:tcW w:w="567" w:type="dxa"/>
            <w:vAlign w:val="center"/>
          </w:tcPr>
          <w:p w14:paraId="7F7BF8DC"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520717D7" w14:textId="09EDD31D" w:rsidR="007F3128" w:rsidRPr="00F658A6" w:rsidRDefault="005A6BF4" w:rsidP="00F608A7">
            <w:pPr>
              <w:tabs>
                <w:tab w:val="left" w:pos="1277"/>
              </w:tabs>
              <w:jc w:val="left"/>
              <w:rPr>
                <w:sz w:val="16"/>
                <w:szCs w:val="16"/>
              </w:rPr>
            </w:pPr>
            <w:r>
              <w:rPr>
                <w:sz w:val="16"/>
                <w:szCs w:val="16"/>
              </w:rPr>
              <w:t>Leodora Castaño</w:t>
            </w:r>
            <w:r w:rsidR="007F3128" w:rsidRPr="00F658A6">
              <w:rPr>
                <w:sz w:val="16"/>
                <w:szCs w:val="16"/>
              </w:rPr>
              <w:t>n Cruz (Madre)</w:t>
            </w:r>
          </w:p>
        </w:tc>
      </w:tr>
      <w:tr w:rsidR="007F3128" w:rsidRPr="00F658A6" w14:paraId="3FDD552C" w14:textId="77777777" w:rsidTr="00F608A7">
        <w:tc>
          <w:tcPr>
            <w:tcW w:w="560" w:type="dxa"/>
            <w:gridSpan w:val="2"/>
            <w:vMerge/>
            <w:vAlign w:val="center"/>
          </w:tcPr>
          <w:p w14:paraId="7A7C70BC" w14:textId="77777777" w:rsidR="007F3128" w:rsidRPr="00F658A6" w:rsidRDefault="007F3128" w:rsidP="00F608A7">
            <w:pPr>
              <w:jc w:val="left"/>
              <w:rPr>
                <w:sz w:val="16"/>
                <w:szCs w:val="16"/>
              </w:rPr>
            </w:pPr>
          </w:p>
        </w:tc>
        <w:tc>
          <w:tcPr>
            <w:tcW w:w="2950" w:type="dxa"/>
            <w:vMerge/>
            <w:vAlign w:val="center"/>
          </w:tcPr>
          <w:p w14:paraId="12FDD11D" w14:textId="77777777" w:rsidR="007F3128" w:rsidRPr="00F658A6" w:rsidRDefault="007F3128" w:rsidP="00F608A7">
            <w:pPr>
              <w:jc w:val="left"/>
              <w:rPr>
                <w:sz w:val="16"/>
                <w:szCs w:val="16"/>
              </w:rPr>
            </w:pPr>
          </w:p>
        </w:tc>
        <w:tc>
          <w:tcPr>
            <w:tcW w:w="567" w:type="dxa"/>
            <w:vAlign w:val="center"/>
          </w:tcPr>
          <w:p w14:paraId="2E4BFFE8"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34A52DDD" w14:textId="71F123C7" w:rsidR="007F3128" w:rsidRPr="00F658A6" w:rsidRDefault="005A6BF4" w:rsidP="00F608A7">
            <w:pPr>
              <w:tabs>
                <w:tab w:val="left" w:pos="1277"/>
              </w:tabs>
              <w:jc w:val="left"/>
              <w:rPr>
                <w:sz w:val="16"/>
                <w:szCs w:val="16"/>
              </w:rPr>
            </w:pPr>
            <w:r>
              <w:rPr>
                <w:sz w:val="16"/>
                <w:szCs w:val="16"/>
              </w:rPr>
              <w:t>Santos Isacar</w:t>
            </w:r>
            <w:r w:rsidR="007F3128" w:rsidRPr="00F658A6">
              <w:rPr>
                <w:sz w:val="16"/>
                <w:szCs w:val="16"/>
              </w:rPr>
              <w:t xml:space="preserve"> Vásquez Barrios (Pareja actual)</w:t>
            </w:r>
          </w:p>
        </w:tc>
      </w:tr>
      <w:tr w:rsidR="007F3128" w:rsidRPr="00F658A6" w14:paraId="0E25AC95" w14:textId="77777777" w:rsidTr="00F608A7">
        <w:tc>
          <w:tcPr>
            <w:tcW w:w="560" w:type="dxa"/>
            <w:gridSpan w:val="2"/>
            <w:vMerge w:val="restart"/>
            <w:vAlign w:val="center"/>
          </w:tcPr>
          <w:p w14:paraId="29194351" w14:textId="77777777" w:rsidR="007F3128" w:rsidRPr="00F658A6" w:rsidRDefault="007F3128" w:rsidP="00F608A7">
            <w:pPr>
              <w:jc w:val="left"/>
              <w:rPr>
                <w:sz w:val="16"/>
                <w:szCs w:val="16"/>
              </w:rPr>
            </w:pPr>
            <w:r w:rsidRPr="00F658A6">
              <w:rPr>
                <w:sz w:val="16"/>
                <w:szCs w:val="16"/>
              </w:rPr>
              <w:t>30</w:t>
            </w:r>
          </w:p>
        </w:tc>
        <w:tc>
          <w:tcPr>
            <w:tcW w:w="2950" w:type="dxa"/>
            <w:vMerge w:val="restart"/>
            <w:vAlign w:val="center"/>
          </w:tcPr>
          <w:p w14:paraId="49383518" w14:textId="62E58F69" w:rsidR="007F3128" w:rsidRPr="00F658A6" w:rsidRDefault="007F3128" w:rsidP="00F608A7">
            <w:pPr>
              <w:jc w:val="left"/>
              <w:rPr>
                <w:sz w:val="16"/>
                <w:szCs w:val="16"/>
              </w:rPr>
            </w:pPr>
            <w:r w:rsidRPr="00F658A6">
              <w:rPr>
                <w:sz w:val="16"/>
                <w:szCs w:val="16"/>
              </w:rPr>
              <w:t>Santos Isacar Vásquez Barrios</w:t>
            </w:r>
          </w:p>
        </w:tc>
        <w:tc>
          <w:tcPr>
            <w:tcW w:w="567" w:type="dxa"/>
            <w:vAlign w:val="center"/>
          </w:tcPr>
          <w:p w14:paraId="0C59BC2E"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6994D7BF" w14:textId="1E886D5A" w:rsidR="007F3128" w:rsidRPr="00F658A6" w:rsidRDefault="005A6BF4" w:rsidP="00F608A7">
            <w:pPr>
              <w:tabs>
                <w:tab w:val="left" w:pos="1277"/>
              </w:tabs>
              <w:jc w:val="left"/>
              <w:rPr>
                <w:sz w:val="16"/>
                <w:szCs w:val="16"/>
              </w:rPr>
            </w:pPr>
            <w:r>
              <w:rPr>
                <w:sz w:val="16"/>
                <w:szCs w:val="16"/>
              </w:rPr>
              <w:t>Ismerai Olibia García Castaño</w:t>
            </w:r>
            <w:r w:rsidR="007F3128" w:rsidRPr="00F658A6">
              <w:rPr>
                <w:sz w:val="16"/>
                <w:szCs w:val="16"/>
              </w:rPr>
              <w:t>n (Pareja)</w:t>
            </w:r>
          </w:p>
        </w:tc>
      </w:tr>
      <w:tr w:rsidR="007F3128" w:rsidRPr="00F658A6" w14:paraId="723FB74A" w14:textId="77777777" w:rsidTr="00F608A7">
        <w:tc>
          <w:tcPr>
            <w:tcW w:w="560" w:type="dxa"/>
            <w:gridSpan w:val="2"/>
            <w:vMerge/>
            <w:vAlign w:val="center"/>
          </w:tcPr>
          <w:p w14:paraId="565A7CB6" w14:textId="77777777" w:rsidR="007F3128" w:rsidRPr="00F658A6" w:rsidRDefault="007F3128" w:rsidP="00F608A7">
            <w:pPr>
              <w:jc w:val="left"/>
              <w:rPr>
                <w:sz w:val="16"/>
                <w:szCs w:val="16"/>
              </w:rPr>
            </w:pPr>
          </w:p>
        </w:tc>
        <w:tc>
          <w:tcPr>
            <w:tcW w:w="2950" w:type="dxa"/>
            <w:vMerge/>
            <w:vAlign w:val="center"/>
          </w:tcPr>
          <w:p w14:paraId="686F2EE0" w14:textId="77777777" w:rsidR="007F3128" w:rsidRPr="00F658A6" w:rsidRDefault="007F3128" w:rsidP="00F608A7">
            <w:pPr>
              <w:jc w:val="left"/>
              <w:rPr>
                <w:sz w:val="16"/>
                <w:szCs w:val="16"/>
              </w:rPr>
            </w:pPr>
          </w:p>
        </w:tc>
        <w:tc>
          <w:tcPr>
            <w:tcW w:w="567" w:type="dxa"/>
            <w:vAlign w:val="center"/>
          </w:tcPr>
          <w:p w14:paraId="0C6642A3"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4A1712F9" w14:textId="77777777" w:rsidR="007F3128" w:rsidRPr="00F658A6" w:rsidRDefault="007F3128" w:rsidP="00F608A7">
            <w:pPr>
              <w:tabs>
                <w:tab w:val="left" w:pos="1277"/>
              </w:tabs>
              <w:jc w:val="left"/>
              <w:rPr>
                <w:sz w:val="16"/>
                <w:szCs w:val="16"/>
              </w:rPr>
            </w:pPr>
            <w:r w:rsidRPr="00F658A6">
              <w:rPr>
                <w:sz w:val="16"/>
                <w:szCs w:val="16"/>
              </w:rPr>
              <w:t>Irma Noelia Vásquez Barrios (Hija)</w:t>
            </w:r>
          </w:p>
        </w:tc>
      </w:tr>
      <w:tr w:rsidR="007F3128" w:rsidRPr="00F658A6" w14:paraId="126023A0" w14:textId="77777777" w:rsidTr="00F608A7">
        <w:tc>
          <w:tcPr>
            <w:tcW w:w="560" w:type="dxa"/>
            <w:gridSpan w:val="2"/>
            <w:vMerge/>
            <w:vAlign w:val="center"/>
          </w:tcPr>
          <w:p w14:paraId="1167941D" w14:textId="77777777" w:rsidR="007F3128" w:rsidRPr="00F658A6" w:rsidRDefault="007F3128" w:rsidP="00F608A7">
            <w:pPr>
              <w:jc w:val="left"/>
              <w:rPr>
                <w:sz w:val="16"/>
                <w:szCs w:val="16"/>
              </w:rPr>
            </w:pPr>
          </w:p>
        </w:tc>
        <w:tc>
          <w:tcPr>
            <w:tcW w:w="2950" w:type="dxa"/>
            <w:vMerge/>
            <w:vAlign w:val="center"/>
          </w:tcPr>
          <w:p w14:paraId="4DA9C42C" w14:textId="77777777" w:rsidR="007F3128" w:rsidRPr="00F658A6" w:rsidRDefault="007F3128" w:rsidP="00F608A7">
            <w:pPr>
              <w:jc w:val="left"/>
              <w:rPr>
                <w:sz w:val="16"/>
                <w:szCs w:val="16"/>
              </w:rPr>
            </w:pPr>
          </w:p>
        </w:tc>
        <w:tc>
          <w:tcPr>
            <w:tcW w:w="567" w:type="dxa"/>
            <w:vAlign w:val="center"/>
          </w:tcPr>
          <w:p w14:paraId="04D7A933"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6082BB81" w14:textId="77777777" w:rsidR="007F3128" w:rsidRPr="00F658A6" w:rsidRDefault="007F3128" w:rsidP="00F608A7">
            <w:pPr>
              <w:tabs>
                <w:tab w:val="left" w:pos="1277"/>
              </w:tabs>
              <w:jc w:val="left"/>
              <w:rPr>
                <w:sz w:val="16"/>
                <w:szCs w:val="16"/>
              </w:rPr>
            </w:pPr>
            <w:r w:rsidRPr="00F658A6">
              <w:rPr>
                <w:sz w:val="16"/>
                <w:szCs w:val="16"/>
              </w:rPr>
              <w:t>Juana de Jesús Vásquez (Abuela)</w:t>
            </w:r>
          </w:p>
        </w:tc>
      </w:tr>
      <w:tr w:rsidR="007F3128" w:rsidRPr="00F658A6" w14:paraId="32112A20" w14:textId="77777777" w:rsidTr="00F608A7">
        <w:tc>
          <w:tcPr>
            <w:tcW w:w="560" w:type="dxa"/>
            <w:gridSpan w:val="2"/>
            <w:vMerge/>
            <w:vAlign w:val="center"/>
          </w:tcPr>
          <w:p w14:paraId="0D4369D9" w14:textId="77777777" w:rsidR="007F3128" w:rsidRPr="00F658A6" w:rsidRDefault="007F3128" w:rsidP="00F608A7">
            <w:pPr>
              <w:jc w:val="left"/>
              <w:rPr>
                <w:sz w:val="16"/>
                <w:szCs w:val="16"/>
              </w:rPr>
            </w:pPr>
          </w:p>
        </w:tc>
        <w:tc>
          <w:tcPr>
            <w:tcW w:w="2950" w:type="dxa"/>
            <w:vMerge/>
            <w:vAlign w:val="center"/>
          </w:tcPr>
          <w:p w14:paraId="6E407090" w14:textId="77777777" w:rsidR="007F3128" w:rsidRPr="00F658A6" w:rsidRDefault="007F3128" w:rsidP="00F608A7">
            <w:pPr>
              <w:jc w:val="left"/>
              <w:rPr>
                <w:sz w:val="16"/>
                <w:szCs w:val="16"/>
              </w:rPr>
            </w:pPr>
          </w:p>
        </w:tc>
        <w:tc>
          <w:tcPr>
            <w:tcW w:w="567" w:type="dxa"/>
            <w:vAlign w:val="center"/>
          </w:tcPr>
          <w:p w14:paraId="392B302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48E270E0" w14:textId="77777777" w:rsidR="007F3128" w:rsidRPr="00F658A6" w:rsidRDefault="007F3128" w:rsidP="00F608A7">
            <w:pPr>
              <w:tabs>
                <w:tab w:val="left" w:pos="1277"/>
              </w:tabs>
              <w:jc w:val="left"/>
              <w:rPr>
                <w:sz w:val="16"/>
                <w:szCs w:val="16"/>
              </w:rPr>
            </w:pPr>
            <w:r w:rsidRPr="00F658A6">
              <w:rPr>
                <w:sz w:val="16"/>
                <w:szCs w:val="16"/>
              </w:rPr>
              <w:t>Rogelio Saturnino Vásquez (Padre)</w:t>
            </w:r>
          </w:p>
        </w:tc>
      </w:tr>
      <w:tr w:rsidR="007F3128" w:rsidRPr="00F658A6" w14:paraId="050E8D4F" w14:textId="77777777" w:rsidTr="00F608A7">
        <w:tc>
          <w:tcPr>
            <w:tcW w:w="560" w:type="dxa"/>
            <w:gridSpan w:val="2"/>
            <w:vMerge/>
            <w:vAlign w:val="center"/>
          </w:tcPr>
          <w:p w14:paraId="5789E4EA" w14:textId="77777777" w:rsidR="007F3128" w:rsidRPr="00F658A6" w:rsidRDefault="007F3128" w:rsidP="00F608A7">
            <w:pPr>
              <w:jc w:val="left"/>
              <w:rPr>
                <w:sz w:val="16"/>
                <w:szCs w:val="16"/>
              </w:rPr>
            </w:pPr>
          </w:p>
        </w:tc>
        <w:tc>
          <w:tcPr>
            <w:tcW w:w="2950" w:type="dxa"/>
            <w:vMerge/>
            <w:vAlign w:val="center"/>
          </w:tcPr>
          <w:p w14:paraId="601FD64C" w14:textId="77777777" w:rsidR="007F3128" w:rsidRPr="00F658A6" w:rsidRDefault="007F3128" w:rsidP="00F608A7">
            <w:pPr>
              <w:jc w:val="left"/>
              <w:rPr>
                <w:sz w:val="16"/>
                <w:szCs w:val="16"/>
              </w:rPr>
            </w:pPr>
          </w:p>
        </w:tc>
        <w:tc>
          <w:tcPr>
            <w:tcW w:w="567" w:type="dxa"/>
            <w:vAlign w:val="center"/>
          </w:tcPr>
          <w:p w14:paraId="406D1406"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33A61208" w14:textId="77777777" w:rsidR="007F3128" w:rsidRPr="00F658A6" w:rsidRDefault="007F3128" w:rsidP="00F608A7">
            <w:pPr>
              <w:tabs>
                <w:tab w:val="left" w:pos="1277"/>
              </w:tabs>
              <w:jc w:val="left"/>
              <w:rPr>
                <w:sz w:val="16"/>
                <w:szCs w:val="16"/>
              </w:rPr>
            </w:pPr>
            <w:r w:rsidRPr="00F658A6">
              <w:rPr>
                <w:sz w:val="16"/>
                <w:szCs w:val="16"/>
              </w:rPr>
              <w:t>Margarita Barrios Hernández (Madre)</w:t>
            </w:r>
          </w:p>
        </w:tc>
      </w:tr>
      <w:tr w:rsidR="007F3128" w:rsidRPr="00F658A6" w14:paraId="150EE516" w14:textId="77777777" w:rsidTr="00F608A7">
        <w:tc>
          <w:tcPr>
            <w:tcW w:w="560" w:type="dxa"/>
            <w:gridSpan w:val="2"/>
            <w:vMerge w:val="restart"/>
            <w:vAlign w:val="center"/>
          </w:tcPr>
          <w:p w14:paraId="1A4FBF5B" w14:textId="77777777" w:rsidR="007F3128" w:rsidRPr="00F658A6" w:rsidRDefault="007F3128" w:rsidP="00F608A7">
            <w:pPr>
              <w:jc w:val="left"/>
              <w:rPr>
                <w:sz w:val="16"/>
                <w:szCs w:val="16"/>
              </w:rPr>
            </w:pPr>
            <w:r w:rsidRPr="00F658A6">
              <w:rPr>
                <w:sz w:val="16"/>
                <w:szCs w:val="16"/>
              </w:rPr>
              <w:t>31</w:t>
            </w:r>
          </w:p>
        </w:tc>
        <w:tc>
          <w:tcPr>
            <w:tcW w:w="2950" w:type="dxa"/>
            <w:vMerge w:val="restart"/>
            <w:vAlign w:val="center"/>
          </w:tcPr>
          <w:p w14:paraId="006CCD9F" w14:textId="1BBB9E0A" w:rsidR="007F3128" w:rsidRPr="00F658A6" w:rsidRDefault="007F3128" w:rsidP="00F608A7">
            <w:pPr>
              <w:jc w:val="left"/>
              <w:rPr>
                <w:sz w:val="16"/>
                <w:szCs w:val="16"/>
              </w:rPr>
            </w:pPr>
            <w:r w:rsidRPr="00F658A6">
              <w:rPr>
                <w:sz w:val="16"/>
                <w:szCs w:val="16"/>
              </w:rPr>
              <w:t>Mardo Luis Hernández y Hernández</w:t>
            </w:r>
          </w:p>
        </w:tc>
        <w:tc>
          <w:tcPr>
            <w:tcW w:w="567" w:type="dxa"/>
            <w:vAlign w:val="center"/>
          </w:tcPr>
          <w:p w14:paraId="6918EBC8"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7C1A3923" w14:textId="2AA7033F" w:rsidR="007F3128" w:rsidRPr="00F658A6" w:rsidRDefault="005761FD" w:rsidP="00F608A7">
            <w:pPr>
              <w:tabs>
                <w:tab w:val="left" w:pos="1277"/>
              </w:tabs>
              <w:jc w:val="left"/>
              <w:rPr>
                <w:sz w:val="16"/>
                <w:szCs w:val="16"/>
              </w:rPr>
            </w:pPr>
            <w:r w:rsidRPr="00F658A6">
              <w:rPr>
                <w:sz w:val="16"/>
                <w:szCs w:val="16"/>
              </w:rPr>
              <w:t>Nidya Roxana Z</w:t>
            </w:r>
            <w:r w:rsidR="007F3128" w:rsidRPr="00F658A6">
              <w:rPr>
                <w:sz w:val="16"/>
                <w:szCs w:val="16"/>
              </w:rPr>
              <w:t>apet Gómez (Esposa)</w:t>
            </w:r>
          </w:p>
        </w:tc>
      </w:tr>
      <w:tr w:rsidR="007F3128" w:rsidRPr="00F658A6" w14:paraId="53977175" w14:textId="77777777" w:rsidTr="00F608A7">
        <w:tc>
          <w:tcPr>
            <w:tcW w:w="560" w:type="dxa"/>
            <w:gridSpan w:val="2"/>
            <w:vMerge/>
            <w:vAlign w:val="center"/>
          </w:tcPr>
          <w:p w14:paraId="777729B9" w14:textId="77777777" w:rsidR="007F3128" w:rsidRPr="00F658A6" w:rsidRDefault="007F3128" w:rsidP="00F608A7">
            <w:pPr>
              <w:jc w:val="left"/>
              <w:rPr>
                <w:sz w:val="16"/>
                <w:szCs w:val="16"/>
              </w:rPr>
            </w:pPr>
          </w:p>
        </w:tc>
        <w:tc>
          <w:tcPr>
            <w:tcW w:w="2950" w:type="dxa"/>
            <w:vMerge/>
            <w:vAlign w:val="center"/>
          </w:tcPr>
          <w:p w14:paraId="318888E8" w14:textId="77777777" w:rsidR="007F3128" w:rsidRPr="00F658A6" w:rsidRDefault="007F3128" w:rsidP="00F608A7">
            <w:pPr>
              <w:jc w:val="left"/>
              <w:rPr>
                <w:sz w:val="16"/>
                <w:szCs w:val="16"/>
              </w:rPr>
            </w:pPr>
          </w:p>
        </w:tc>
        <w:tc>
          <w:tcPr>
            <w:tcW w:w="567" w:type="dxa"/>
            <w:vAlign w:val="center"/>
          </w:tcPr>
          <w:p w14:paraId="5DF8F8EE"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372BBB2" w14:textId="77777777" w:rsidR="007F3128" w:rsidRPr="00F658A6" w:rsidRDefault="007F3128" w:rsidP="00F608A7">
            <w:pPr>
              <w:tabs>
                <w:tab w:val="left" w:pos="1277"/>
              </w:tabs>
              <w:jc w:val="left"/>
              <w:rPr>
                <w:sz w:val="16"/>
                <w:szCs w:val="16"/>
              </w:rPr>
            </w:pPr>
            <w:r w:rsidRPr="00F658A6">
              <w:rPr>
                <w:sz w:val="16"/>
                <w:szCs w:val="16"/>
              </w:rPr>
              <w:t>Mardo Kleiber Hernández Zapet (Hijo)</w:t>
            </w:r>
          </w:p>
        </w:tc>
      </w:tr>
      <w:tr w:rsidR="007F3128" w:rsidRPr="00F658A6" w14:paraId="4240C660" w14:textId="77777777" w:rsidTr="00F608A7">
        <w:tc>
          <w:tcPr>
            <w:tcW w:w="560" w:type="dxa"/>
            <w:gridSpan w:val="2"/>
            <w:vMerge/>
            <w:vAlign w:val="center"/>
          </w:tcPr>
          <w:p w14:paraId="73E86E84" w14:textId="77777777" w:rsidR="007F3128" w:rsidRPr="00F658A6" w:rsidRDefault="007F3128" w:rsidP="00F608A7">
            <w:pPr>
              <w:jc w:val="left"/>
              <w:rPr>
                <w:sz w:val="16"/>
                <w:szCs w:val="16"/>
              </w:rPr>
            </w:pPr>
          </w:p>
        </w:tc>
        <w:tc>
          <w:tcPr>
            <w:tcW w:w="2950" w:type="dxa"/>
            <w:vMerge/>
            <w:vAlign w:val="center"/>
          </w:tcPr>
          <w:p w14:paraId="36E4B610" w14:textId="77777777" w:rsidR="007F3128" w:rsidRPr="00F658A6" w:rsidRDefault="007F3128" w:rsidP="00F608A7">
            <w:pPr>
              <w:jc w:val="left"/>
              <w:rPr>
                <w:sz w:val="16"/>
                <w:szCs w:val="16"/>
              </w:rPr>
            </w:pPr>
          </w:p>
        </w:tc>
        <w:tc>
          <w:tcPr>
            <w:tcW w:w="567" w:type="dxa"/>
            <w:vAlign w:val="center"/>
          </w:tcPr>
          <w:p w14:paraId="7F29643E"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1F795F5" w14:textId="77777777" w:rsidR="007F3128" w:rsidRPr="00F658A6" w:rsidRDefault="007F3128" w:rsidP="00F608A7">
            <w:pPr>
              <w:tabs>
                <w:tab w:val="left" w:pos="1277"/>
              </w:tabs>
              <w:jc w:val="left"/>
              <w:rPr>
                <w:sz w:val="16"/>
                <w:szCs w:val="16"/>
              </w:rPr>
            </w:pPr>
            <w:r w:rsidRPr="00F658A6">
              <w:rPr>
                <w:sz w:val="16"/>
                <w:szCs w:val="16"/>
              </w:rPr>
              <w:t>Irma Erminia Hernández Mérida (Madre)</w:t>
            </w:r>
          </w:p>
        </w:tc>
      </w:tr>
      <w:tr w:rsidR="007F3128" w:rsidRPr="00F658A6" w14:paraId="72BFADB4" w14:textId="77777777" w:rsidTr="00F608A7">
        <w:tc>
          <w:tcPr>
            <w:tcW w:w="560" w:type="dxa"/>
            <w:gridSpan w:val="2"/>
            <w:vMerge/>
            <w:vAlign w:val="center"/>
          </w:tcPr>
          <w:p w14:paraId="4A0719C8" w14:textId="77777777" w:rsidR="007F3128" w:rsidRPr="00F658A6" w:rsidRDefault="007F3128" w:rsidP="00F608A7">
            <w:pPr>
              <w:jc w:val="left"/>
              <w:rPr>
                <w:sz w:val="16"/>
                <w:szCs w:val="16"/>
              </w:rPr>
            </w:pPr>
          </w:p>
        </w:tc>
        <w:tc>
          <w:tcPr>
            <w:tcW w:w="2950" w:type="dxa"/>
            <w:vMerge/>
            <w:vAlign w:val="center"/>
          </w:tcPr>
          <w:p w14:paraId="0D74DD62" w14:textId="77777777" w:rsidR="007F3128" w:rsidRPr="00F658A6" w:rsidRDefault="007F3128" w:rsidP="00F608A7">
            <w:pPr>
              <w:jc w:val="left"/>
              <w:rPr>
                <w:sz w:val="16"/>
                <w:szCs w:val="16"/>
              </w:rPr>
            </w:pPr>
          </w:p>
        </w:tc>
        <w:tc>
          <w:tcPr>
            <w:tcW w:w="567" w:type="dxa"/>
            <w:vAlign w:val="center"/>
          </w:tcPr>
          <w:p w14:paraId="575DB644"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41263B59" w14:textId="77777777" w:rsidR="007F3128" w:rsidRPr="00F658A6" w:rsidRDefault="007F3128" w:rsidP="00F608A7">
            <w:pPr>
              <w:tabs>
                <w:tab w:val="left" w:pos="1277"/>
              </w:tabs>
              <w:jc w:val="left"/>
              <w:rPr>
                <w:sz w:val="16"/>
                <w:szCs w:val="16"/>
              </w:rPr>
            </w:pPr>
            <w:r w:rsidRPr="00F658A6">
              <w:rPr>
                <w:sz w:val="16"/>
                <w:szCs w:val="16"/>
              </w:rPr>
              <w:t>Francisco Luis Hernández Ramírez (Padre)</w:t>
            </w:r>
          </w:p>
        </w:tc>
      </w:tr>
      <w:tr w:rsidR="007F3128" w:rsidRPr="00F658A6" w14:paraId="0B0D5498" w14:textId="77777777" w:rsidTr="00F608A7">
        <w:tc>
          <w:tcPr>
            <w:tcW w:w="560" w:type="dxa"/>
            <w:gridSpan w:val="2"/>
            <w:vMerge/>
            <w:vAlign w:val="center"/>
          </w:tcPr>
          <w:p w14:paraId="3E77D391" w14:textId="77777777" w:rsidR="007F3128" w:rsidRPr="00F658A6" w:rsidRDefault="007F3128" w:rsidP="00F608A7">
            <w:pPr>
              <w:jc w:val="left"/>
              <w:rPr>
                <w:sz w:val="16"/>
                <w:szCs w:val="16"/>
              </w:rPr>
            </w:pPr>
          </w:p>
        </w:tc>
        <w:tc>
          <w:tcPr>
            <w:tcW w:w="2950" w:type="dxa"/>
            <w:vMerge/>
            <w:vAlign w:val="center"/>
          </w:tcPr>
          <w:p w14:paraId="15FC4136" w14:textId="77777777" w:rsidR="007F3128" w:rsidRPr="00F658A6" w:rsidRDefault="007F3128" w:rsidP="00F608A7">
            <w:pPr>
              <w:jc w:val="left"/>
              <w:rPr>
                <w:sz w:val="16"/>
                <w:szCs w:val="16"/>
              </w:rPr>
            </w:pPr>
          </w:p>
        </w:tc>
        <w:tc>
          <w:tcPr>
            <w:tcW w:w="567" w:type="dxa"/>
            <w:vAlign w:val="center"/>
          </w:tcPr>
          <w:p w14:paraId="095E7ECD"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09332B35" w14:textId="77777777" w:rsidR="007F3128" w:rsidRPr="00F658A6" w:rsidRDefault="007F3128" w:rsidP="00F608A7">
            <w:pPr>
              <w:tabs>
                <w:tab w:val="left" w:pos="1277"/>
              </w:tabs>
              <w:jc w:val="left"/>
              <w:rPr>
                <w:sz w:val="16"/>
                <w:szCs w:val="16"/>
              </w:rPr>
            </w:pPr>
            <w:r w:rsidRPr="00F658A6">
              <w:rPr>
                <w:sz w:val="16"/>
                <w:szCs w:val="16"/>
              </w:rPr>
              <w:t>Menfil Elsido Hernández Hernández (Hermano)</w:t>
            </w:r>
          </w:p>
        </w:tc>
      </w:tr>
      <w:tr w:rsidR="007F3128" w:rsidRPr="00F658A6" w14:paraId="7C5BCB12" w14:textId="77777777" w:rsidTr="00F608A7">
        <w:tc>
          <w:tcPr>
            <w:tcW w:w="560" w:type="dxa"/>
            <w:gridSpan w:val="2"/>
            <w:vMerge/>
            <w:vAlign w:val="center"/>
          </w:tcPr>
          <w:p w14:paraId="1972F183" w14:textId="77777777" w:rsidR="007F3128" w:rsidRPr="00F658A6" w:rsidRDefault="007F3128" w:rsidP="00F608A7">
            <w:pPr>
              <w:jc w:val="left"/>
              <w:rPr>
                <w:sz w:val="16"/>
                <w:szCs w:val="16"/>
              </w:rPr>
            </w:pPr>
          </w:p>
        </w:tc>
        <w:tc>
          <w:tcPr>
            <w:tcW w:w="2950" w:type="dxa"/>
            <w:vMerge/>
            <w:vAlign w:val="center"/>
          </w:tcPr>
          <w:p w14:paraId="69A7DB18" w14:textId="77777777" w:rsidR="007F3128" w:rsidRPr="00F658A6" w:rsidRDefault="007F3128" w:rsidP="00F608A7">
            <w:pPr>
              <w:jc w:val="left"/>
              <w:rPr>
                <w:sz w:val="16"/>
                <w:szCs w:val="16"/>
              </w:rPr>
            </w:pPr>
          </w:p>
        </w:tc>
        <w:tc>
          <w:tcPr>
            <w:tcW w:w="567" w:type="dxa"/>
            <w:vAlign w:val="center"/>
          </w:tcPr>
          <w:p w14:paraId="678D23DF"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2CA62164" w14:textId="77777777" w:rsidR="007F3128" w:rsidRPr="00F658A6" w:rsidRDefault="007F3128" w:rsidP="00F608A7">
            <w:pPr>
              <w:tabs>
                <w:tab w:val="left" w:pos="1277"/>
              </w:tabs>
              <w:jc w:val="left"/>
              <w:rPr>
                <w:sz w:val="16"/>
                <w:szCs w:val="16"/>
              </w:rPr>
            </w:pPr>
            <w:r w:rsidRPr="00F658A6">
              <w:rPr>
                <w:sz w:val="16"/>
                <w:szCs w:val="16"/>
              </w:rPr>
              <w:t>Jessica Isenia Hernández Hernández (Hermana)</w:t>
            </w:r>
          </w:p>
        </w:tc>
      </w:tr>
      <w:tr w:rsidR="007F3128" w:rsidRPr="00F658A6" w14:paraId="5487CDEB" w14:textId="77777777" w:rsidTr="00F608A7">
        <w:tc>
          <w:tcPr>
            <w:tcW w:w="560" w:type="dxa"/>
            <w:gridSpan w:val="2"/>
            <w:vAlign w:val="center"/>
          </w:tcPr>
          <w:p w14:paraId="688A7842" w14:textId="77777777" w:rsidR="007F3128" w:rsidRPr="00F658A6" w:rsidRDefault="007F3128" w:rsidP="00F608A7">
            <w:pPr>
              <w:jc w:val="left"/>
              <w:rPr>
                <w:sz w:val="16"/>
                <w:szCs w:val="16"/>
              </w:rPr>
            </w:pPr>
            <w:r w:rsidRPr="00F658A6">
              <w:rPr>
                <w:sz w:val="16"/>
                <w:szCs w:val="16"/>
              </w:rPr>
              <w:t>32</w:t>
            </w:r>
          </w:p>
        </w:tc>
        <w:tc>
          <w:tcPr>
            <w:tcW w:w="2950" w:type="dxa"/>
            <w:vAlign w:val="center"/>
          </w:tcPr>
          <w:p w14:paraId="23346C72" w14:textId="07AAB8E2" w:rsidR="007F3128" w:rsidRPr="00F658A6" w:rsidRDefault="007F3128" w:rsidP="00F608A7">
            <w:pPr>
              <w:jc w:val="left"/>
              <w:rPr>
                <w:sz w:val="16"/>
                <w:szCs w:val="16"/>
              </w:rPr>
            </w:pPr>
            <w:r w:rsidRPr="00F658A6">
              <w:rPr>
                <w:sz w:val="16"/>
                <w:szCs w:val="16"/>
              </w:rPr>
              <w:t>Luis Armando Linares Ruano</w:t>
            </w:r>
          </w:p>
        </w:tc>
        <w:tc>
          <w:tcPr>
            <w:tcW w:w="567" w:type="dxa"/>
            <w:vAlign w:val="center"/>
          </w:tcPr>
          <w:p w14:paraId="2D311D8B" w14:textId="77777777" w:rsidR="007F3128" w:rsidRPr="00F658A6" w:rsidRDefault="007F3128" w:rsidP="00F608A7">
            <w:pPr>
              <w:jc w:val="left"/>
              <w:rPr>
                <w:sz w:val="16"/>
                <w:szCs w:val="16"/>
              </w:rPr>
            </w:pPr>
          </w:p>
        </w:tc>
        <w:tc>
          <w:tcPr>
            <w:tcW w:w="4927" w:type="dxa"/>
            <w:vAlign w:val="center"/>
          </w:tcPr>
          <w:p w14:paraId="504725F3" w14:textId="1C675B7E" w:rsidR="007F3128" w:rsidRPr="00F658A6" w:rsidRDefault="0066314B" w:rsidP="00F608A7">
            <w:pPr>
              <w:jc w:val="left"/>
              <w:rPr>
                <w:sz w:val="16"/>
                <w:szCs w:val="16"/>
              </w:rPr>
            </w:pPr>
            <w:r w:rsidRPr="00F658A6">
              <w:rPr>
                <w:sz w:val="16"/>
                <w:szCs w:val="16"/>
              </w:rPr>
              <w:t>No hay información disponible</w:t>
            </w:r>
          </w:p>
        </w:tc>
      </w:tr>
      <w:tr w:rsidR="007F3128" w:rsidRPr="00F658A6" w14:paraId="1C9D2BD0" w14:textId="77777777" w:rsidTr="00F608A7">
        <w:tc>
          <w:tcPr>
            <w:tcW w:w="560" w:type="dxa"/>
            <w:gridSpan w:val="2"/>
            <w:vMerge w:val="restart"/>
            <w:vAlign w:val="center"/>
          </w:tcPr>
          <w:p w14:paraId="78F386C3" w14:textId="77777777" w:rsidR="007F3128" w:rsidRPr="00F658A6" w:rsidRDefault="007F3128" w:rsidP="00F608A7">
            <w:pPr>
              <w:jc w:val="left"/>
              <w:rPr>
                <w:sz w:val="16"/>
                <w:szCs w:val="16"/>
              </w:rPr>
            </w:pPr>
            <w:r w:rsidRPr="00F658A6">
              <w:rPr>
                <w:sz w:val="16"/>
                <w:szCs w:val="16"/>
              </w:rPr>
              <w:t>33</w:t>
            </w:r>
          </w:p>
        </w:tc>
        <w:tc>
          <w:tcPr>
            <w:tcW w:w="2950" w:type="dxa"/>
            <w:vMerge w:val="restart"/>
            <w:vAlign w:val="center"/>
          </w:tcPr>
          <w:p w14:paraId="3185D13D" w14:textId="3B836203" w:rsidR="007F3128" w:rsidRPr="00F658A6" w:rsidRDefault="007F3128" w:rsidP="00F608A7">
            <w:pPr>
              <w:jc w:val="left"/>
              <w:rPr>
                <w:sz w:val="16"/>
                <w:szCs w:val="16"/>
              </w:rPr>
            </w:pPr>
            <w:r w:rsidRPr="00F658A6">
              <w:rPr>
                <w:sz w:val="16"/>
                <w:szCs w:val="16"/>
              </w:rPr>
              <w:t>Marta Alicia Maldonado Paz</w:t>
            </w:r>
          </w:p>
        </w:tc>
        <w:tc>
          <w:tcPr>
            <w:tcW w:w="567" w:type="dxa"/>
            <w:vAlign w:val="center"/>
          </w:tcPr>
          <w:p w14:paraId="75B8E84C"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1B4B554" w14:textId="77777777" w:rsidR="007F3128" w:rsidRPr="00F658A6" w:rsidRDefault="007F3128" w:rsidP="00F608A7">
            <w:pPr>
              <w:tabs>
                <w:tab w:val="left" w:pos="1277"/>
              </w:tabs>
              <w:jc w:val="left"/>
              <w:rPr>
                <w:sz w:val="16"/>
                <w:szCs w:val="16"/>
              </w:rPr>
            </w:pPr>
            <w:r w:rsidRPr="00F658A6">
              <w:rPr>
                <w:sz w:val="16"/>
                <w:szCs w:val="16"/>
              </w:rPr>
              <w:t>Carlos Humberto Vásquez Pérez (Esposo)</w:t>
            </w:r>
          </w:p>
        </w:tc>
      </w:tr>
      <w:tr w:rsidR="007F3128" w:rsidRPr="00F658A6" w14:paraId="046C232E" w14:textId="77777777" w:rsidTr="00F608A7">
        <w:tc>
          <w:tcPr>
            <w:tcW w:w="560" w:type="dxa"/>
            <w:gridSpan w:val="2"/>
            <w:vMerge/>
            <w:vAlign w:val="center"/>
          </w:tcPr>
          <w:p w14:paraId="54A68B4D" w14:textId="77777777" w:rsidR="007F3128" w:rsidRPr="00F658A6" w:rsidRDefault="007F3128" w:rsidP="00F608A7">
            <w:pPr>
              <w:jc w:val="left"/>
              <w:rPr>
                <w:sz w:val="16"/>
                <w:szCs w:val="16"/>
              </w:rPr>
            </w:pPr>
          </w:p>
        </w:tc>
        <w:tc>
          <w:tcPr>
            <w:tcW w:w="2950" w:type="dxa"/>
            <w:vMerge/>
            <w:vAlign w:val="center"/>
          </w:tcPr>
          <w:p w14:paraId="143AE06B" w14:textId="77777777" w:rsidR="007F3128" w:rsidRPr="00F658A6" w:rsidRDefault="007F3128" w:rsidP="00F608A7">
            <w:pPr>
              <w:jc w:val="left"/>
              <w:rPr>
                <w:sz w:val="16"/>
                <w:szCs w:val="16"/>
              </w:rPr>
            </w:pPr>
          </w:p>
        </w:tc>
        <w:tc>
          <w:tcPr>
            <w:tcW w:w="567" w:type="dxa"/>
            <w:vAlign w:val="center"/>
          </w:tcPr>
          <w:p w14:paraId="31C01B60"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1E6F5B0" w14:textId="77777777" w:rsidR="007F3128" w:rsidRPr="00F658A6" w:rsidRDefault="007F3128" w:rsidP="00F608A7">
            <w:pPr>
              <w:tabs>
                <w:tab w:val="left" w:pos="1277"/>
              </w:tabs>
              <w:jc w:val="left"/>
              <w:rPr>
                <w:sz w:val="16"/>
                <w:szCs w:val="16"/>
              </w:rPr>
            </w:pPr>
            <w:r w:rsidRPr="00F658A6">
              <w:rPr>
                <w:sz w:val="16"/>
                <w:szCs w:val="16"/>
              </w:rPr>
              <w:t>Telma Maldonado Andrade (Hermana)</w:t>
            </w:r>
          </w:p>
        </w:tc>
      </w:tr>
      <w:tr w:rsidR="007F3128" w:rsidRPr="00F658A6" w14:paraId="55262FB5" w14:textId="77777777" w:rsidTr="00F608A7">
        <w:tc>
          <w:tcPr>
            <w:tcW w:w="560" w:type="dxa"/>
            <w:gridSpan w:val="2"/>
            <w:vMerge/>
            <w:vAlign w:val="center"/>
          </w:tcPr>
          <w:p w14:paraId="438E3EB4" w14:textId="77777777" w:rsidR="007F3128" w:rsidRPr="00F658A6" w:rsidRDefault="007F3128" w:rsidP="00F608A7">
            <w:pPr>
              <w:jc w:val="left"/>
              <w:rPr>
                <w:sz w:val="16"/>
                <w:szCs w:val="16"/>
              </w:rPr>
            </w:pPr>
          </w:p>
        </w:tc>
        <w:tc>
          <w:tcPr>
            <w:tcW w:w="2950" w:type="dxa"/>
            <w:vMerge/>
            <w:vAlign w:val="center"/>
          </w:tcPr>
          <w:p w14:paraId="43085290" w14:textId="77777777" w:rsidR="007F3128" w:rsidRPr="00F658A6" w:rsidRDefault="007F3128" w:rsidP="00F608A7">
            <w:pPr>
              <w:jc w:val="left"/>
              <w:rPr>
                <w:sz w:val="16"/>
                <w:szCs w:val="16"/>
              </w:rPr>
            </w:pPr>
          </w:p>
        </w:tc>
        <w:tc>
          <w:tcPr>
            <w:tcW w:w="567" w:type="dxa"/>
            <w:vAlign w:val="center"/>
          </w:tcPr>
          <w:p w14:paraId="3154299E"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04CD5AEF" w14:textId="77777777" w:rsidR="007F3128" w:rsidRPr="00F658A6" w:rsidRDefault="007F3128" w:rsidP="00F608A7">
            <w:pPr>
              <w:tabs>
                <w:tab w:val="left" w:pos="1277"/>
              </w:tabs>
              <w:jc w:val="left"/>
              <w:rPr>
                <w:sz w:val="16"/>
                <w:szCs w:val="16"/>
              </w:rPr>
            </w:pPr>
            <w:r w:rsidRPr="00F658A6">
              <w:rPr>
                <w:sz w:val="16"/>
                <w:szCs w:val="16"/>
              </w:rPr>
              <w:t>Delia Marlenee Pérez Maldonado (Hija)</w:t>
            </w:r>
          </w:p>
        </w:tc>
      </w:tr>
      <w:tr w:rsidR="007F3128" w:rsidRPr="00F658A6" w14:paraId="53CBDD86" w14:textId="77777777" w:rsidTr="00F608A7">
        <w:tc>
          <w:tcPr>
            <w:tcW w:w="560" w:type="dxa"/>
            <w:gridSpan w:val="2"/>
            <w:vMerge/>
            <w:vAlign w:val="center"/>
          </w:tcPr>
          <w:p w14:paraId="35010507" w14:textId="77777777" w:rsidR="007F3128" w:rsidRPr="00F658A6" w:rsidRDefault="007F3128" w:rsidP="00F608A7">
            <w:pPr>
              <w:jc w:val="left"/>
              <w:rPr>
                <w:sz w:val="16"/>
                <w:szCs w:val="16"/>
              </w:rPr>
            </w:pPr>
          </w:p>
        </w:tc>
        <w:tc>
          <w:tcPr>
            <w:tcW w:w="2950" w:type="dxa"/>
            <w:vMerge/>
            <w:vAlign w:val="center"/>
          </w:tcPr>
          <w:p w14:paraId="032AA1F5" w14:textId="77777777" w:rsidR="007F3128" w:rsidRPr="00F658A6" w:rsidRDefault="007F3128" w:rsidP="00F608A7">
            <w:pPr>
              <w:jc w:val="left"/>
              <w:rPr>
                <w:sz w:val="16"/>
                <w:szCs w:val="16"/>
              </w:rPr>
            </w:pPr>
          </w:p>
        </w:tc>
        <w:tc>
          <w:tcPr>
            <w:tcW w:w="567" w:type="dxa"/>
            <w:vAlign w:val="center"/>
          </w:tcPr>
          <w:p w14:paraId="1593E14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5359617" w14:textId="77777777" w:rsidR="007F3128" w:rsidRPr="00F658A6" w:rsidRDefault="007F3128" w:rsidP="00F608A7">
            <w:pPr>
              <w:tabs>
                <w:tab w:val="left" w:pos="1277"/>
              </w:tabs>
              <w:jc w:val="left"/>
              <w:rPr>
                <w:sz w:val="16"/>
                <w:szCs w:val="16"/>
              </w:rPr>
            </w:pPr>
            <w:r w:rsidRPr="00F658A6">
              <w:rPr>
                <w:sz w:val="16"/>
                <w:szCs w:val="16"/>
              </w:rPr>
              <w:t>Adela Nohemí Pérez Maldonado (Hija fallecida)</w:t>
            </w:r>
          </w:p>
        </w:tc>
      </w:tr>
      <w:tr w:rsidR="007F3128" w:rsidRPr="00F658A6" w14:paraId="308E4B28" w14:textId="77777777" w:rsidTr="00F608A7">
        <w:tc>
          <w:tcPr>
            <w:tcW w:w="560" w:type="dxa"/>
            <w:gridSpan w:val="2"/>
            <w:vAlign w:val="center"/>
          </w:tcPr>
          <w:p w14:paraId="4EFE5078" w14:textId="77777777" w:rsidR="007F3128" w:rsidRPr="00F658A6" w:rsidRDefault="007F3128" w:rsidP="00F608A7">
            <w:pPr>
              <w:jc w:val="left"/>
              <w:rPr>
                <w:sz w:val="16"/>
                <w:szCs w:val="16"/>
              </w:rPr>
            </w:pPr>
            <w:r w:rsidRPr="00F658A6">
              <w:rPr>
                <w:sz w:val="16"/>
                <w:szCs w:val="16"/>
              </w:rPr>
              <w:t>34</w:t>
            </w:r>
          </w:p>
        </w:tc>
        <w:tc>
          <w:tcPr>
            <w:tcW w:w="2950" w:type="dxa"/>
            <w:vAlign w:val="center"/>
          </w:tcPr>
          <w:p w14:paraId="0D61EFED" w14:textId="3A53D180" w:rsidR="007F3128" w:rsidRPr="00F658A6" w:rsidRDefault="000531AD" w:rsidP="00F608A7">
            <w:pPr>
              <w:jc w:val="left"/>
              <w:rPr>
                <w:sz w:val="16"/>
                <w:szCs w:val="16"/>
              </w:rPr>
            </w:pPr>
            <w:r w:rsidRPr="00F658A6">
              <w:rPr>
                <w:sz w:val="16"/>
                <w:szCs w:val="16"/>
              </w:rPr>
              <w:t>Dora Marina Marti</w:t>
            </w:r>
            <w:r w:rsidR="007F3128" w:rsidRPr="00F658A6">
              <w:rPr>
                <w:sz w:val="16"/>
                <w:szCs w:val="16"/>
              </w:rPr>
              <w:t>nez Sofoifa</w:t>
            </w:r>
          </w:p>
        </w:tc>
        <w:tc>
          <w:tcPr>
            <w:tcW w:w="567" w:type="dxa"/>
            <w:vAlign w:val="center"/>
          </w:tcPr>
          <w:p w14:paraId="013E12E5" w14:textId="77777777" w:rsidR="007F3128" w:rsidRPr="00F658A6" w:rsidRDefault="007F3128" w:rsidP="00F608A7">
            <w:pPr>
              <w:jc w:val="left"/>
              <w:rPr>
                <w:sz w:val="16"/>
                <w:szCs w:val="16"/>
              </w:rPr>
            </w:pPr>
          </w:p>
        </w:tc>
        <w:tc>
          <w:tcPr>
            <w:tcW w:w="4927" w:type="dxa"/>
            <w:vAlign w:val="center"/>
          </w:tcPr>
          <w:p w14:paraId="45678CB8" w14:textId="08007431" w:rsidR="007F3128" w:rsidRPr="00F658A6" w:rsidRDefault="009B2096" w:rsidP="00F608A7">
            <w:pPr>
              <w:jc w:val="left"/>
              <w:rPr>
                <w:sz w:val="16"/>
                <w:szCs w:val="16"/>
              </w:rPr>
            </w:pPr>
            <w:r w:rsidRPr="00F658A6">
              <w:rPr>
                <w:sz w:val="16"/>
                <w:szCs w:val="16"/>
              </w:rPr>
              <w:t>No hay información disponible</w:t>
            </w:r>
          </w:p>
        </w:tc>
      </w:tr>
      <w:tr w:rsidR="007F3128" w:rsidRPr="00F658A6" w14:paraId="6FB71A62" w14:textId="77777777" w:rsidTr="00F608A7">
        <w:tc>
          <w:tcPr>
            <w:tcW w:w="560" w:type="dxa"/>
            <w:gridSpan w:val="2"/>
            <w:vMerge w:val="restart"/>
            <w:vAlign w:val="center"/>
          </w:tcPr>
          <w:p w14:paraId="5DE61A71" w14:textId="77777777" w:rsidR="007F3128" w:rsidRPr="00F658A6" w:rsidRDefault="007F3128" w:rsidP="00F608A7">
            <w:pPr>
              <w:jc w:val="left"/>
              <w:rPr>
                <w:sz w:val="16"/>
                <w:szCs w:val="16"/>
              </w:rPr>
            </w:pPr>
            <w:r w:rsidRPr="00F658A6">
              <w:rPr>
                <w:sz w:val="16"/>
                <w:szCs w:val="16"/>
              </w:rPr>
              <w:t>35</w:t>
            </w:r>
          </w:p>
        </w:tc>
        <w:tc>
          <w:tcPr>
            <w:tcW w:w="2950" w:type="dxa"/>
            <w:vMerge w:val="restart"/>
            <w:vAlign w:val="center"/>
          </w:tcPr>
          <w:p w14:paraId="5F9143E1" w14:textId="6C443696" w:rsidR="007F3128" w:rsidRPr="00F658A6" w:rsidRDefault="007F3128" w:rsidP="00F608A7">
            <w:pPr>
              <w:jc w:val="left"/>
              <w:rPr>
                <w:sz w:val="16"/>
                <w:szCs w:val="16"/>
              </w:rPr>
            </w:pPr>
            <w:r w:rsidRPr="00F658A6">
              <w:rPr>
                <w:sz w:val="16"/>
                <w:szCs w:val="16"/>
              </w:rPr>
              <w:t>Pascuala de Jesús Mérida Rodr</w:t>
            </w:r>
            <w:r w:rsidR="00F608A7">
              <w:rPr>
                <w:sz w:val="16"/>
                <w:szCs w:val="16"/>
              </w:rPr>
              <w:t>í</w:t>
            </w:r>
            <w:r w:rsidRPr="00F658A6">
              <w:rPr>
                <w:sz w:val="16"/>
                <w:szCs w:val="16"/>
              </w:rPr>
              <w:t>guez</w:t>
            </w:r>
          </w:p>
        </w:tc>
        <w:tc>
          <w:tcPr>
            <w:tcW w:w="567" w:type="dxa"/>
            <w:vAlign w:val="center"/>
          </w:tcPr>
          <w:p w14:paraId="62E5FEFB"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C73C0C5" w14:textId="77777777" w:rsidR="007F3128" w:rsidRPr="00F658A6" w:rsidRDefault="007F3128" w:rsidP="00F608A7">
            <w:pPr>
              <w:tabs>
                <w:tab w:val="left" w:pos="1277"/>
              </w:tabs>
              <w:jc w:val="left"/>
              <w:rPr>
                <w:sz w:val="16"/>
                <w:szCs w:val="16"/>
              </w:rPr>
            </w:pPr>
            <w:r w:rsidRPr="00F658A6">
              <w:rPr>
                <w:sz w:val="16"/>
                <w:szCs w:val="16"/>
              </w:rPr>
              <w:t>Sixto Mérida Mendoza (Padre. fallecido 5 años atrás)</w:t>
            </w:r>
          </w:p>
        </w:tc>
      </w:tr>
      <w:tr w:rsidR="007F3128" w:rsidRPr="00F658A6" w14:paraId="162D35D6" w14:textId="77777777" w:rsidTr="00F608A7">
        <w:tc>
          <w:tcPr>
            <w:tcW w:w="560" w:type="dxa"/>
            <w:gridSpan w:val="2"/>
            <w:vMerge/>
            <w:vAlign w:val="center"/>
          </w:tcPr>
          <w:p w14:paraId="5E7C131E" w14:textId="77777777" w:rsidR="007F3128" w:rsidRPr="00F658A6" w:rsidRDefault="007F3128" w:rsidP="00F608A7">
            <w:pPr>
              <w:jc w:val="left"/>
              <w:rPr>
                <w:sz w:val="16"/>
                <w:szCs w:val="16"/>
              </w:rPr>
            </w:pPr>
          </w:p>
        </w:tc>
        <w:tc>
          <w:tcPr>
            <w:tcW w:w="2950" w:type="dxa"/>
            <w:vMerge/>
            <w:vAlign w:val="center"/>
          </w:tcPr>
          <w:p w14:paraId="58F646EE" w14:textId="77777777" w:rsidR="007F3128" w:rsidRPr="00F658A6" w:rsidRDefault="007F3128" w:rsidP="00F608A7">
            <w:pPr>
              <w:jc w:val="left"/>
              <w:rPr>
                <w:sz w:val="16"/>
                <w:szCs w:val="16"/>
              </w:rPr>
            </w:pPr>
          </w:p>
        </w:tc>
        <w:tc>
          <w:tcPr>
            <w:tcW w:w="567" w:type="dxa"/>
            <w:vAlign w:val="center"/>
          </w:tcPr>
          <w:p w14:paraId="7B0BFAEA"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15A5D6C6" w14:textId="0DF4C923" w:rsidR="007F3128" w:rsidRPr="00F658A6" w:rsidRDefault="007F3128" w:rsidP="00F608A7">
            <w:pPr>
              <w:tabs>
                <w:tab w:val="left" w:pos="1277"/>
              </w:tabs>
              <w:jc w:val="left"/>
              <w:rPr>
                <w:sz w:val="16"/>
                <w:szCs w:val="16"/>
              </w:rPr>
            </w:pPr>
            <w:r w:rsidRPr="00F658A6">
              <w:rPr>
                <w:sz w:val="16"/>
                <w:szCs w:val="16"/>
              </w:rPr>
              <w:t>Hermin</w:t>
            </w:r>
            <w:r w:rsidR="00B81C69" w:rsidRPr="00F658A6">
              <w:rPr>
                <w:sz w:val="16"/>
                <w:szCs w:val="16"/>
              </w:rPr>
              <w:t>i</w:t>
            </w:r>
            <w:r w:rsidRPr="00F658A6">
              <w:rPr>
                <w:sz w:val="16"/>
                <w:szCs w:val="16"/>
              </w:rPr>
              <w:t>a Rodríguez Coculista (Madre)</w:t>
            </w:r>
          </w:p>
        </w:tc>
      </w:tr>
      <w:tr w:rsidR="007F3128" w:rsidRPr="00F658A6" w14:paraId="1DA1C1CA" w14:textId="77777777" w:rsidTr="00F608A7">
        <w:tc>
          <w:tcPr>
            <w:tcW w:w="560" w:type="dxa"/>
            <w:gridSpan w:val="2"/>
            <w:vMerge/>
            <w:vAlign w:val="center"/>
          </w:tcPr>
          <w:p w14:paraId="5F77064B" w14:textId="77777777" w:rsidR="007F3128" w:rsidRPr="00F658A6" w:rsidRDefault="007F3128" w:rsidP="00F608A7">
            <w:pPr>
              <w:jc w:val="left"/>
              <w:rPr>
                <w:sz w:val="16"/>
                <w:szCs w:val="16"/>
              </w:rPr>
            </w:pPr>
          </w:p>
        </w:tc>
        <w:tc>
          <w:tcPr>
            <w:tcW w:w="2950" w:type="dxa"/>
            <w:vMerge/>
            <w:vAlign w:val="center"/>
          </w:tcPr>
          <w:p w14:paraId="743943E2" w14:textId="77777777" w:rsidR="007F3128" w:rsidRPr="00F658A6" w:rsidRDefault="007F3128" w:rsidP="00F608A7">
            <w:pPr>
              <w:jc w:val="left"/>
              <w:rPr>
                <w:sz w:val="16"/>
                <w:szCs w:val="16"/>
              </w:rPr>
            </w:pPr>
          </w:p>
        </w:tc>
        <w:tc>
          <w:tcPr>
            <w:tcW w:w="567" w:type="dxa"/>
            <w:vAlign w:val="center"/>
          </w:tcPr>
          <w:p w14:paraId="53EE30BB"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3D06AE5" w14:textId="77777777" w:rsidR="007F3128" w:rsidRPr="00F658A6" w:rsidRDefault="007F3128" w:rsidP="00F608A7">
            <w:pPr>
              <w:tabs>
                <w:tab w:val="left" w:pos="1277"/>
              </w:tabs>
              <w:jc w:val="left"/>
              <w:rPr>
                <w:sz w:val="16"/>
                <w:szCs w:val="16"/>
              </w:rPr>
            </w:pPr>
            <w:r w:rsidRPr="00F658A6">
              <w:rPr>
                <w:sz w:val="16"/>
                <w:szCs w:val="16"/>
              </w:rPr>
              <w:t>Karla de Jesús Coronado Mérida (Hija)</w:t>
            </w:r>
          </w:p>
        </w:tc>
      </w:tr>
      <w:tr w:rsidR="007F3128" w:rsidRPr="00F658A6" w14:paraId="01316A80" w14:textId="77777777" w:rsidTr="00F608A7">
        <w:tc>
          <w:tcPr>
            <w:tcW w:w="560" w:type="dxa"/>
            <w:gridSpan w:val="2"/>
            <w:vMerge/>
            <w:vAlign w:val="center"/>
          </w:tcPr>
          <w:p w14:paraId="619419C1" w14:textId="77777777" w:rsidR="007F3128" w:rsidRPr="00F658A6" w:rsidRDefault="007F3128" w:rsidP="00F608A7">
            <w:pPr>
              <w:jc w:val="left"/>
              <w:rPr>
                <w:sz w:val="16"/>
                <w:szCs w:val="16"/>
              </w:rPr>
            </w:pPr>
          </w:p>
        </w:tc>
        <w:tc>
          <w:tcPr>
            <w:tcW w:w="2950" w:type="dxa"/>
            <w:vMerge/>
            <w:vAlign w:val="center"/>
          </w:tcPr>
          <w:p w14:paraId="09ACE3DF" w14:textId="77777777" w:rsidR="007F3128" w:rsidRPr="00F658A6" w:rsidRDefault="007F3128" w:rsidP="00F608A7">
            <w:pPr>
              <w:jc w:val="left"/>
              <w:rPr>
                <w:sz w:val="16"/>
                <w:szCs w:val="16"/>
              </w:rPr>
            </w:pPr>
          </w:p>
        </w:tc>
        <w:tc>
          <w:tcPr>
            <w:tcW w:w="567" w:type="dxa"/>
            <w:vAlign w:val="center"/>
          </w:tcPr>
          <w:p w14:paraId="48AEA4EC"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EF9D370" w14:textId="77777777" w:rsidR="007F3128" w:rsidRPr="00F658A6" w:rsidRDefault="007F3128" w:rsidP="00F608A7">
            <w:pPr>
              <w:tabs>
                <w:tab w:val="left" w:pos="1277"/>
              </w:tabs>
              <w:jc w:val="left"/>
              <w:rPr>
                <w:sz w:val="16"/>
                <w:szCs w:val="16"/>
              </w:rPr>
            </w:pPr>
            <w:r w:rsidRPr="00F658A6">
              <w:rPr>
                <w:sz w:val="16"/>
                <w:szCs w:val="16"/>
              </w:rPr>
              <w:t>Benita del Rosario Soto Mérida (Hija)</w:t>
            </w:r>
          </w:p>
        </w:tc>
      </w:tr>
      <w:tr w:rsidR="007F3128" w:rsidRPr="00F658A6" w14:paraId="49374A76" w14:textId="77777777" w:rsidTr="00F608A7">
        <w:tc>
          <w:tcPr>
            <w:tcW w:w="560" w:type="dxa"/>
            <w:gridSpan w:val="2"/>
            <w:vMerge/>
            <w:vAlign w:val="center"/>
          </w:tcPr>
          <w:p w14:paraId="5FCF58E2" w14:textId="77777777" w:rsidR="007F3128" w:rsidRPr="00F658A6" w:rsidRDefault="007F3128" w:rsidP="00F608A7">
            <w:pPr>
              <w:jc w:val="left"/>
              <w:rPr>
                <w:sz w:val="16"/>
                <w:szCs w:val="16"/>
              </w:rPr>
            </w:pPr>
          </w:p>
        </w:tc>
        <w:tc>
          <w:tcPr>
            <w:tcW w:w="2950" w:type="dxa"/>
            <w:vMerge/>
            <w:vAlign w:val="center"/>
          </w:tcPr>
          <w:p w14:paraId="3091D2A3" w14:textId="77777777" w:rsidR="007F3128" w:rsidRPr="00F658A6" w:rsidRDefault="007F3128" w:rsidP="00F608A7">
            <w:pPr>
              <w:jc w:val="left"/>
              <w:rPr>
                <w:sz w:val="16"/>
                <w:szCs w:val="16"/>
              </w:rPr>
            </w:pPr>
          </w:p>
        </w:tc>
        <w:tc>
          <w:tcPr>
            <w:tcW w:w="567" w:type="dxa"/>
            <w:vAlign w:val="center"/>
          </w:tcPr>
          <w:p w14:paraId="654A71CF"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73FCEDAF" w14:textId="77777777" w:rsidR="007F3128" w:rsidRPr="00F658A6" w:rsidRDefault="007F3128" w:rsidP="00F608A7">
            <w:pPr>
              <w:tabs>
                <w:tab w:val="left" w:pos="1277"/>
              </w:tabs>
              <w:jc w:val="left"/>
              <w:rPr>
                <w:sz w:val="16"/>
                <w:szCs w:val="16"/>
              </w:rPr>
            </w:pPr>
            <w:r w:rsidRPr="00F658A6">
              <w:rPr>
                <w:sz w:val="16"/>
                <w:szCs w:val="16"/>
              </w:rPr>
              <w:t>Erick Alexander Maldonado Mérida (Hijo)</w:t>
            </w:r>
          </w:p>
        </w:tc>
      </w:tr>
      <w:tr w:rsidR="007F3128" w:rsidRPr="00F658A6" w14:paraId="2C4B987E" w14:textId="77777777" w:rsidTr="00F608A7">
        <w:tc>
          <w:tcPr>
            <w:tcW w:w="560" w:type="dxa"/>
            <w:gridSpan w:val="2"/>
            <w:vMerge/>
            <w:vAlign w:val="center"/>
          </w:tcPr>
          <w:p w14:paraId="69305C51" w14:textId="77777777" w:rsidR="007F3128" w:rsidRPr="00F658A6" w:rsidRDefault="007F3128" w:rsidP="00F608A7">
            <w:pPr>
              <w:jc w:val="left"/>
              <w:rPr>
                <w:sz w:val="16"/>
                <w:szCs w:val="16"/>
              </w:rPr>
            </w:pPr>
          </w:p>
        </w:tc>
        <w:tc>
          <w:tcPr>
            <w:tcW w:w="2950" w:type="dxa"/>
            <w:vMerge/>
            <w:vAlign w:val="center"/>
          </w:tcPr>
          <w:p w14:paraId="7F528C41" w14:textId="77777777" w:rsidR="007F3128" w:rsidRPr="00F658A6" w:rsidRDefault="007F3128" w:rsidP="00F608A7">
            <w:pPr>
              <w:jc w:val="left"/>
              <w:rPr>
                <w:sz w:val="16"/>
                <w:szCs w:val="16"/>
              </w:rPr>
            </w:pPr>
          </w:p>
        </w:tc>
        <w:tc>
          <w:tcPr>
            <w:tcW w:w="567" w:type="dxa"/>
            <w:vAlign w:val="center"/>
          </w:tcPr>
          <w:p w14:paraId="1CDB8AFB"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2D6F9248" w14:textId="14066915" w:rsidR="007F3128" w:rsidRPr="00F658A6" w:rsidRDefault="007F3128" w:rsidP="00F608A7">
            <w:pPr>
              <w:tabs>
                <w:tab w:val="left" w:pos="1277"/>
              </w:tabs>
              <w:jc w:val="left"/>
              <w:rPr>
                <w:sz w:val="16"/>
                <w:szCs w:val="16"/>
              </w:rPr>
            </w:pPr>
            <w:r w:rsidRPr="00F658A6">
              <w:rPr>
                <w:sz w:val="16"/>
                <w:szCs w:val="16"/>
              </w:rPr>
              <w:t>Alejo Ranfer</w:t>
            </w:r>
            <w:r w:rsidR="00565EA6" w:rsidRPr="00F658A6">
              <w:rPr>
                <w:sz w:val="16"/>
                <w:szCs w:val="16"/>
              </w:rPr>
              <w:t>í</w:t>
            </w:r>
            <w:r w:rsidRPr="00F658A6">
              <w:rPr>
                <w:sz w:val="16"/>
                <w:szCs w:val="16"/>
              </w:rPr>
              <w:t xml:space="preserve"> Maldonado Oxlaj (Pareja actual)</w:t>
            </w:r>
          </w:p>
        </w:tc>
      </w:tr>
      <w:tr w:rsidR="007F3128" w:rsidRPr="00F658A6" w14:paraId="4AE04BEE" w14:textId="77777777" w:rsidTr="00F608A7">
        <w:tc>
          <w:tcPr>
            <w:tcW w:w="560" w:type="dxa"/>
            <w:gridSpan w:val="2"/>
            <w:vMerge/>
            <w:vAlign w:val="center"/>
          </w:tcPr>
          <w:p w14:paraId="6B25E66C" w14:textId="77777777" w:rsidR="007F3128" w:rsidRPr="00F658A6" w:rsidRDefault="007F3128" w:rsidP="00F608A7">
            <w:pPr>
              <w:jc w:val="left"/>
              <w:rPr>
                <w:sz w:val="16"/>
                <w:szCs w:val="16"/>
              </w:rPr>
            </w:pPr>
          </w:p>
        </w:tc>
        <w:tc>
          <w:tcPr>
            <w:tcW w:w="2950" w:type="dxa"/>
            <w:vMerge/>
            <w:vAlign w:val="center"/>
          </w:tcPr>
          <w:p w14:paraId="2805B678" w14:textId="77777777" w:rsidR="007F3128" w:rsidRPr="00F658A6" w:rsidRDefault="007F3128" w:rsidP="00F608A7">
            <w:pPr>
              <w:jc w:val="left"/>
              <w:rPr>
                <w:sz w:val="16"/>
                <w:szCs w:val="16"/>
              </w:rPr>
            </w:pPr>
          </w:p>
        </w:tc>
        <w:tc>
          <w:tcPr>
            <w:tcW w:w="567" w:type="dxa"/>
            <w:vAlign w:val="center"/>
          </w:tcPr>
          <w:p w14:paraId="7E35EF62"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762D81FA" w14:textId="77777777" w:rsidR="007F3128" w:rsidRPr="00F658A6" w:rsidRDefault="007F3128" w:rsidP="00F608A7">
            <w:pPr>
              <w:tabs>
                <w:tab w:val="left" w:pos="1277"/>
              </w:tabs>
              <w:jc w:val="left"/>
              <w:rPr>
                <w:sz w:val="16"/>
                <w:szCs w:val="16"/>
              </w:rPr>
            </w:pPr>
            <w:r w:rsidRPr="00F658A6">
              <w:rPr>
                <w:sz w:val="16"/>
                <w:szCs w:val="16"/>
              </w:rPr>
              <w:t>Mercedes Patricia Mérida Rodríguez (Hermana)</w:t>
            </w:r>
          </w:p>
        </w:tc>
      </w:tr>
      <w:tr w:rsidR="007F3128" w:rsidRPr="00F658A6" w14:paraId="0A4EC409" w14:textId="77777777" w:rsidTr="00F608A7">
        <w:tc>
          <w:tcPr>
            <w:tcW w:w="560" w:type="dxa"/>
            <w:gridSpan w:val="2"/>
            <w:vMerge/>
            <w:vAlign w:val="center"/>
          </w:tcPr>
          <w:p w14:paraId="19CDC9E5" w14:textId="77777777" w:rsidR="007F3128" w:rsidRPr="00F658A6" w:rsidRDefault="007F3128" w:rsidP="00F608A7">
            <w:pPr>
              <w:jc w:val="left"/>
              <w:rPr>
                <w:sz w:val="16"/>
                <w:szCs w:val="16"/>
              </w:rPr>
            </w:pPr>
          </w:p>
        </w:tc>
        <w:tc>
          <w:tcPr>
            <w:tcW w:w="2950" w:type="dxa"/>
            <w:vMerge/>
            <w:vAlign w:val="center"/>
          </w:tcPr>
          <w:p w14:paraId="06C72745" w14:textId="77777777" w:rsidR="007F3128" w:rsidRPr="00F658A6" w:rsidRDefault="007F3128" w:rsidP="00F608A7">
            <w:pPr>
              <w:jc w:val="left"/>
              <w:rPr>
                <w:sz w:val="16"/>
                <w:szCs w:val="16"/>
              </w:rPr>
            </w:pPr>
          </w:p>
        </w:tc>
        <w:tc>
          <w:tcPr>
            <w:tcW w:w="567" w:type="dxa"/>
            <w:vAlign w:val="center"/>
          </w:tcPr>
          <w:p w14:paraId="213A23B6"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4E78C5F2" w14:textId="77777777" w:rsidR="007F3128" w:rsidRPr="00F658A6" w:rsidRDefault="007F3128" w:rsidP="00F608A7">
            <w:pPr>
              <w:tabs>
                <w:tab w:val="left" w:pos="1277"/>
              </w:tabs>
              <w:jc w:val="left"/>
              <w:rPr>
                <w:sz w:val="16"/>
                <w:szCs w:val="16"/>
              </w:rPr>
            </w:pPr>
            <w:r w:rsidRPr="00F658A6">
              <w:rPr>
                <w:sz w:val="16"/>
                <w:szCs w:val="16"/>
              </w:rPr>
              <w:t>Baudillo Soto de León (Padre de sus hijos, fallecido)</w:t>
            </w:r>
          </w:p>
        </w:tc>
      </w:tr>
      <w:tr w:rsidR="007F3128" w:rsidRPr="00F658A6" w14:paraId="4A29CA1D" w14:textId="77777777" w:rsidTr="00F608A7">
        <w:tc>
          <w:tcPr>
            <w:tcW w:w="560" w:type="dxa"/>
            <w:gridSpan w:val="2"/>
            <w:vMerge w:val="restart"/>
            <w:vAlign w:val="center"/>
          </w:tcPr>
          <w:p w14:paraId="0AC34F0F" w14:textId="77777777" w:rsidR="007F3128" w:rsidRPr="00F658A6" w:rsidRDefault="007F3128" w:rsidP="00F608A7">
            <w:pPr>
              <w:jc w:val="left"/>
              <w:rPr>
                <w:sz w:val="16"/>
                <w:szCs w:val="16"/>
              </w:rPr>
            </w:pPr>
            <w:r w:rsidRPr="00F658A6">
              <w:rPr>
                <w:sz w:val="16"/>
                <w:szCs w:val="16"/>
              </w:rPr>
              <w:t>36</w:t>
            </w:r>
          </w:p>
        </w:tc>
        <w:tc>
          <w:tcPr>
            <w:tcW w:w="2950" w:type="dxa"/>
            <w:vMerge w:val="restart"/>
            <w:vAlign w:val="center"/>
          </w:tcPr>
          <w:p w14:paraId="01BCB85D" w14:textId="521A4703" w:rsidR="007F3128" w:rsidRPr="00F658A6" w:rsidRDefault="007F3128" w:rsidP="00F608A7">
            <w:pPr>
              <w:jc w:val="left"/>
              <w:rPr>
                <w:sz w:val="16"/>
                <w:szCs w:val="16"/>
              </w:rPr>
            </w:pPr>
            <w:r w:rsidRPr="00F658A6">
              <w:rPr>
                <w:sz w:val="16"/>
                <w:szCs w:val="16"/>
              </w:rPr>
              <w:t>Darinel López Montes de Oca</w:t>
            </w:r>
          </w:p>
        </w:tc>
        <w:tc>
          <w:tcPr>
            <w:tcW w:w="567" w:type="dxa"/>
            <w:vAlign w:val="center"/>
          </w:tcPr>
          <w:p w14:paraId="3FF966F5"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DEF8E0F" w14:textId="77777777" w:rsidR="007F3128" w:rsidRPr="00F658A6" w:rsidRDefault="007F3128" w:rsidP="00F608A7">
            <w:pPr>
              <w:jc w:val="left"/>
              <w:rPr>
                <w:sz w:val="16"/>
                <w:szCs w:val="16"/>
              </w:rPr>
            </w:pPr>
            <w:r w:rsidRPr="00F658A6">
              <w:rPr>
                <w:sz w:val="16"/>
                <w:szCs w:val="16"/>
              </w:rPr>
              <w:t>Ana Castillo López (Prima)</w:t>
            </w:r>
          </w:p>
        </w:tc>
      </w:tr>
      <w:tr w:rsidR="007F3128" w:rsidRPr="00F658A6" w14:paraId="4FFB2505" w14:textId="77777777" w:rsidTr="00F608A7">
        <w:tc>
          <w:tcPr>
            <w:tcW w:w="560" w:type="dxa"/>
            <w:gridSpan w:val="2"/>
            <w:vMerge/>
            <w:vAlign w:val="center"/>
          </w:tcPr>
          <w:p w14:paraId="403B8D42" w14:textId="77777777" w:rsidR="007F3128" w:rsidRPr="00F658A6" w:rsidRDefault="007F3128" w:rsidP="00F608A7">
            <w:pPr>
              <w:jc w:val="left"/>
              <w:rPr>
                <w:sz w:val="16"/>
                <w:szCs w:val="16"/>
              </w:rPr>
            </w:pPr>
          </w:p>
        </w:tc>
        <w:tc>
          <w:tcPr>
            <w:tcW w:w="2950" w:type="dxa"/>
            <w:vMerge/>
            <w:vAlign w:val="center"/>
          </w:tcPr>
          <w:p w14:paraId="47A6E4D5" w14:textId="77777777" w:rsidR="007F3128" w:rsidRPr="00F658A6" w:rsidRDefault="007F3128" w:rsidP="00F608A7">
            <w:pPr>
              <w:jc w:val="left"/>
              <w:rPr>
                <w:sz w:val="16"/>
                <w:szCs w:val="16"/>
              </w:rPr>
            </w:pPr>
          </w:p>
        </w:tc>
        <w:tc>
          <w:tcPr>
            <w:tcW w:w="567" w:type="dxa"/>
            <w:vAlign w:val="center"/>
          </w:tcPr>
          <w:p w14:paraId="68A5A0A2"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5105E37" w14:textId="77777777" w:rsidR="007F3128" w:rsidRPr="00F658A6" w:rsidRDefault="007F3128" w:rsidP="00F608A7">
            <w:pPr>
              <w:jc w:val="left"/>
              <w:rPr>
                <w:sz w:val="16"/>
                <w:szCs w:val="16"/>
              </w:rPr>
            </w:pPr>
            <w:r w:rsidRPr="00F658A6">
              <w:rPr>
                <w:sz w:val="16"/>
                <w:szCs w:val="16"/>
              </w:rPr>
              <w:t>Aracely Méndez Castillo (Sobrina)</w:t>
            </w:r>
          </w:p>
        </w:tc>
      </w:tr>
      <w:tr w:rsidR="007F3128" w:rsidRPr="00F658A6" w14:paraId="24DDE664" w14:textId="77777777" w:rsidTr="00F608A7">
        <w:tc>
          <w:tcPr>
            <w:tcW w:w="560" w:type="dxa"/>
            <w:gridSpan w:val="2"/>
            <w:vAlign w:val="center"/>
          </w:tcPr>
          <w:p w14:paraId="70C7FDC4" w14:textId="77777777" w:rsidR="007F3128" w:rsidRPr="00F658A6" w:rsidRDefault="007F3128" w:rsidP="00F608A7">
            <w:pPr>
              <w:jc w:val="left"/>
              <w:rPr>
                <w:sz w:val="16"/>
                <w:szCs w:val="16"/>
              </w:rPr>
            </w:pPr>
            <w:r w:rsidRPr="00F658A6">
              <w:rPr>
                <w:sz w:val="16"/>
                <w:szCs w:val="16"/>
              </w:rPr>
              <w:t>37</w:t>
            </w:r>
          </w:p>
        </w:tc>
        <w:tc>
          <w:tcPr>
            <w:tcW w:w="2950" w:type="dxa"/>
            <w:vAlign w:val="center"/>
          </w:tcPr>
          <w:p w14:paraId="435F36F2" w14:textId="55231442" w:rsidR="007F3128" w:rsidRPr="00F658A6" w:rsidRDefault="00E70BC9" w:rsidP="00F608A7">
            <w:pPr>
              <w:jc w:val="left"/>
              <w:rPr>
                <w:sz w:val="16"/>
                <w:szCs w:val="16"/>
              </w:rPr>
            </w:pPr>
            <w:r w:rsidRPr="00F658A6">
              <w:rPr>
                <w:sz w:val="16"/>
                <w:szCs w:val="16"/>
              </w:rPr>
              <w:t>Israel Pe</w:t>
            </w:r>
            <w:r w:rsidR="007F3128" w:rsidRPr="00F658A6">
              <w:rPr>
                <w:sz w:val="16"/>
                <w:szCs w:val="16"/>
              </w:rPr>
              <w:t>rez Charal</w:t>
            </w:r>
          </w:p>
        </w:tc>
        <w:tc>
          <w:tcPr>
            <w:tcW w:w="567" w:type="dxa"/>
            <w:vAlign w:val="center"/>
          </w:tcPr>
          <w:p w14:paraId="36CBCD96" w14:textId="77777777" w:rsidR="007F3128" w:rsidRPr="00F658A6" w:rsidRDefault="007F3128" w:rsidP="00F608A7">
            <w:pPr>
              <w:jc w:val="left"/>
              <w:rPr>
                <w:sz w:val="16"/>
                <w:szCs w:val="16"/>
              </w:rPr>
            </w:pPr>
          </w:p>
        </w:tc>
        <w:tc>
          <w:tcPr>
            <w:tcW w:w="4927" w:type="dxa"/>
            <w:vAlign w:val="center"/>
          </w:tcPr>
          <w:p w14:paraId="439ACE01" w14:textId="1A3540B7" w:rsidR="007F3128" w:rsidRPr="00F658A6" w:rsidRDefault="009B2096" w:rsidP="00F608A7">
            <w:pPr>
              <w:jc w:val="left"/>
              <w:rPr>
                <w:sz w:val="16"/>
                <w:szCs w:val="16"/>
              </w:rPr>
            </w:pPr>
            <w:r w:rsidRPr="00F658A6">
              <w:rPr>
                <w:sz w:val="16"/>
                <w:szCs w:val="16"/>
              </w:rPr>
              <w:t>No hay información disponible</w:t>
            </w:r>
          </w:p>
        </w:tc>
      </w:tr>
      <w:tr w:rsidR="007F3128" w:rsidRPr="00F658A6" w14:paraId="37F330B3" w14:textId="77777777" w:rsidTr="00F608A7">
        <w:tc>
          <w:tcPr>
            <w:tcW w:w="560" w:type="dxa"/>
            <w:gridSpan w:val="2"/>
            <w:vMerge w:val="restart"/>
            <w:vAlign w:val="center"/>
          </w:tcPr>
          <w:p w14:paraId="6FDC3EA0" w14:textId="77777777" w:rsidR="007F3128" w:rsidRPr="00F658A6" w:rsidRDefault="007F3128" w:rsidP="00F608A7">
            <w:pPr>
              <w:jc w:val="left"/>
              <w:rPr>
                <w:sz w:val="16"/>
                <w:szCs w:val="16"/>
              </w:rPr>
            </w:pPr>
            <w:r w:rsidRPr="00F658A6">
              <w:rPr>
                <w:sz w:val="16"/>
                <w:szCs w:val="16"/>
              </w:rPr>
              <w:t>38</w:t>
            </w:r>
          </w:p>
        </w:tc>
        <w:tc>
          <w:tcPr>
            <w:tcW w:w="2950" w:type="dxa"/>
            <w:vMerge w:val="restart"/>
            <w:vAlign w:val="center"/>
          </w:tcPr>
          <w:p w14:paraId="6F5B7815" w14:textId="3DCCFD78" w:rsidR="007F3128" w:rsidRPr="00F658A6" w:rsidRDefault="007F3128" w:rsidP="00F608A7">
            <w:pPr>
              <w:jc w:val="left"/>
              <w:rPr>
                <w:sz w:val="16"/>
                <w:szCs w:val="16"/>
              </w:rPr>
            </w:pPr>
            <w:r w:rsidRPr="00F658A6">
              <w:rPr>
                <w:sz w:val="16"/>
                <w:szCs w:val="16"/>
              </w:rPr>
              <w:t>Corina Dianeth Robledo Alvarado</w:t>
            </w:r>
          </w:p>
        </w:tc>
        <w:tc>
          <w:tcPr>
            <w:tcW w:w="567" w:type="dxa"/>
            <w:vAlign w:val="center"/>
          </w:tcPr>
          <w:p w14:paraId="231AB67E"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2D7B2CC" w14:textId="77777777" w:rsidR="007F3128" w:rsidRPr="00F658A6" w:rsidRDefault="007F3128" w:rsidP="00F608A7">
            <w:pPr>
              <w:tabs>
                <w:tab w:val="left" w:pos="1277"/>
              </w:tabs>
              <w:jc w:val="left"/>
              <w:rPr>
                <w:sz w:val="16"/>
                <w:szCs w:val="16"/>
              </w:rPr>
            </w:pPr>
            <w:r w:rsidRPr="00F658A6">
              <w:rPr>
                <w:sz w:val="16"/>
                <w:szCs w:val="16"/>
              </w:rPr>
              <w:t>Luis de León (Esposo)</w:t>
            </w:r>
          </w:p>
        </w:tc>
      </w:tr>
      <w:tr w:rsidR="007F3128" w:rsidRPr="00F658A6" w14:paraId="424B0892" w14:textId="77777777" w:rsidTr="00F608A7">
        <w:tc>
          <w:tcPr>
            <w:tcW w:w="560" w:type="dxa"/>
            <w:gridSpan w:val="2"/>
            <w:vMerge/>
            <w:vAlign w:val="center"/>
          </w:tcPr>
          <w:p w14:paraId="07A00EC9" w14:textId="77777777" w:rsidR="007F3128" w:rsidRPr="00F658A6" w:rsidRDefault="007F3128" w:rsidP="00F608A7">
            <w:pPr>
              <w:jc w:val="left"/>
              <w:rPr>
                <w:sz w:val="16"/>
                <w:szCs w:val="16"/>
              </w:rPr>
            </w:pPr>
          </w:p>
        </w:tc>
        <w:tc>
          <w:tcPr>
            <w:tcW w:w="2950" w:type="dxa"/>
            <w:vMerge/>
            <w:vAlign w:val="center"/>
          </w:tcPr>
          <w:p w14:paraId="2263DAA3" w14:textId="77777777" w:rsidR="007F3128" w:rsidRPr="00F658A6" w:rsidRDefault="007F3128" w:rsidP="00F608A7">
            <w:pPr>
              <w:jc w:val="left"/>
              <w:rPr>
                <w:sz w:val="16"/>
                <w:szCs w:val="16"/>
              </w:rPr>
            </w:pPr>
          </w:p>
        </w:tc>
        <w:tc>
          <w:tcPr>
            <w:tcW w:w="567" w:type="dxa"/>
            <w:vAlign w:val="center"/>
          </w:tcPr>
          <w:p w14:paraId="6BC759BB"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59CA55D1" w14:textId="49918921" w:rsidR="007F3128" w:rsidRPr="00F658A6" w:rsidRDefault="00B936FF" w:rsidP="00F608A7">
            <w:pPr>
              <w:tabs>
                <w:tab w:val="left" w:pos="1277"/>
              </w:tabs>
              <w:jc w:val="left"/>
              <w:rPr>
                <w:sz w:val="16"/>
                <w:szCs w:val="16"/>
              </w:rPr>
            </w:pPr>
            <w:r>
              <w:rPr>
                <w:sz w:val="16"/>
                <w:szCs w:val="16"/>
              </w:rPr>
              <w:t>L.A.L.</w:t>
            </w:r>
            <w:r>
              <w:rPr>
                <w:rStyle w:val="Refdenotaalpie"/>
                <w:sz w:val="16"/>
              </w:rPr>
              <w:footnoteReference w:id="259"/>
            </w:r>
          </w:p>
        </w:tc>
      </w:tr>
      <w:tr w:rsidR="007F3128" w:rsidRPr="00F658A6" w14:paraId="751013B2" w14:textId="77777777" w:rsidTr="00F608A7">
        <w:tc>
          <w:tcPr>
            <w:tcW w:w="560" w:type="dxa"/>
            <w:gridSpan w:val="2"/>
            <w:vMerge/>
            <w:vAlign w:val="center"/>
          </w:tcPr>
          <w:p w14:paraId="5394941E" w14:textId="77777777" w:rsidR="007F3128" w:rsidRPr="00F658A6" w:rsidRDefault="007F3128" w:rsidP="00F608A7">
            <w:pPr>
              <w:jc w:val="left"/>
              <w:rPr>
                <w:sz w:val="16"/>
                <w:szCs w:val="16"/>
              </w:rPr>
            </w:pPr>
          </w:p>
        </w:tc>
        <w:tc>
          <w:tcPr>
            <w:tcW w:w="2950" w:type="dxa"/>
            <w:vMerge/>
            <w:vAlign w:val="center"/>
          </w:tcPr>
          <w:p w14:paraId="06031CE4" w14:textId="77777777" w:rsidR="007F3128" w:rsidRPr="00F658A6" w:rsidRDefault="007F3128" w:rsidP="00F608A7">
            <w:pPr>
              <w:jc w:val="left"/>
              <w:rPr>
                <w:sz w:val="16"/>
                <w:szCs w:val="16"/>
              </w:rPr>
            </w:pPr>
          </w:p>
        </w:tc>
        <w:tc>
          <w:tcPr>
            <w:tcW w:w="567" w:type="dxa"/>
            <w:vAlign w:val="center"/>
          </w:tcPr>
          <w:p w14:paraId="40781013"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590D7A0C" w14:textId="77777777" w:rsidR="007F3128" w:rsidRPr="00F658A6" w:rsidRDefault="007F3128" w:rsidP="00F608A7">
            <w:pPr>
              <w:tabs>
                <w:tab w:val="left" w:pos="1277"/>
              </w:tabs>
              <w:jc w:val="left"/>
              <w:rPr>
                <w:sz w:val="16"/>
                <w:szCs w:val="16"/>
              </w:rPr>
            </w:pPr>
            <w:r w:rsidRPr="00F658A6">
              <w:rPr>
                <w:sz w:val="16"/>
                <w:szCs w:val="16"/>
              </w:rPr>
              <w:t>Virgilio Ladislao Robledo Rodríguez (Padre)</w:t>
            </w:r>
          </w:p>
        </w:tc>
      </w:tr>
      <w:tr w:rsidR="007F3128" w:rsidRPr="00F658A6" w14:paraId="6AFA6B15" w14:textId="77777777" w:rsidTr="00F608A7">
        <w:tc>
          <w:tcPr>
            <w:tcW w:w="560" w:type="dxa"/>
            <w:gridSpan w:val="2"/>
            <w:vMerge/>
            <w:vAlign w:val="center"/>
          </w:tcPr>
          <w:p w14:paraId="04D07EBE" w14:textId="77777777" w:rsidR="007F3128" w:rsidRPr="00F658A6" w:rsidRDefault="007F3128" w:rsidP="00F608A7">
            <w:pPr>
              <w:jc w:val="left"/>
              <w:rPr>
                <w:sz w:val="16"/>
                <w:szCs w:val="16"/>
              </w:rPr>
            </w:pPr>
          </w:p>
        </w:tc>
        <w:tc>
          <w:tcPr>
            <w:tcW w:w="2950" w:type="dxa"/>
            <w:vMerge/>
            <w:vAlign w:val="center"/>
          </w:tcPr>
          <w:p w14:paraId="4D9AE1DD" w14:textId="77777777" w:rsidR="007F3128" w:rsidRPr="00F658A6" w:rsidRDefault="007F3128" w:rsidP="00F608A7">
            <w:pPr>
              <w:jc w:val="left"/>
              <w:rPr>
                <w:sz w:val="16"/>
                <w:szCs w:val="16"/>
              </w:rPr>
            </w:pPr>
          </w:p>
        </w:tc>
        <w:tc>
          <w:tcPr>
            <w:tcW w:w="567" w:type="dxa"/>
            <w:vAlign w:val="center"/>
          </w:tcPr>
          <w:p w14:paraId="49D7C6E2"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75F59FA5" w14:textId="77777777" w:rsidR="007F3128" w:rsidRPr="00F658A6" w:rsidRDefault="007F3128" w:rsidP="00F608A7">
            <w:pPr>
              <w:tabs>
                <w:tab w:val="left" w:pos="1277"/>
              </w:tabs>
              <w:jc w:val="left"/>
              <w:rPr>
                <w:sz w:val="16"/>
                <w:szCs w:val="16"/>
              </w:rPr>
            </w:pPr>
            <w:r w:rsidRPr="00F658A6">
              <w:rPr>
                <w:sz w:val="16"/>
                <w:szCs w:val="16"/>
              </w:rPr>
              <w:t>Katarina Alvarado Mazariegos (Madre fallecida)</w:t>
            </w:r>
          </w:p>
        </w:tc>
      </w:tr>
      <w:tr w:rsidR="007F3128" w:rsidRPr="00F658A6" w14:paraId="2A565003" w14:textId="77777777" w:rsidTr="00F608A7">
        <w:tc>
          <w:tcPr>
            <w:tcW w:w="560" w:type="dxa"/>
            <w:gridSpan w:val="2"/>
            <w:vMerge/>
            <w:vAlign w:val="center"/>
          </w:tcPr>
          <w:p w14:paraId="23EB0548" w14:textId="77777777" w:rsidR="007F3128" w:rsidRPr="00F658A6" w:rsidRDefault="007F3128" w:rsidP="00F608A7">
            <w:pPr>
              <w:jc w:val="left"/>
              <w:rPr>
                <w:sz w:val="16"/>
                <w:szCs w:val="16"/>
              </w:rPr>
            </w:pPr>
          </w:p>
        </w:tc>
        <w:tc>
          <w:tcPr>
            <w:tcW w:w="2950" w:type="dxa"/>
            <w:vMerge/>
            <w:vAlign w:val="center"/>
          </w:tcPr>
          <w:p w14:paraId="0A36705A" w14:textId="77777777" w:rsidR="007F3128" w:rsidRPr="00F658A6" w:rsidRDefault="007F3128" w:rsidP="00F608A7">
            <w:pPr>
              <w:jc w:val="left"/>
              <w:rPr>
                <w:sz w:val="16"/>
                <w:szCs w:val="16"/>
              </w:rPr>
            </w:pPr>
          </w:p>
        </w:tc>
        <w:tc>
          <w:tcPr>
            <w:tcW w:w="567" w:type="dxa"/>
            <w:vAlign w:val="center"/>
          </w:tcPr>
          <w:p w14:paraId="6580F45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F2A06DF" w14:textId="77777777" w:rsidR="007F3128" w:rsidRPr="00F658A6" w:rsidRDefault="007F3128" w:rsidP="00F608A7">
            <w:pPr>
              <w:tabs>
                <w:tab w:val="left" w:pos="1277"/>
              </w:tabs>
              <w:jc w:val="left"/>
              <w:rPr>
                <w:sz w:val="16"/>
                <w:szCs w:val="16"/>
              </w:rPr>
            </w:pPr>
            <w:r w:rsidRPr="00F658A6">
              <w:rPr>
                <w:sz w:val="16"/>
                <w:szCs w:val="16"/>
              </w:rPr>
              <w:t>Osvaldo Romeo Robledo Alvarado (Hermano)</w:t>
            </w:r>
          </w:p>
        </w:tc>
      </w:tr>
      <w:tr w:rsidR="007F3128" w:rsidRPr="00F658A6" w14:paraId="7428D954" w14:textId="77777777" w:rsidTr="00F608A7">
        <w:tc>
          <w:tcPr>
            <w:tcW w:w="560" w:type="dxa"/>
            <w:gridSpan w:val="2"/>
            <w:vMerge/>
            <w:vAlign w:val="center"/>
          </w:tcPr>
          <w:p w14:paraId="4C484301" w14:textId="77777777" w:rsidR="007F3128" w:rsidRPr="00F658A6" w:rsidRDefault="007F3128" w:rsidP="00F608A7">
            <w:pPr>
              <w:jc w:val="left"/>
              <w:rPr>
                <w:sz w:val="16"/>
                <w:szCs w:val="16"/>
              </w:rPr>
            </w:pPr>
          </w:p>
        </w:tc>
        <w:tc>
          <w:tcPr>
            <w:tcW w:w="2950" w:type="dxa"/>
            <w:vMerge/>
            <w:vAlign w:val="center"/>
          </w:tcPr>
          <w:p w14:paraId="0B3F54E2" w14:textId="77777777" w:rsidR="007F3128" w:rsidRPr="00F658A6" w:rsidRDefault="007F3128" w:rsidP="00F608A7">
            <w:pPr>
              <w:jc w:val="left"/>
              <w:rPr>
                <w:sz w:val="16"/>
                <w:szCs w:val="16"/>
              </w:rPr>
            </w:pPr>
          </w:p>
        </w:tc>
        <w:tc>
          <w:tcPr>
            <w:tcW w:w="567" w:type="dxa"/>
            <w:vAlign w:val="center"/>
          </w:tcPr>
          <w:p w14:paraId="17A81B93"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27369618" w14:textId="77777777" w:rsidR="007F3128" w:rsidRPr="00F658A6" w:rsidRDefault="007F3128" w:rsidP="00F608A7">
            <w:pPr>
              <w:tabs>
                <w:tab w:val="left" w:pos="1277"/>
              </w:tabs>
              <w:jc w:val="left"/>
              <w:rPr>
                <w:sz w:val="16"/>
                <w:szCs w:val="16"/>
              </w:rPr>
            </w:pPr>
            <w:r w:rsidRPr="00F658A6">
              <w:rPr>
                <w:sz w:val="16"/>
                <w:szCs w:val="16"/>
              </w:rPr>
              <w:t>Bertha Luz Robledo Alvarado (Hermana)</w:t>
            </w:r>
          </w:p>
        </w:tc>
      </w:tr>
      <w:tr w:rsidR="007F3128" w:rsidRPr="00F658A6" w14:paraId="1C48A866" w14:textId="77777777" w:rsidTr="00F608A7">
        <w:tc>
          <w:tcPr>
            <w:tcW w:w="560" w:type="dxa"/>
            <w:gridSpan w:val="2"/>
            <w:vMerge/>
            <w:vAlign w:val="center"/>
          </w:tcPr>
          <w:p w14:paraId="5E2657B6" w14:textId="77777777" w:rsidR="007F3128" w:rsidRPr="00F658A6" w:rsidRDefault="007F3128" w:rsidP="00F608A7">
            <w:pPr>
              <w:jc w:val="left"/>
              <w:rPr>
                <w:sz w:val="16"/>
                <w:szCs w:val="16"/>
              </w:rPr>
            </w:pPr>
          </w:p>
        </w:tc>
        <w:tc>
          <w:tcPr>
            <w:tcW w:w="2950" w:type="dxa"/>
            <w:vMerge/>
            <w:vAlign w:val="center"/>
          </w:tcPr>
          <w:p w14:paraId="7FFFC60B" w14:textId="77777777" w:rsidR="007F3128" w:rsidRPr="00F658A6" w:rsidRDefault="007F3128" w:rsidP="00F608A7">
            <w:pPr>
              <w:jc w:val="left"/>
              <w:rPr>
                <w:sz w:val="16"/>
                <w:szCs w:val="16"/>
              </w:rPr>
            </w:pPr>
          </w:p>
        </w:tc>
        <w:tc>
          <w:tcPr>
            <w:tcW w:w="567" w:type="dxa"/>
            <w:vAlign w:val="center"/>
          </w:tcPr>
          <w:p w14:paraId="125D878A"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2925700F" w14:textId="77777777" w:rsidR="007F3128" w:rsidRPr="00F658A6" w:rsidRDefault="007F3128" w:rsidP="00F608A7">
            <w:pPr>
              <w:tabs>
                <w:tab w:val="left" w:pos="1277"/>
              </w:tabs>
              <w:jc w:val="left"/>
              <w:rPr>
                <w:sz w:val="16"/>
                <w:szCs w:val="16"/>
              </w:rPr>
            </w:pPr>
            <w:r w:rsidRPr="00F658A6">
              <w:rPr>
                <w:sz w:val="16"/>
                <w:szCs w:val="16"/>
              </w:rPr>
              <w:t>Gelber Manuel Robledo Alvarado (Hermano)</w:t>
            </w:r>
          </w:p>
        </w:tc>
      </w:tr>
      <w:tr w:rsidR="007F3128" w:rsidRPr="00F658A6" w14:paraId="737FEA95" w14:textId="77777777" w:rsidTr="00F608A7">
        <w:tc>
          <w:tcPr>
            <w:tcW w:w="560" w:type="dxa"/>
            <w:gridSpan w:val="2"/>
            <w:vMerge/>
            <w:vAlign w:val="center"/>
          </w:tcPr>
          <w:p w14:paraId="2A710655" w14:textId="77777777" w:rsidR="007F3128" w:rsidRPr="00F658A6" w:rsidRDefault="007F3128" w:rsidP="00F608A7">
            <w:pPr>
              <w:jc w:val="left"/>
              <w:rPr>
                <w:sz w:val="16"/>
                <w:szCs w:val="16"/>
              </w:rPr>
            </w:pPr>
          </w:p>
        </w:tc>
        <w:tc>
          <w:tcPr>
            <w:tcW w:w="2950" w:type="dxa"/>
            <w:vMerge/>
            <w:vAlign w:val="center"/>
          </w:tcPr>
          <w:p w14:paraId="4D0CA3F9" w14:textId="77777777" w:rsidR="007F3128" w:rsidRPr="00F658A6" w:rsidRDefault="007F3128" w:rsidP="00F608A7">
            <w:pPr>
              <w:jc w:val="left"/>
              <w:rPr>
                <w:sz w:val="16"/>
                <w:szCs w:val="16"/>
              </w:rPr>
            </w:pPr>
          </w:p>
        </w:tc>
        <w:tc>
          <w:tcPr>
            <w:tcW w:w="567" w:type="dxa"/>
            <w:vAlign w:val="center"/>
          </w:tcPr>
          <w:p w14:paraId="78FB7107"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612C171F" w14:textId="77777777" w:rsidR="007F3128" w:rsidRPr="00F658A6" w:rsidRDefault="007F3128" w:rsidP="00F608A7">
            <w:pPr>
              <w:tabs>
                <w:tab w:val="left" w:pos="1277"/>
              </w:tabs>
              <w:jc w:val="left"/>
              <w:rPr>
                <w:sz w:val="16"/>
                <w:szCs w:val="16"/>
              </w:rPr>
            </w:pPr>
            <w:r w:rsidRPr="00F658A6">
              <w:rPr>
                <w:sz w:val="16"/>
                <w:szCs w:val="16"/>
              </w:rPr>
              <w:t>Leticia Robledo Alvarado (Hermana)</w:t>
            </w:r>
          </w:p>
        </w:tc>
      </w:tr>
      <w:tr w:rsidR="007F3128" w:rsidRPr="00F658A6" w14:paraId="3E71767E" w14:textId="77777777" w:rsidTr="00F608A7">
        <w:tc>
          <w:tcPr>
            <w:tcW w:w="560" w:type="dxa"/>
            <w:gridSpan w:val="2"/>
            <w:vMerge/>
            <w:vAlign w:val="center"/>
          </w:tcPr>
          <w:p w14:paraId="0D574CAB" w14:textId="77777777" w:rsidR="007F3128" w:rsidRPr="00F658A6" w:rsidRDefault="007F3128" w:rsidP="00F608A7">
            <w:pPr>
              <w:jc w:val="left"/>
              <w:rPr>
                <w:sz w:val="16"/>
                <w:szCs w:val="16"/>
              </w:rPr>
            </w:pPr>
          </w:p>
        </w:tc>
        <w:tc>
          <w:tcPr>
            <w:tcW w:w="2950" w:type="dxa"/>
            <w:vMerge/>
            <w:vAlign w:val="center"/>
          </w:tcPr>
          <w:p w14:paraId="6924FD3B" w14:textId="77777777" w:rsidR="007F3128" w:rsidRPr="00F658A6" w:rsidRDefault="007F3128" w:rsidP="00F608A7">
            <w:pPr>
              <w:jc w:val="left"/>
              <w:rPr>
                <w:sz w:val="16"/>
                <w:szCs w:val="16"/>
              </w:rPr>
            </w:pPr>
          </w:p>
        </w:tc>
        <w:tc>
          <w:tcPr>
            <w:tcW w:w="567" w:type="dxa"/>
            <w:vAlign w:val="center"/>
          </w:tcPr>
          <w:p w14:paraId="4B13BAB7"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4EEEE91A" w14:textId="77777777" w:rsidR="007F3128" w:rsidRPr="00F658A6" w:rsidRDefault="007F3128" w:rsidP="00F608A7">
            <w:pPr>
              <w:tabs>
                <w:tab w:val="left" w:pos="1277"/>
              </w:tabs>
              <w:jc w:val="left"/>
              <w:rPr>
                <w:sz w:val="16"/>
                <w:szCs w:val="16"/>
              </w:rPr>
            </w:pPr>
            <w:r w:rsidRPr="00F658A6">
              <w:rPr>
                <w:sz w:val="16"/>
                <w:szCs w:val="16"/>
              </w:rPr>
              <w:t>Kener Guilfredo Robledo Alvarado (Hermano)</w:t>
            </w:r>
          </w:p>
        </w:tc>
      </w:tr>
      <w:tr w:rsidR="007F3128" w:rsidRPr="00F658A6" w14:paraId="5DAAF93D" w14:textId="77777777" w:rsidTr="00F608A7">
        <w:tc>
          <w:tcPr>
            <w:tcW w:w="560" w:type="dxa"/>
            <w:gridSpan w:val="2"/>
            <w:vMerge/>
            <w:vAlign w:val="center"/>
          </w:tcPr>
          <w:p w14:paraId="21DB96C4" w14:textId="77777777" w:rsidR="007F3128" w:rsidRPr="00F658A6" w:rsidRDefault="007F3128" w:rsidP="00F608A7">
            <w:pPr>
              <w:jc w:val="left"/>
              <w:rPr>
                <w:sz w:val="16"/>
                <w:szCs w:val="16"/>
              </w:rPr>
            </w:pPr>
          </w:p>
        </w:tc>
        <w:tc>
          <w:tcPr>
            <w:tcW w:w="2950" w:type="dxa"/>
            <w:vMerge/>
            <w:vAlign w:val="center"/>
          </w:tcPr>
          <w:p w14:paraId="0033B2A0" w14:textId="77777777" w:rsidR="007F3128" w:rsidRPr="00F658A6" w:rsidRDefault="007F3128" w:rsidP="00F608A7">
            <w:pPr>
              <w:jc w:val="left"/>
              <w:rPr>
                <w:sz w:val="16"/>
                <w:szCs w:val="16"/>
              </w:rPr>
            </w:pPr>
          </w:p>
        </w:tc>
        <w:tc>
          <w:tcPr>
            <w:tcW w:w="567" w:type="dxa"/>
            <w:vAlign w:val="center"/>
          </w:tcPr>
          <w:p w14:paraId="5A585A4C"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0A8CFBF7" w14:textId="77777777" w:rsidR="007F3128" w:rsidRPr="00F658A6" w:rsidRDefault="007F3128" w:rsidP="00F608A7">
            <w:pPr>
              <w:tabs>
                <w:tab w:val="left" w:pos="1277"/>
              </w:tabs>
              <w:jc w:val="left"/>
              <w:rPr>
                <w:sz w:val="16"/>
                <w:szCs w:val="16"/>
              </w:rPr>
            </w:pPr>
            <w:r w:rsidRPr="00F658A6">
              <w:rPr>
                <w:sz w:val="16"/>
                <w:szCs w:val="16"/>
              </w:rPr>
              <w:t>Boanerges Onelio Robledo Alvarado (Hermano)</w:t>
            </w:r>
          </w:p>
        </w:tc>
      </w:tr>
      <w:tr w:rsidR="007F3128" w:rsidRPr="00F658A6" w14:paraId="5B90DA9A" w14:textId="77777777" w:rsidTr="00F608A7">
        <w:tc>
          <w:tcPr>
            <w:tcW w:w="560" w:type="dxa"/>
            <w:gridSpan w:val="2"/>
            <w:vMerge/>
            <w:vAlign w:val="center"/>
          </w:tcPr>
          <w:p w14:paraId="03287015" w14:textId="77777777" w:rsidR="007F3128" w:rsidRPr="00F658A6" w:rsidRDefault="007F3128" w:rsidP="00F608A7">
            <w:pPr>
              <w:jc w:val="left"/>
              <w:rPr>
                <w:sz w:val="16"/>
                <w:szCs w:val="16"/>
              </w:rPr>
            </w:pPr>
          </w:p>
        </w:tc>
        <w:tc>
          <w:tcPr>
            <w:tcW w:w="2950" w:type="dxa"/>
            <w:vMerge/>
            <w:vAlign w:val="center"/>
          </w:tcPr>
          <w:p w14:paraId="41607DB7" w14:textId="77777777" w:rsidR="007F3128" w:rsidRPr="00F658A6" w:rsidRDefault="007F3128" w:rsidP="00F608A7">
            <w:pPr>
              <w:jc w:val="left"/>
              <w:rPr>
                <w:sz w:val="16"/>
                <w:szCs w:val="16"/>
              </w:rPr>
            </w:pPr>
          </w:p>
        </w:tc>
        <w:tc>
          <w:tcPr>
            <w:tcW w:w="567" w:type="dxa"/>
            <w:vAlign w:val="center"/>
          </w:tcPr>
          <w:p w14:paraId="2DC3B624"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482F59B2" w14:textId="77777777" w:rsidR="007F3128" w:rsidRPr="00F658A6" w:rsidRDefault="007F3128" w:rsidP="00F608A7">
            <w:pPr>
              <w:tabs>
                <w:tab w:val="left" w:pos="1277"/>
              </w:tabs>
              <w:jc w:val="left"/>
              <w:rPr>
                <w:sz w:val="16"/>
                <w:szCs w:val="16"/>
              </w:rPr>
            </w:pPr>
            <w:r w:rsidRPr="00F658A6">
              <w:rPr>
                <w:sz w:val="16"/>
                <w:szCs w:val="16"/>
              </w:rPr>
              <w:t>Edvin Otoniel Gómez Robledo Alvarado (Sobrino)</w:t>
            </w:r>
          </w:p>
        </w:tc>
      </w:tr>
      <w:tr w:rsidR="007F3128" w:rsidRPr="00F658A6" w14:paraId="118CC48E" w14:textId="77777777" w:rsidTr="00F608A7">
        <w:tc>
          <w:tcPr>
            <w:tcW w:w="560" w:type="dxa"/>
            <w:gridSpan w:val="2"/>
            <w:vMerge w:val="restart"/>
            <w:vAlign w:val="center"/>
          </w:tcPr>
          <w:p w14:paraId="5F1F3716" w14:textId="77777777" w:rsidR="007F3128" w:rsidRPr="00F658A6" w:rsidRDefault="007F3128" w:rsidP="00F608A7">
            <w:pPr>
              <w:jc w:val="left"/>
              <w:rPr>
                <w:sz w:val="16"/>
                <w:szCs w:val="16"/>
              </w:rPr>
            </w:pPr>
            <w:r w:rsidRPr="00F658A6">
              <w:rPr>
                <w:sz w:val="16"/>
                <w:szCs w:val="16"/>
              </w:rPr>
              <w:t>39</w:t>
            </w:r>
          </w:p>
        </w:tc>
        <w:tc>
          <w:tcPr>
            <w:tcW w:w="2950" w:type="dxa"/>
            <w:vMerge w:val="restart"/>
            <w:vAlign w:val="center"/>
          </w:tcPr>
          <w:p w14:paraId="4B912B78" w14:textId="7C24C818" w:rsidR="007F3128" w:rsidRPr="00F658A6" w:rsidRDefault="007F3128" w:rsidP="00F608A7">
            <w:pPr>
              <w:jc w:val="left"/>
              <w:rPr>
                <w:sz w:val="16"/>
                <w:szCs w:val="16"/>
              </w:rPr>
            </w:pPr>
            <w:r w:rsidRPr="00F658A6">
              <w:rPr>
                <w:sz w:val="16"/>
                <w:szCs w:val="16"/>
              </w:rPr>
              <w:t>Audencio Rodas Rodríguez</w:t>
            </w:r>
          </w:p>
        </w:tc>
        <w:tc>
          <w:tcPr>
            <w:tcW w:w="567" w:type="dxa"/>
            <w:vAlign w:val="center"/>
          </w:tcPr>
          <w:p w14:paraId="1B3D8AB0"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2FE5197" w14:textId="77777777" w:rsidR="007F3128" w:rsidRPr="00F658A6" w:rsidRDefault="007F3128" w:rsidP="00F608A7">
            <w:pPr>
              <w:tabs>
                <w:tab w:val="left" w:pos="1277"/>
              </w:tabs>
              <w:jc w:val="left"/>
              <w:rPr>
                <w:sz w:val="16"/>
                <w:szCs w:val="16"/>
              </w:rPr>
            </w:pPr>
            <w:r w:rsidRPr="00F658A6">
              <w:rPr>
                <w:sz w:val="16"/>
                <w:szCs w:val="16"/>
              </w:rPr>
              <w:t>Carmen Mérida Coronado (Esposa)</w:t>
            </w:r>
          </w:p>
        </w:tc>
      </w:tr>
      <w:tr w:rsidR="007F3128" w:rsidRPr="00F658A6" w14:paraId="209B798C" w14:textId="77777777" w:rsidTr="00F608A7">
        <w:tc>
          <w:tcPr>
            <w:tcW w:w="560" w:type="dxa"/>
            <w:gridSpan w:val="2"/>
            <w:vMerge/>
            <w:vAlign w:val="center"/>
          </w:tcPr>
          <w:p w14:paraId="605D45FD" w14:textId="77777777" w:rsidR="007F3128" w:rsidRPr="00F658A6" w:rsidRDefault="007F3128" w:rsidP="00F608A7">
            <w:pPr>
              <w:jc w:val="left"/>
              <w:rPr>
                <w:sz w:val="16"/>
                <w:szCs w:val="16"/>
              </w:rPr>
            </w:pPr>
          </w:p>
        </w:tc>
        <w:tc>
          <w:tcPr>
            <w:tcW w:w="2950" w:type="dxa"/>
            <w:vMerge/>
            <w:vAlign w:val="center"/>
          </w:tcPr>
          <w:p w14:paraId="7552E2E8" w14:textId="77777777" w:rsidR="007F3128" w:rsidRPr="00F658A6" w:rsidRDefault="007F3128" w:rsidP="00F608A7">
            <w:pPr>
              <w:jc w:val="left"/>
              <w:rPr>
                <w:sz w:val="16"/>
                <w:szCs w:val="16"/>
              </w:rPr>
            </w:pPr>
          </w:p>
        </w:tc>
        <w:tc>
          <w:tcPr>
            <w:tcW w:w="567" w:type="dxa"/>
            <w:vAlign w:val="center"/>
          </w:tcPr>
          <w:p w14:paraId="07D7E2FC"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02B850A" w14:textId="77777777" w:rsidR="007F3128" w:rsidRPr="00F658A6" w:rsidRDefault="007F3128" w:rsidP="00F608A7">
            <w:pPr>
              <w:tabs>
                <w:tab w:val="left" w:pos="1277"/>
              </w:tabs>
              <w:jc w:val="left"/>
              <w:rPr>
                <w:sz w:val="16"/>
                <w:szCs w:val="16"/>
              </w:rPr>
            </w:pPr>
            <w:r w:rsidRPr="00F658A6">
              <w:rPr>
                <w:sz w:val="16"/>
                <w:szCs w:val="16"/>
              </w:rPr>
              <w:t>Aníbal Leonel Rodas Mérida (Hijo)</w:t>
            </w:r>
          </w:p>
        </w:tc>
      </w:tr>
      <w:tr w:rsidR="007F3128" w:rsidRPr="00F658A6" w14:paraId="424B200D" w14:textId="77777777" w:rsidTr="00F608A7">
        <w:tc>
          <w:tcPr>
            <w:tcW w:w="560" w:type="dxa"/>
            <w:gridSpan w:val="2"/>
            <w:vMerge/>
            <w:vAlign w:val="center"/>
          </w:tcPr>
          <w:p w14:paraId="0792AA15" w14:textId="77777777" w:rsidR="007F3128" w:rsidRPr="00F658A6" w:rsidRDefault="007F3128" w:rsidP="00F608A7">
            <w:pPr>
              <w:jc w:val="left"/>
              <w:rPr>
                <w:sz w:val="16"/>
                <w:szCs w:val="16"/>
              </w:rPr>
            </w:pPr>
          </w:p>
        </w:tc>
        <w:tc>
          <w:tcPr>
            <w:tcW w:w="2950" w:type="dxa"/>
            <w:vMerge/>
            <w:vAlign w:val="center"/>
          </w:tcPr>
          <w:p w14:paraId="2093AEAA" w14:textId="77777777" w:rsidR="007F3128" w:rsidRPr="00F658A6" w:rsidRDefault="007F3128" w:rsidP="00F608A7">
            <w:pPr>
              <w:jc w:val="left"/>
              <w:rPr>
                <w:sz w:val="16"/>
                <w:szCs w:val="16"/>
              </w:rPr>
            </w:pPr>
          </w:p>
        </w:tc>
        <w:tc>
          <w:tcPr>
            <w:tcW w:w="567" w:type="dxa"/>
            <w:vAlign w:val="center"/>
          </w:tcPr>
          <w:p w14:paraId="5CA06ABA"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112B398A" w14:textId="77777777" w:rsidR="007F3128" w:rsidRPr="00F658A6" w:rsidRDefault="007F3128" w:rsidP="00F608A7">
            <w:pPr>
              <w:tabs>
                <w:tab w:val="left" w:pos="1277"/>
              </w:tabs>
              <w:jc w:val="left"/>
              <w:rPr>
                <w:b/>
                <w:sz w:val="16"/>
                <w:szCs w:val="16"/>
              </w:rPr>
            </w:pPr>
            <w:r w:rsidRPr="00F658A6">
              <w:rPr>
                <w:sz w:val="16"/>
                <w:szCs w:val="16"/>
              </w:rPr>
              <w:t>Clara Verónica Rodas Mérida (Hija)</w:t>
            </w:r>
          </w:p>
        </w:tc>
      </w:tr>
      <w:tr w:rsidR="007F3128" w:rsidRPr="00F658A6" w14:paraId="7DD761A2" w14:textId="77777777" w:rsidTr="00F608A7">
        <w:tc>
          <w:tcPr>
            <w:tcW w:w="560" w:type="dxa"/>
            <w:gridSpan w:val="2"/>
            <w:vMerge/>
            <w:vAlign w:val="center"/>
          </w:tcPr>
          <w:p w14:paraId="5719600C" w14:textId="77777777" w:rsidR="007F3128" w:rsidRPr="00F658A6" w:rsidRDefault="007F3128" w:rsidP="00F608A7">
            <w:pPr>
              <w:jc w:val="left"/>
              <w:rPr>
                <w:sz w:val="16"/>
                <w:szCs w:val="16"/>
              </w:rPr>
            </w:pPr>
          </w:p>
        </w:tc>
        <w:tc>
          <w:tcPr>
            <w:tcW w:w="2950" w:type="dxa"/>
            <w:vMerge/>
            <w:vAlign w:val="center"/>
          </w:tcPr>
          <w:p w14:paraId="03869796" w14:textId="77777777" w:rsidR="007F3128" w:rsidRPr="00F658A6" w:rsidRDefault="007F3128" w:rsidP="00F608A7">
            <w:pPr>
              <w:jc w:val="left"/>
              <w:rPr>
                <w:sz w:val="16"/>
                <w:szCs w:val="16"/>
              </w:rPr>
            </w:pPr>
          </w:p>
        </w:tc>
        <w:tc>
          <w:tcPr>
            <w:tcW w:w="567" w:type="dxa"/>
            <w:vAlign w:val="center"/>
          </w:tcPr>
          <w:p w14:paraId="5D720632"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7A64888C" w14:textId="77777777" w:rsidR="007F3128" w:rsidRPr="00F658A6" w:rsidRDefault="007F3128" w:rsidP="00F608A7">
            <w:pPr>
              <w:tabs>
                <w:tab w:val="left" w:pos="1277"/>
              </w:tabs>
              <w:jc w:val="left"/>
              <w:rPr>
                <w:sz w:val="16"/>
                <w:szCs w:val="16"/>
              </w:rPr>
            </w:pPr>
            <w:r w:rsidRPr="00F658A6">
              <w:rPr>
                <w:sz w:val="16"/>
                <w:szCs w:val="16"/>
              </w:rPr>
              <w:t>Sonia Maribel Rodas Mérida (Hija)</w:t>
            </w:r>
          </w:p>
        </w:tc>
      </w:tr>
      <w:tr w:rsidR="007F3128" w:rsidRPr="00F658A6" w14:paraId="1317C3CD" w14:textId="77777777" w:rsidTr="00F608A7">
        <w:tc>
          <w:tcPr>
            <w:tcW w:w="560" w:type="dxa"/>
            <w:gridSpan w:val="2"/>
            <w:vMerge/>
            <w:vAlign w:val="center"/>
          </w:tcPr>
          <w:p w14:paraId="4AC990F1" w14:textId="77777777" w:rsidR="007F3128" w:rsidRPr="00F658A6" w:rsidRDefault="007F3128" w:rsidP="00F608A7">
            <w:pPr>
              <w:jc w:val="left"/>
              <w:rPr>
                <w:sz w:val="16"/>
                <w:szCs w:val="16"/>
              </w:rPr>
            </w:pPr>
          </w:p>
        </w:tc>
        <w:tc>
          <w:tcPr>
            <w:tcW w:w="2950" w:type="dxa"/>
            <w:vMerge/>
            <w:vAlign w:val="center"/>
          </w:tcPr>
          <w:p w14:paraId="31CA4897" w14:textId="77777777" w:rsidR="007F3128" w:rsidRPr="00F658A6" w:rsidRDefault="007F3128" w:rsidP="00F608A7">
            <w:pPr>
              <w:jc w:val="left"/>
              <w:rPr>
                <w:sz w:val="16"/>
                <w:szCs w:val="16"/>
              </w:rPr>
            </w:pPr>
          </w:p>
        </w:tc>
        <w:tc>
          <w:tcPr>
            <w:tcW w:w="567" w:type="dxa"/>
            <w:vAlign w:val="center"/>
          </w:tcPr>
          <w:p w14:paraId="384F96EE"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605E0CA3" w14:textId="77777777" w:rsidR="007F3128" w:rsidRPr="00F658A6" w:rsidRDefault="007F3128" w:rsidP="00F608A7">
            <w:pPr>
              <w:tabs>
                <w:tab w:val="left" w:pos="1277"/>
              </w:tabs>
              <w:jc w:val="left"/>
              <w:rPr>
                <w:sz w:val="16"/>
                <w:szCs w:val="16"/>
              </w:rPr>
            </w:pPr>
            <w:r w:rsidRPr="00F658A6">
              <w:rPr>
                <w:sz w:val="16"/>
                <w:szCs w:val="16"/>
              </w:rPr>
              <w:t>Braulio Adán Rodas Mérida (Hijo)</w:t>
            </w:r>
          </w:p>
        </w:tc>
      </w:tr>
      <w:tr w:rsidR="007F3128" w:rsidRPr="00F658A6" w14:paraId="5E1346F3" w14:textId="77777777" w:rsidTr="00F608A7">
        <w:tc>
          <w:tcPr>
            <w:tcW w:w="560" w:type="dxa"/>
            <w:gridSpan w:val="2"/>
            <w:vMerge/>
            <w:vAlign w:val="center"/>
          </w:tcPr>
          <w:p w14:paraId="11BF493F" w14:textId="77777777" w:rsidR="007F3128" w:rsidRPr="00F658A6" w:rsidRDefault="007F3128" w:rsidP="00F608A7">
            <w:pPr>
              <w:jc w:val="left"/>
              <w:rPr>
                <w:sz w:val="16"/>
                <w:szCs w:val="16"/>
              </w:rPr>
            </w:pPr>
          </w:p>
        </w:tc>
        <w:tc>
          <w:tcPr>
            <w:tcW w:w="2950" w:type="dxa"/>
            <w:vMerge/>
            <w:vAlign w:val="center"/>
          </w:tcPr>
          <w:p w14:paraId="7269AB15" w14:textId="77777777" w:rsidR="007F3128" w:rsidRPr="00F658A6" w:rsidRDefault="007F3128" w:rsidP="00F608A7">
            <w:pPr>
              <w:jc w:val="left"/>
              <w:rPr>
                <w:sz w:val="16"/>
                <w:szCs w:val="16"/>
              </w:rPr>
            </w:pPr>
          </w:p>
        </w:tc>
        <w:tc>
          <w:tcPr>
            <w:tcW w:w="567" w:type="dxa"/>
            <w:vAlign w:val="center"/>
          </w:tcPr>
          <w:p w14:paraId="5AD5437B"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428AB374" w14:textId="77777777" w:rsidR="007F3128" w:rsidRPr="00F658A6" w:rsidRDefault="007F3128" w:rsidP="00F608A7">
            <w:pPr>
              <w:tabs>
                <w:tab w:val="left" w:pos="1277"/>
              </w:tabs>
              <w:jc w:val="left"/>
              <w:rPr>
                <w:sz w:val="16"/>
                <w:szCs w:val="16"/>
              </w:rPr>
            </w:pPr>
            <w:r w:rsidRPr="00F658A6">
              <w:rPr>
                <w:sz w:val="16"/>
                <w:szCs w:val="16"/>
              </w:rPr>
              <w:t>Andy Alberto Rodas Mérida (Hijo)</w:t>
            </w:r>
          </w:p>
        </w:tc>
      </w:tr>
      <w:tr w:rsidR="007F3128" w:rsidRPr="00F658A6" w14:paraId="5927256A" w14:textId="77777777" w:rsidTr="00F608A7">
        <w:tc>
          <w:tcPr>
            <w:tcW w:w="560" w:type="dxa"/>
            <w:gridSpan w:val="2"/>
            <w:vMerge/>
            <w:vAlign w:val="center"/>
          </w:tcPr>
          <w:p w14:paraId="2495C201" w14:textId="77777777" w:rsidR="007F3128" w:rsidRPr="00F658A6" w:rsidRDefault="007F3128" w:rsidP="00F608A7">
            <w:pPr>
              <w:jc w:val="left"/>
              <w:rPr>
                <w:sz w:val="16"/>
                <w:szCs w:val="16"/>
              </w:rPr>
            </w:pPr>
          </w:p>
        </w:tc>
        <w:tc>
          <w:tcPr>
            <w:tcW w:w="2950" w:type="dxa"/>
            <w:vMerge/>
            <w:vAlign w:val="center"/>
          </w:tcPr>
          <w:p w14:paraId="20405F28" w14:textId="77777777" w:rsidR="007F3128" w:rsidRPr="00F658A6" w:rsidRDefault="007F3128" w:rsidP="00F608A7">
            <w:pPr>
              <w:jc w:val="left"/>
              <w:rPr>
                <w:sz w:val="16"/>
                <w:szCs w:val="16"/>
              </w:rPr>
            </w:pPr>
          </w:p>
        </w:tc>
        <w:tc>
          <w:tcPr>
            <w:tcW w:w="567" w:type="dxa"/>
            <w:vAlign w:val="center"/>
          </w:tcPr>
          <w:p w14:paraId="608F3D3F"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722D912B" w14:textId="77777777" w:rsidR="007F3128" w:rsidRPr="00F658A6" w:rsidRDefault="007F3128" w:rsidP="00F608A7">
            <w:pPr>
              <w:tabs>
                <w:tab w:val="left" w:pos="1277"/>
              </w:tabs>
              <w:jc w:val="left"/>
              <w:rPr>
                <w:sz w:val="16"/>
                <w:szCs w:val="16"/>
              </w:rPr>
            </w:pPr>
            <w:r w:rsidRPr="00F658A6">
              <w:rPr>
                <w:sz w:val="16"/>
                <w:szCs w:val="16"/>
              </w:rPr>
              <w:t>Walter Audencio Rodas Mérida (Hijo)</w:t>
            </w:r>
          </w:p>
        </w:tc>
      </w:tr>
      <w:tr w:rsidR="007F3128" w:rsidRPr="00F658A6" w14:paraId="1168497C" w14:textId="77777777" w:rsidTr="00F608A7">
        <w:tc>
          <w:tcPr>
            <w:tcW w:w="560" w:type="dxa"/>
            <w:gridSpan w:val="2"/>
            <w:vMerge/>
            <w:vAlign w:val="center"/>
          </w:tcPr>
          <w:p w14:paraId="4DD34B05" w14:textId="77777777" w:rsidR="007F3128" w:rsidRPr="00F658A6" w:rsidRDefault="007F3128" w:rsidP="00F608A7">
            <w:pPr>
              <w:jc w:val="left"/>
              <w:rPr>
                <w:sz w:val="16"/>
                <w:szCs w:val="16"/>
              </w:rPr>
            </w:pPr>
          </w:p>
        </w:tc>
        <w:tc>
          <w:tcPr>
            <w:tcW w:w="2950" w:type="dxa"/>
            <w:vMerge/>
            <w:vAlign w:val="center"/>
          </w:tcPr>
          <w:p w14:paraId="3DF1CDCB" w14:textId="77777777" w:rsidR="007F3128" w:rsidRPr="00F658A6" w:rsidRDefault="007F3128" w:rsidP="00F608A7">
            <w:pPr>
              <w:jc w:val="left"/>
              <w:rPr>
                <w:sz w:val="16"/>
                <w:szCs w:val="16"/>
              </w:rPr>
            </w:pPr>
          </w:p>
        </w:tc>
        <w:tc>
          <w:tcPr>
            <w:tcW w:w="567" w:type="dxa"/>
            <w:vAlign w:val="center"/>
          </w:tcPr>
          <w:p w14:paraId="0070A976"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7D21B6A1" w14:textId="77777777" w:rsidR="007F3128" w:rsidRPr="00F658A6" w:rsidRDefault="007F3128" w:rsidP="00F608A7">
            <w:pPr>
              <w:tabs>
                <w:tab w:val="left" w:pos="1277"/>
              </w:tabs>
              <w:jc w:val="left"/>
              <w:rPr>
                <w:sz w:val="16"/>
                <w:szCs w:val="16"/>
              </w:rPr>
            </w:pPr>
            <w:r w:rsidRPr="00F658A6">
              <w:rPr>
                <w:sz w:val="16"/>
                <w:szCs w:val="16"/>
              </w:rPr>
              <w:t>Flor de María Rodas Mérida (Hija)</w:t>
            </w:r>
          </w:p>
        </w:tc>
      </w:tr>
      <w:tr w:rsidR="007F3128" w:rsidRPr="00F658A6" w14:paraId="45DC54DA" w14:textId="77777777" w:rsidTr="00F608A7">
        <w:tc>
          <w:tcPr>
            <w:tcW w:w="560" w:type="dxa"/>
            <w:gridSpan w:val="2"/>
            <w:vMerge/>
            <w:vAlign w:val="center"/>
          </w:tcPr>
          <w:p w14:paraId="68D7D6D0" w14:textId="77777777" w:rsidR="007F3128" w:rsidRPr="00F658A6" w:rsidRDefault="007F3128" w:rsidP="00F608A7">
            <w:pPr>
              <w:jc w:val="left"/>
              <w:rPr>
                <w:sz w:val="16"/>
                <w:szCs w:val="16"/>
              </w:rPr>
            </w:pPr>
          </w:p>
        </w:tc>
        <w:tc>
          <w:tcPr>
            <w:tcW w:w="2950" w:type="dxa"/>
            <w:vMerge/>
            <w:vAlign w:val="center"/>
          </w:tcPr>
          <w:p w14:paraId="3B58CF51" w14:textId="77777777" w:rsidR="007F3128" w:rsidRPr="00F658A6" w:rsidRDefault="007F3128" w:rsidP="00F608A7">
            <w:pPr>
              <w:jc w:val="left"/>
              <w:rPr>
                <w:sz w:val="16"/>
                <w:szCs w:val="16"/>
              </w:rPr>
            </w:pPr>
          </w:p>
        </w:tc>
        <w:tc>
          <w:tcPr>
            <w:tcW w:w="567" w:type="dxa"/>
            <w:vAlign w:val="center"/>
          </w:tcPr>
          <w:p w14:paraId="59162387"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415DC85C" w14:textId="77777777" w:rsidR="007F3128" w:rsidRPr="00F658A6" w:rsidRDefault="007F3128" w:rsidP="00F608A7">
            <w:pPr>
              <w:tabs>
                <w:tab w:val="left" w:pos="1277"/>
              </w:tabs>
              <w:jc w:val="left"/>
              <w:rPr>
                <w:sz w:val="16"/>
                <w:szCs w:val="16"/>
              </w:rPr>
            </w:pPr>
            <w:r w:rsidRPr="00F658A6">
              <w:rPr>
                <w:sz w:val="16"/>
                <w:szCs w:val="16"/>
              </w:rPr>
              <w:t>María Magdalena Rodas Mérida (Hija)</w:t>
            </w:r>
          </w:p>
        </w:tc>
      </w:tr>
      <w:tr w:rsidR="007F3128" w:rsidRPr="00F658A6" w14:paraId="2F3E4A0F" w14:textId="77777777" w:rsidTr="00F608A7">
        <w:tc>
          <w:tcPr>
            <w:tcW w:w="560" w:type="dxa"/>
            <w:gridSpan w:val="2"/>
            <w:vMerge/>
            <w:vAlign w:val="center"/>
          </w:tcPr>
          <w:p w14:paraId="30B00A76" w14:textId="77777777" w:rsidR="007F3128" w:rsidRPr="00F658A6" w:rsidRDefault="007F3128" w:rsidP="00F608A7">
            <w:pPr>
              <w:jc w:val="left"/>
              <w:rPr>
                <w:sz w:val="16"/>
                <w:szCs w:val="16"/>
              </w:rPr>
            </w:pPr>
          </w:p>
        </w:tc>
        <w:tc>
          <w:tcPr>
            <w:tcW w:w="2950" w:type="dxa"/>
            <w:vMerge/>
            <w:vAlign w:val="center"/>
          </w:tcPr>
          <w:p w14:paraId="6C8E0D7B" w14:textId="77777777" w:rsidR="007F3128" w:rsidRPr="00F658A6" w:rsidRDefault="007F3128" w:rsidP="00F608A7">
            <w:pPr>
              <w:jc w:val="left"/>
              <w:rPr>
                <w:sz w:val="16"/>
                <w:szCs w:val="16"/>
              </w:rPr>
            </w:pPr>
          </w:p>
        </w:tc>
        <w:tc>
          <w:tcPr>
            <w:tcW w:w="567" w:type="dxa"/>
            <w:vAlign w:val="center"/>
          </w:tcPr>
          <w:p w14:paraId="20A825DD"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6DC164A0" w14:textId="77777777" w:rsidR="007F3128" w:rsidRPr="00F658A6" w:rsidRDefault="007F3128" w:rsidP="00F608A7">
            <w:pPr>
              <w:tabs>
                <w:tab w:val="left" w:pos="1277"/>
              </w:tabs>
              <w:jc w:val="left"/>
              <w:rPr>
                <w:sz w:val="16"/>
                <w:szCs w:val="16"/>
              </w:rPr>
            </w:pPr>
            <w:r w:rsidRPr="00F658A6">
              <w:rPr>
                <w:sz w:val="16"/>
                <w:szCs w:val="16"/>
              </w:rPr>
              <w:t>Abni Eliezer Barrios Rodas (Nieto)</w:t>
            </w:r>
          </w:p>
        </w:tc>
      </w:tr>
      <w:tr w:rsidR="007F3128" w:rsidRPr="00F658A6" w14:paraId="4DE622F9" w14:textId="77777777" w:rsidTr="00F608A7">
        <w:tc>
          <w:tcPr>
            <w:tcW w:w="560" w:type="dxa"/>
            <w:gridSpan w:val="2"/>
            <w:vMerge/>
            <w:vAlign w:val="center"/>
          </w:tcPr>
          <w:p w14:paraId="03ABE590" w14:textId="77777777" w:rsidR="007F3128" w:rsidRPr="00F658A6" w:rsidRDefault="007F3128" w:rsidP="00F608A7">
            <w:pPr>
              <w:jc w:val="left"/>
              <w:rPr>
                <w:sz w:val="16"/>
                <w:szCs w:val="16"/>
              </w:rPr>
            </w:pPr>
          </w:p>
        </w:tc>
        <w:tc>
          <w:tcPr>
            <w:tcW w:w="2950" w:type="dxa"/>
            <w:vMerge/>
            <w:vAlign w:val="center"/>
          </w:tcPr>
          <w:p w14:paraId="74927D0E" w14:textId="77777777" w:rsidR="007F3128" w:rsidRPr="00F658A6" w:rsidRDefault="007F3128" w:rsidP="00F608A7">
            <w:pPr>
              <w:jc w:val="left"/>
              <w:rPr>
                <w:sz w:val="16"/>
                <w:szCs w:val="16"/>
              </w:rPr>
            </w:pPr>
          </w:p>
        </w:tc>
        <w:tc>
          <w:tcPr>
            <w:tcW w:w="567" w:type="dxa"/>
            <w:vAlign w:val="center"/>
          </w:tcPr>
          <w:p w14:paraId="32D487AF"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1E661952" w14:textId="77777777" w:rsidR="007F3128" w:rsidRPr="00F658A6" w:rsidRDefault="007F3128" w:rsidP="00F608A7">
            <w:pPr>
              <w:tabs>
                <w:tab w:val="left" w:pos="1277"/>
              </w:tabs>
              <w:jc w:val="left"/>
              <w:rPr>
                <w:sz w:val="16"/>
                <w:szCs w:val="16"/>
              </w:rPr>
            </w:pPr>
            <w:r w:rsidRPr="00F658A6">
              <w:rPr>
                <w:sz w:val="16"/>
                <w:szCs w:val="16"/>
              </w:rPr>
              <w:t>Cecia Verónica Barrios Rodas (Nieta)</w:t>
            </w:r>
          </w:p>
        </w:tc>
      </w:tr>
      <w:tr w:rsidR="007F3128" w:rsidRPr="00F658A6" w14:paraId="30111618" w14:textId="77777777" w:rsidTr="00F608A7">
        <w:tc>
          <w:tcPr>
            <w:tcW w:w="560" w:type="dxa"/>
            <w:gridSpan w:val="2"/>
            <w:vMerge/>
            <w:vAlign w:val="center"/>
          </w:tcPr>
          <w:p w14:paraId="10D88F8A" w14:textId="77777777" w:rsidR="007F3128" w:rsidRPr="00F658A6" w:rsidRDefault="007F3128" w:rsidP="00F608A7">
            <w:pPr>
              <w:jc w:val="left"/>
              <w:rPr>
                <w:sz w:val="16"/>
                <w:szCs w:val="16"/>
              </w:rPr>
            </w:pPr>
          </w:p>
        </w:tc>
        <w:tc>
          <w:tcPr>
            <w:tcW w:w="2950" w:type="dxa"/>
            <w:vMerge/>
            <w:vAlign w:val="center"/>
          </w:tcPr>
          <w:p w14:paraId="5F0755E1" w14:textId="77777777" w:rsidR="007F3128" w:rsidRPr="00F658A6" w:rsidRDefault="007F3128" w:rsidP="00F608A7">
            <w:pPr>
              <w:jc w:val="left"/>
              <w:rPr>
                <w:sz w:val="16"/>
                <w:szCs w:val="16"/>
              </w:rPr>
            </w:pPr>
          </w:p>
        </w:tc>
        <w:tc>
          <w:tcPr>
            <w:tcW w:w="567" w:type="dxa"/>
            <w:vAlign w:val="center"/>
          </w:tcPr>
          <w:p w14:paraId="37769425"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5B1E2F80" w14:textId="77777777" w:rsidR="007F3128" w:rsidRPr="00F658A6" w:rsidRDefault="007F3128" w:rsidP="00F608A7">
            <w:pPr>
              <w:tabs>
                <w:tab w:val="left" w:pos="1277"/>
              </w:tabs>
              <w:jc w:val="left"/>
              <w:rPr>
                <w:sz w:val="16"/>
                <w:szCs w:val="16"/>
              </w:rPr>
            </w:pPr>
            <w:r w:rsidRPr="00F658A6">
              <w:rPr>
                <w:sz w:val="16"/>
                <w:szCs w:val="16"/>
              </w:rPr>
              <w:t>Christian Obdulio Barrios Rodas (Nieto)</w:t>
            </w:r>
          </w:p>
        </w:tc>
      </w:tr>
      <w:tr w:rsidR="007F3128" w:rsidRPr="00F658A6" w14:paraId="4D71DD19" w14:textId="77777777" w:rsidTr="00F608A7">
        <w:tc>
          <w:tcPr>
            <w:tcW w:w="560" w:type="dxa"/>
            <w:gridSpan w:val="2"/>
            <w:vMerge/>
            <w:vAlign w:val="center"/>
          </w:tcPr>
          <w:p w14:paraId="1A897355" w14:textId="77777777" w:rsidR="007F3128" w:rsidRPr="00F658A6" w:rsidRDefault="007F3128" w:rsidP="00F608A7">
            <w:pPr>
              <w:jc w:val="left"/>
              <w:rPr>
                <w:sz w:val="16"/>
                <w:szCs w:val="16"/>
              </w:rPr>
            </w:pPr>
          </w:p>
        </w:tc>
        <w:tc>
          <w:tcPr>
            <w:tcW w:w="2950" w:type="dxa"/>
            <w:vMerge/>
            <w:vAlign w:val="center"/>
          </w:tcPr>
          <w:p w14:paraId="261A4AD7" w14:textId="77777777" w:rsidR="007F3128" w:rsidRPr="00F658A6" w:rsidRDefault="007F3128" w:rsidP="00F608A7">
            <w:pPr>
              <w:jc w:val="left"/>
              <w:rPr>
                <w:sz w:val="16"/>
                <w:szCs w:val="16"/>
              </w:rPr>
            </w:pPr>
          </w:p>
        </w:tc>
        <w:tc>
          <w:tcPr>
            <w:tcW w:w="567" w:type="dxa"/>
            <w:vAlign w:val="center"/>
          </w:tcPr>
          <w:p w14:paraId="59B5CE1B" w14:textId="77777777" w:rsidR="007F3128" w:rsidRPr="00F658A6" w:rsidRDefault="007F3128" w:rsidP="00F608A7">
            <w:pPr>
              <w:jc w:val="left"/>
              <w:rPr>
                <w:sz w:val="16"/>
                <w:szCs w:val="16"/>
              </w:rPr>
            </w:pPr>
            <w:r w:rsidRPr="00F658A6">
              <w:rPr>
                <w:sz w:val="16"/>
                <w:szCs w:val="16"/>
              </w:rPr>
              <w:t>13</w:t>
            </w:r>
          </w:p>
        </w:tc>
        <w:tc>
          <w:tcPr>
            <w:tcW w:w="4927" w:type="dxa"/>
            <w:vAlign w:val="center"/>
          </w:tcPr>
          <w:p w14:paraId="2EB0BDE6" w14:textId="2981E7A0" w:rsidR="007F3128" w:rsidRPr="00F658A6" w:rsidRDefault="007F3128" w:rsidP="00F608A7">
            <w:pPr>
              <w:tabs>
                <w:tab w:val="left" w:pos="1277"/>
              </w:tabs>
              <w:jc w:val="left"/>
              <w:rPr>
                <w:sz w:val="16"/>
                <w:szCs w:val="16"/>
              </w:rPr>
            </w:pPr>
            <w:r w:rsidRPr="00F658A6">
              <w:rPr>
                <w:sz w:val="16"/>
                <w:szCs w:val="16"/>
              </w:rPr>
              <w:t xml:space="preserve">Susely Berenice Rodas </w:t>
            </w:r>
            <w:r w:rsidR="0010063B" w:rsidRPr="00F658A6">
              <w:rPr>
                <w:sz w:val="16"/>
                <w:szCs w:val="16"/>
              </w:rPr>
              <w:t xml:space="preserve">Mérida </w:t>
            </w:r>
            <w:r w:rsidRPr="00F658A6">
              <w:rPr>
                <w:sz w:val="16"/>
                <w:szCs w:val="16"/>
              </w:rPr>
              <w:t>(Nieta)</w:t>
            </w:r>
          </w:p>
        </w:tc>
      </w:tr>
      <w:tr w:rsidR="007F3128" w:rsidRPr="00F658A6" w14:paraId="0538C018" w14:textId="77777777" w:rsidTr="00F608A7">
        <w:tc>
          <w:tcPr>
            <w:tcW w:w="560" w:type="dxa"/>
            <w:gridSpan w:val="2"/>
            <w:vMerge/>
            <w:vAlign w:val="center"/>
          </w:tcPr>
          <w:p w14:paraId="243BD8EF" w14:textId="77777777" w:rsidR="007F3128" w:rsidRPr="00F658A6" w:rsidRDefault="007F3128" w:rsidP="00F608A7">
            <w:pPr>
              <w:jc w:val="left"/>
              <w:rPr>
                <w:sz w:val="16"/>
                <w:szCs w:val="16"/>
              </w:rPr>
            </w:pPr>
          </w:p>
        </w:tc>
        <w:tc>
          <w:tcPr>
            <w:tcW w:w="2950" w:type="dxa"/>
            <w:vMerge/>
            <w:vAlign w:val="center"/>
          </w:tcPr>
          <w:p w14:paraId="26FDFBED" w14:textId="77777777" w:rsidR="007F3128" w:rsidRPr="00F658A6" w:rsidRDefault="007F3128" w:rsidP="00F608A7">
            <w:pPr>
              <w:jc w:val="left"/>
              <w:rPr>
                <w:sz w:val="16"/>
                <w:szCs w:val="16"/>
              </w:rPr>
            </w:pPr>
          </w:p>
        </w:tc>
        <w:tc>
          <w:tcPr>
            <w:tcW w:w="567" w:type="dxa"/>
            <w:vAlign w:val="center"/>
          </w:tcPr>
          <w:p w14:paraId="78B6884A" w14:textId="77777777" w:rsidR="007F3128" w:rsidRPr="00F658A6" w:rsidRDefault="007F3128" w:rsidP="00F608A7">
            <w:pPr>
              <w:jc w:val="left"/>
              <w:rPr>
                <w:sz w:val="16"/>
                <w:szCs w:val="16"/>
              </w:rPr>
            </w:pPr>
            <w:r w:rsidRPr="00F658A6">
              <w:rPr>
                <w:sz w:val="16"/>
                <w:szCs w:val="16"/>
              </w:rPr>
              <w:t>14</w:t>
            </w:r>
          </w:p>
        </w:tc>
        <w:tc>
          <w:tcPr>
            <w:tcW w:w="4927" w:type="dxa"/>
            <w:vAlign w:val="center"/>
          </w:tcPr>
          <w:p w14:paraId="0D976CE2" w14:textId="77777777" w:rsidR="007F3128" w:rsidRPr="00F658A6" w:rsidRDefault="007F3128" w:rsidP="00F608A7">
            <w:pPr>
              <w:tabs>
                <w:tab w:val="left" w:pos="1277"/>
              </w:tabs>
              <w:jc w:val="left"/>
              <w:rPr>
                <w:sz w:val="16"/>
                <w:szCs w:val="16"/>
              </w:rPr>
            </w:pPr>
            <w:r w:rsidRPr="00F658A6">
              <w:rPr>
                <w:sz w:val="16"/>
                <w:szCs w:val="16"/>
              </w:rPr>
              <w:t>Brandon Isaac Rodas Mus (Nieto)</w:t>
            </w:r>
          </w:p>
        </w:tc>
      </w:tr>
      <w:tr w:rsidR="007F3128" w:rsidRPr="00F658A6" w14:paraId="3EE255C1" w14:textId="77777777" w:rsidTr="00F608A7">
        <w:tc>
          <w:tcPr>
            <w:tcW w:w="560" w:type="dxa"/>
            <w:gridSpan w:val="2"/>
            <w:vMerge/>
            <w:vAlign w:val="center"/>
          </w:tcPr>
          <w:p w14:paraId="6D2E0FB7" w14:textId="77777777" w:rsidR="007F3128" w:rsidRPr="00F658A6" w:rsidRDefault="007F3128" w:rsidP="00F608A7">
            <w:pPr>
              <w:jc w:val="left"/>
              <w:rPr>
                <w:sz w:val="16"/>
                <w:szCs w:val="16"/>
              </w:rPr>
            </w:pPr>
          </w:p>
        </w:tc>
        <w:tc>
          <w:tcPr>
            <w:tcW w:w="2950" w:type="dxa"/>
            <w:vMerge/>
            <w:vAlign w:val="center"/>
          </w:tcPr>
          <w:p w14:paraId="1B1DC5C3" w14:textId="77777777" w:rsidR="007F3128" w:rsidRPr="00F658A6" w:rsidRDefault="007F3128" w:rsidP="00F608A7">
            <w:pPr>
              <w:jc w:val="left"/>
              <w:rPr>
                <w:sz w:val="16"/>
                <w:szCs w:val="16"/>
              </w:rPr>
            </w:pPr>
          </w:p>
        </w:tc>
        <w:tc>
          <w:tcPr>
            <w:tcW w:w="567" w:type="dxa"/>
            <w:vAlign w:val="center"/>
          </w:tcPr>
          <w:p w14:paraId="60387B11" w14:textId="77777777" w:rsidR="007F3128" w:rsidRPr="00F658A6" w:rsidRDefault="007F3128" w:rsidP="00F608A7">
            <w:pPr>
              <w:jc w:val="left"/>
              <w:rPr>
                <w:sz w:val="16"/>
                <w:szCs w:val="16"/>
              </w:rPr>
            </w:pPr>
            <w:r w:rsidRPr="00F658A6">
              <w:rPr>
                <w:sz w:val="16"/>
                <w:szCs w:val="16"/>
              </w:rPr>
              <w:t>15</w:t>
            </w:r>
          </w:p>
        </w:tc>
        <w:tc>
          <w:tcPr>
            <w:tcW w:w="4927" w:type="dxa"/>
            <w:vAlign w:val="center"/>
          </w:tcPr>
          <w:p w14:paraId="71D621FA" w14:textId="779FAE1A" w:rsidR="007F3128" w:rsidRPr="00F658A6" w:rsidRDefault="007F3128" w:rsidP="00F608A7">
            <w:pPr>
              <w:tabs>
                <w:tab w:val="left" w:pos="1277"/>
              </w:tabs>
              <w:jc w:val="left"/>
              <w:rPr>
                <w:sz w:val="16"/>
                <w:szCs w:val="16"/>
              </w:rPr>
            </w:pPr>
            <w:r w:rsidRPr="00F658A6">
              <w:rPr>
                <w:sz w:val="16"/>
                <w:szCs w:val="16"/>
              </w:rPr>
              <w:t>Nehemias Aude</w:t>
            </w:r>
            <w:r w:rsidR="0010063B" w:rsidRPr="00F658A6">
              <w:rPr>
                <w:sz w:val="16"/>
                <w:szCs w:val="16"/>
              </w:rPr>
              <w:t>n</w:t>
            </w:r>
            <w:r w:rsidRPr="00F658A6">
              <w:rPr>
                <w:sz w:val="16"/>
                <w:szCs w:val="16"/>
              </w:rPr>
              <w:t>cio Rodas Chilel (Nieto)</w:t>
            </w:r>
          </w:p>
        </w:tc>
      </w:tr>
      <w:tr w:rsidR="007F3128" w:rsidRPr="00F658A6" w14:paraId="098907BB" w14:textId="77777777" w:rsidTr="00F608A7">
        <w:tc>
          <w:tcPr>
            <w:tcW w:w="560" w:type="dxa"/>
            <w:gridSpan w:val="2"/>
            <w:vMerge/>
            <w:vAlign w:val="center"/>
          </w:tcPr>
          <w:p w14:paraId="0C00902D" w14:textId="77777777" w:rsidR="007F3128" w:rsidRPr="00F658A6" w:rsidRDefault="007F3128" w:rsidP="00F608A7">
            <w:pPr>
              <w:jc w:val="left"/>
              <w:rPr>
                <w:sz w:val="16"/>
                <w:szCs w:val="16"/>
              </w:rPr>
            </w:pPr>
          </w:p>
        </w:tc>
        <w:tc>
          <w:tcPr>
            <w:tcW w:w="2950" w:type="dxa"/>
            <w:vMerge/>
            <w:vAlign w:val="center"/>
          </w:tcPr>
          <w:p w14:paraId="0CA7D7A2" w14:textId="77777777" w:rsidR="007F3128" w:rsidRPr="00F658A6" w:rsidRDefault="007F3128" w:rsidP="00F608A7">
            <w:pPr>
              <w:jc w:val="left"/>
              <w:rPr>
                <w:sz w:val="16"/>
                <w:szCs w:val="16"/>
              </w:rPr>
            </w:pPr>
          </w:p>
        </w:tc>
        <w:tc>
          <w:tcPr>
            <w:tcW w:w="567" w:type="dxa"/>
            <w:vAlign w:val="center"/>
          </w:tcPr>
          <w:p w14:paraId="1E0807B1" w14:textId="77777777" w:rsidR="007F3128" w:rsidRPr="00F658A6" w:rsidRDefault="007F3128" w:rsidP="00F608A7">
            <w:pPr>
              <w:jc w:val="left"/>
              <w:rPr>
                <w:sz w:val="16"/>
                <w:szCs w:val="16"/>
              </w:rPr>
            </w:pPr>
            <w:r w:rsidRPr="00F658A6">
              <w:rPr>
                <w:sz w:val="16"/>
                <w:szCs w:val="16"/>
              </w:rPr>
              <w:t>16</w:t>
            </w:r>
          </w:p>
        </w:tc>
        <w:tc>
          <w:tcPr>
            <w:tcW w:w="4927" w:type="dxa"/>
            <w:vAlign w:val="center"/>
          </w:tcPr>
          <w:p w14:paraId="351BE0BA" w14:textId="77777777" w:rsidR="007F3128" w:rsidRPr="00F658A6" w:rsidRDefault="007F3128" w:rsidP="00F608A7">
            <w:pPr>
              <w:tabs>
                <w:tab w:val="left" w:pos="1277"/>
              </w:tabs>
              <w:jc w:val="left"/>
              <w:rPr>
                <w:sz w:val="16"/>
                <w:szCs w:val="16"/>
              </w:rPr>
            </w:pPr>
            <w:r w:rsidRPr="00F658A6">
              <w:rPr>
                <w:sz w:val="16"/>
                <w:szCs w:val="16"/>
              </w:rPr>
              <w:t>Tania Briseidy Velasco Rodas (Nieta)</w:t>
            </w:r>
          </w:p>
        </w:tc>
      </w:tr>
      <w:tr w:rsidR="007F3128" w:rsidRPr="00F658A6" w14:paraId="1009E95F" w14:textId="77777777" w:rsidTr="00F608A7">
        <w:tc>
          <w:tcPr>
            <w:tcW w:w="560" w:type="dxa"/>
            <w:gridSpan w:val="2"/>
            <w:vMerge/>
            <w:vAlign w:val="center"/>
          </w:tcPr>
          <w:p w14:paraId="68FA4156" w14:textId="77777777" w:rsidR="007F3128" w:rsidRPr="00F658A6" w:rsidRDefault="007F3128" w:rsidP="00F608A7">
            <w:pPr>
              <w:jc w:val="left"/>
              <w:rPr>
                <w:sz w:val="16"/>
                <w:szCs w:val="16"/>
              </w:rPr>
            </w:pPr>
          </w:p>
        </w:tc>
        <w:tc>
          <w:tcPr>
            <w:tcW w:w="2950" w:type="dxa"/>
            <w:vMerge/>
            <w:vAlign w:val="center"/>
          </w:tcPr>
          <w:p w14:paraId="63A9671E" w14:textId="77777777" w:rsidR="007F3128" w:rsidRPr="00F658A6" w:rsidRDefault="007F3128" w:rsidP="00F608A7">
            <w:pPr>
              <w:jc w:val="left"/>
              <w:rPr>
                <w:sz w:val="16"/>
                <w:szCs w:val="16"/>
              </w:rPr>
            </w:pPr>
          </w:p>
        </w:tc>
        <w:tc>
          <w:tcPr>
            <w:tcW w:w="567" w:type="dxa"/>
            <w:vAlign w:val="center"/>
          </w:tcPr>
          <w:p w14:paraId="74E5D2CC" w14:textId="77777777" w:rsidR="007F3128" w:rsidRPr="00F658A6" w:rsidRDefault="007F3128" w:rsidP="00F608A7">
            <w:pPr>
              <w:jc w:val="left"/>
              <w:rPr>
                <w:sz w:val="16"/>
                <w:szCs w:val="16"/>
              </w:rPr>
            </w:pPr>
            <w:r w:rsidRPr="00F658A6">
              <w:rPr>
                <w:sz w:val="16"/>
                <w:szCs w:val="16"/>
              </w:rPr>
              <w:t>17</w:t>
            </w:r>
          </w:p>
        </w:tc>
        <w:tc>
          <w:tcPr>
            <w:tcW w:w="4927" w:type="dxa"/>
            <w:vAlign w:val="center"/>
          </w:tcPr>
          <w:p w14:paraId="2FD4C157" w14:textId="43E71880" w:rsidR="007F3128" w:rsidRPr="00F658A6" w:rsidRDefault="007F3128" w:rsidP="00F608A7">
            <w:pPr>
              <w:tabs>
                <w:tab w:val="left" w:pos="1277"/>
              </w:tabs>
              <w:jc w:val="left"/>
              <w:rPr>
                <w:sz w:val="16"/>
                <w:szCs w:val="16"/>
              </w:rPr>
            </w:pPr>
            <w:r w:rsidRPr="00F658A6">
              <w:rPr>
                <w:sz w:val="16"/>
                <w:szCs w:val="16"/>
              </w:rPr>
              <w:t>Esdras Avisai Rodas Chile</w:t>
            </w:r>
            <w:r w:rsidR="0010063B" w:rsidRPr="00F658A6">
              <w:rPr>
                <w:sz w:val="16"/>
                <w:szCs w:val="16"/>
              </w:rPr>
              <w:t>l</w:t>
            </w:r>
            <w:r w:rsidRPr="00F658A6">
              <w:rPr>
                <w:sz w:val="16"/>
                <w:szCs w:val="16"/>
              </w:rPr>
              <w:t xml:space="preserve"> (Nieto)</w:t>
            </w:r>
          </w:p>
        </w:tc>
      </w:tr>
      <w:tr w:rsidR="007F3128" w:rsidRPr="00F658A6" w14:paraId="3365975C" w14:textId="77777777" w:rsidTr="00F608A7">
        <w:tc>
          <w:tcPr>
            <w:tcW w:w="560" w:type="dxa"/>
            <w:gridSpan w:val="2"/>
            <w:vMerge w:val="restart"/>
            <w:vAlign w:val="center"/>
          </w:tcPr>
          <w:p w14:paraId="674A8EEB" w14:textId="77777777" w:rsidR="007F3128" w:rsidRPr="00F658A6" w:rsidRDefault="007F3128" w:rsidP="00F608A7">
            <w:pPr>
              <w:jc w:val="left"/>
              <w:rPr>
                <w:sz w:val="16"/>
                <w:szCs w:val="16"/>
              </w:rPr>
            </w:pPr>
            <w:r w:rsidRPr="00F658A6">
              <w:rPr>
                <w:sz w:val="16"/>
                <w:szCs w:val="16"/>
              </w:rPr>
              <w:t>40</w:t>
            </w:r>
          </w:p>
        </w:tc>
        <w:tc>
          <w:tcPr>
            <w:tcW w:w="2950" w:type="dxa"/>
            <w:vMerge w:val="restart"/>
            <w:vAlign w:val="center"/>
          </w:tcPr>
          <w:p w14:paraId="3259AA0F" w14:textId="2A1D4951" w:rsidR="007F3128" w:rsidRPr="00F658A6" w:rsidRDefault="007F3128" w:rsidP="00F608A7">
            <w:pPr>
              <w:jc w:val="left"/>
              <w:rPr>
                <w:sz w:val="16"/>
                <w:szCs w:val="16"/>
              </w:rPr>
            </w:pPr>
            <w:r w:rsidRPr="00F658A6">
              <w:rPr>
                <w:sz w:val="16"/>
                <w:szCs w:val="16"/>
              </w:rPr>
              <w:t>Zoila Marina Pérez Ru</w:t>
            </w:r>
            <w:r w:rsidR="005C4134" w:rsidRPr="00F658A6">
              <w:rPr>
                <w:sz w:val="16"/>
                <w:szCs w:val="16"/>
              </w:rPr>
              <w:t>í</w:t>
            </w:r>
            <w:r w:rsidRPr="00F658A6">
              <w:rPr>
                <w:sz w:val="16"/>
                <w:szCs w:val="16"/>
              </w:rPr>
              <w:t>z</w:t>
            </w:r>
          </w:p>
        </w:tc>
        <w:tc>
          <w:tcPr>
            <w:tcW w:w="567" w:type="dxa"/>
            <w:vAlign w:val="center"/>
          </w:tcPr>
          <w:p w14:paraId="34DDCF60"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3C696C1E" w14:textId="1FB679F1" w:rsidR="007F3128" w:rsidRPr="00F658A6" w:rsidRDefault="007F3128" w:rsidP="00F608A7">
            <w:pPr>
              <w:tabs>
                <w:tab w:val="left" w:pos="1277"/>
              </w:tabs>
              <w:jc w:val="left"/>
              <w:rPr>
                <w:sz w:val="16"/>
                <w:szCs w:val="16"/>
              </w:rPr>
            </w:pPr>
            <w:r w:rsidRPr="00F658A6">
              <w:rPr>
                <w:sz w:val="16"/>
                <w:szCs w:val="16"/>
              </w:rPr>
              <w:t>Santiago Fr</w:t>
            </w:r>
            <w:r w:rsidR="002176F2" w:rsidRPr="00F658A6">
              <w:rPr>
                <w:sz w:val="16"/>
                <w:szCs w:val="16"/>
              </w:rPr>
              <w:t>a</w:t>
            </w:r>
            <w:r w:rsidRPr="00F658A6">
              <w:rPr>
                <w:sz w:val="16"/>
                <w:szCs w:val="16"/>
              </w:rPr>
              <w:t>ncisco Vald</w:t>
            </w:r>
            <w:r w:rsidR="004402B0" w:rsidRPr="00F658A6">
              <w:rPr>
                <w:sz w:val="16"/>
                <w:szCs w:val="16"/>
              </w:rPr>
              <w:t>é</w:t>
            </w:r>
            <w:r w:rsidRPr="00F658A6">
              <w:rPr>
                <w:sz w:val="16"/>
                <w:szCs w:val="16"/>
              </w:rPr>
              <w:t>z Aguilar (Esposo)</w:t>
            </w:r>
          </w:p>
        </w:tc>
      </w:tr>
      <w:tr w:rsidR="007F3128" w:rsidRPr="00F658A6" w14:paraId="07157994" w14:textId="77777777" w:rsidTr="00F608A7">
        <w:tc>
          <w:tcPr>
            <w:tcW w:w="560" w:type="dxa"/>
            <w:gridSpan w:val="2"/>
            <w:vMerge/>
            <w:vAlign w:val="center"/>
          </w:tcPr>
          <w:p w14:paraId="5B6C83CE" w14:textId="77777777" w:rsidR="007F3128" w:rsidRPr="00F658A6" w:rsidRDefault="007F3128" w:rsidP="00F608A7">
            <w:pPr>
              <w:jc w:val="left"/>
              <w:rPr>
                <w:sz w:val="16"/>
                <w:szCs w:val="16"/>
              </w:rPr>
            </w:pPr>
          </w:p>
        </w:tc>
        <w:tc>
          <w:tcPr>
            <w:tcW w:w="2950" w:type="dxa"/>
            <w:vMerge/>
            <w:vAlign w:val="center"/>
          </w:tcPr>
          <w:p w14:paraId="6D095870" w14:textId="77777777" w:rsidR="007F3128" w:rsidRPr="00F658A6" w:rsidRDefault="007F3128" w:rsidP="00F608A7">
            <w:pPr>
              <w:jc w:val="left"/>
              <w:rPr>
                <w:sz w:val="16"/>
                <w:szCs w:val="16"/>
              </w:rPr>
            </w:pPr>
          </w:p>
        </w:tc>
        <w:tc>
          <w:tcPr>
            <w:tcW w:w="567" w:type="dxa"/>
            <w:vAlign w:val="center"/>
          </w:tcPr>
          <w:p w14:paraId="1A92C264"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B3839FE" w14:textId="1EE514B2" w:rsidR="007F3128" w:rsidRPr="00F658A6" w:rsidRDefault="007F3128" w:rsidP="00F608A7">
            <w:pPr>
              <w:tabs>
                <w:tab w:val="left" w:pos="1277"/>
              </w:tabs>
              <w:jc w:val="left"/>
              <w:rPr>
                <w:sz w:val="16"/>
                <w:szCs w:val="16"/>
              </w:rPr>
            </w:pPr>
            <w:r w:rsidRPr="00F658A6">
              <w:rPr>
                <w:sz w:val="16"/>
                <w:szCs w:val="16"/>
              </w:rPr>
              <w:t>Jhony Francisco Vald</w:t>
            </w:r>
            <w:r w:rsidR="004402B0" w:rsidRPr="00F658A6">
              <w:rPr>
                <w:sz w:val="16"/>
                <w:szCs w:val="16"/>
              </w:rPr>
              <w:t>é</w:t>
            </w:r>
            <w:r w:rsidRPr="00F658A6">
              <w:rPr>
                <w:sz w:val="16"/>
                <w:szCs w:val="16"/>
              </w:rPr>
              <w:t>z Pérez (Hijo)</w:t>
            </w:r>
          </w:p>
        </w:tc>
      </w:tr>
      <w:tr w:rsidR="007F3128" w:rsidRPr="00F658A6" w14:paraId="1FCE9EBA" w14:textId="77777777" w:rsidTr="00F608A7">
        <w:tc>
          <w:tcPr>
            <w:tcW w:w="560" w:type="dxa"/>
            <w:gridSpan w:val="2"/>
            <w:vMerge/>
            <w:vAlign w:val="center"/>
          </w:tcPr>
          <w:p w14:paraId="5DE5CDFF" w14:textId="77777777" w:rsidR="007F3128" w:rsidRPr="00F658A6" w:rsidRDefault="007F3128" w:rsidP="00F608A7">
            <w:pPr>
              <w:jc w:val="left"/>
              <w:rPr>
                <w:sz w:val="16"/>
                <w:szCs w:val="16"/>
              </w:rPr>
            </w:pPr>
          </w:p>
        </w:tc>
        <w:tc>
          <w:tcPr>
            <w:tcW w:w="2950" w:type="dxa"/>
            <w:vMerge/>
            <w:vAlign w:val="center"/>
          </w:tcPr>
          <w:p w14:paraId="541CA86C" w14:textId="77777777" w:rsidR="007F3128" w:rsidRPr="00F658A6" w:rsidRDefault="007F3128" w:rsidP="00F608A7">
            <w:pPr>
              <w:jc w:val="left"/>
              <w:rPr>
                <w:sz w:val="16"/>
                <w:szCs w:val="16"/>
              </w:rPr>
            </w:pPr>
          </w:p>
        </w:tc>
        <w:tc>
          <w:tcPr>
            <w:tcW w:w="567" w:type="dxa"/>
            <w:vAlign w:val="center"/>
          </w:tcPr>
          <w:p w14:paraId="6A760994"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4D5A6482" w14:textId="2F135A6A" w:rsidR="007F3128" w:rsidRPr="00F658A6" w:rsidRDefault="007F3128" w:rsidP="00F608A7">
            <w:pPr>
              <w:tabs>
                <w:tab w:val="left" w:pos="1277"/>
              </w:tabs>
              <w:jc w:val="left"/>
              <w:rPr>
                <w:sz w:val="16"/>
                <w:szCs w:val="16"/>
              </w:rPr>
            </w:pPr>
            <w:r w:rsidRPr="00F658A6">
              <w:rPr>
                <w:sz w:val="16"/>
                <w:szCs w:val="16"/>
              </w:rPr>
              <w:t>Boni Kennedy Vald</w:t>
            </w:r>
            <w:r w:rsidR="004402B0" w:rsidRPr="00F658A6">
              <w:rPr>
                <w:sz w:val="16"/>
                <w:szCs w:val="16"/>
              </w:rPr>
              <w:t>é</w:t>
            </w:r>
            <w:r w:rsidRPr="00F658A6">
              <w:rPr>
                <w:sz w:val="16"/>
                <w:szCs w:val="16"/>
              </w:rPr>
              <w:t>z Pérez (Hija)</w:t>
            </w:r>
          </w:p>
        </w:tc>
      </w:tr>
      <w:tr w:rsidR="007F3128" w:rsidRPr="00F658A6" w14:paraId="4744E4A7" w14:textId="77777777" w:rsidTr="00F608A7">
        <w:tc>
          <w:tcPr>
            <w:tcW w:w="560" w:type="dxa"/>
            <w:gridSpan w:val="2"/>
            <w:vMerge/>
            <w:vAlign w:val="center"/>
          </w:tcPr>
          <w:p w14:paraId="54AC14B2" w14:textId="77777777" w:rsidR="007F3128" w:rsidRPr="00F658A6" w:rsidRDefault="007F3128" w:rsidP="00F608A7">
            <w:pPr>
              <w:jc w:val="left"/>
              <w:rPr>
                <w:sz w:val="16"/>
                <w:szCs w:val="16"/>
              </w:rPr>
            </w:pPr>
          </w:p>
        </w:tc>
        <w:tc>
          <w:tcPr>
            <w:tcW w:w="2950" w:type="dxa"/>
            <w:vMerge/>
            <w:vAlign w:val="center"/>
          </w:tcPr>
          <w:p w14:paraId="68A2C34F" w14:textId="77777777" w:rsidR="007F3128" w:rsidRPr="00F658A6" w:rsidRDefault="007F3128" w:rsidP="00F608A7">
            <w:pPr>
              <w:jc w:val="left"/>
              <w:rPr>
                <w:sz w:val="16"/>
                <w:szCs w:val="16"/>
              </w:rPr>
            </w:pPr>
          </w:p>
        </w:tc>
        <w:tc>
          <w:tcPr>
            <w:tcW w:w="567" w:type="dxa"/>
            <w:vAlign w:val="center"/>
          </w:tcPr>
          <w:p w14:paraId="472B94F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DFE13A7" w14:textId="149DED06" w:rsidR="007F3128" w:rsidRPr="00F658A6" w:rsidRDefault="0095469D" w:rsidP="00F608A7">
            <w:pPr>
              <w:tabs>
                <w:tab w:val="left" w:pos="1277"/>
              </w:tabs>
              <w:jc w:val="left"/>
              <w:rPr>
                <w:sz w:val="16"/>
                <w:szCs w:val="16"/>
              </w:rPr>
            </w:pPr>
            <w:r w:rsidRPr="00F658A6">
              <w:rPr>
                <w:sz w:val="16"/>
                <w:szCs w:val="16"/>
              </w:rPr>
              <w:t>Nancy Beatríz Valdé</w:t>
            </w:r>
            <w:r w:rsidR="007F3128" w:rsidRPr="00F658A6">
              <w:rPr>
                <w:sz w:val="16"/>
                <w:szCs w:val="16"/>
              </w:rPr>
              <w:t>z Pérez (Hija)</w:t>
            </w:r>
          </w:p>
        </w:tc>
      </w:tr>
      <w:tr w:rsidR="007F3128" w:rsidRPr="00F658A6" w14:paraId="7A4BCAF6" w14:textId="77777777" w:rsidTr="00F608A7">
        <w:tc>
          <w:tcPr>
            <w:tcW w:w="560" w:type="dxa"/>
            <w:gridSpan w:val="2"/>
            <w:vMerge/>
            <w:vAlign w:val="center"/>
          </w:tcPr>
          <w:p w14:paraId="3904C597" w14:textId="77777777" w:rsidR="007F3128" w:rsidRPr="00F658A6" w:rsidRDefault="007F3128" w:rsidP="00F608A7">
            <w:pPr>
              <w:jc w:val="left"/>
              <w:rPr>
                <w:sz w:val="16"/>
                <w:szCs w:val="16"/>
              </w:rPr>
            </w:pPr>
          </w:p>
        </w:tc>
        <w:tc>
          <w:tcPr>
            <w:tcW w:w="2950" w:type="dxa"/>
            <w:vMerge/>
            <w:vAlign w:val="center"/>
          </w:tcPr>
          <w:p w14:paraId="071D136A" w14:textId="77777777" w:rsidR="007F3128" w:rsidRPr="00F658A6" w:rsidRDefault="007F3128" w:rsidP="00F608A7">
            <w:pPr>
              <w:jc w:val="left"/>
              <w:rPr>
                <w:sz w:val="16"/>
                <w:szCs w:val="16"/>
              </w:rPr>
            </w:pPr>
          </w:p>
        </w:tc>
        <w:tc>
          <w:tcPr>
            <w:tcW w:w="567" w:type="dxa"/>
            <w:vAlign w:val="center"/>
          </w:tcPr>
          <w:p w14:paraId="017E9005"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6F67C05E" w14:textId="5A74CE11" w:rsidR="007F3128" w:rsidRPr="00F658A6" w:rsidRDefault="007F3128" w:rsidP="00F608A7">
            <w:pPr>
              <w:tabs>
                <w:tab w:val="left" w:pos="1277"/>
              </w:tabs>
              <w:jc w:val="left"/>
              <w:rPr>
                <w:sz w:val="16"/>
                <w:szCs w:val="16"/>
              </w:rPr>
            </w:pPr>
            <w:r w:rsidRPr="00F658A6">
              <w:rPr>
                <w:sz w:val="16"/>
                <w:szCs w:val="16"/>
              </w:rPr>
              <w:t>Glendi Betsaida Vald</w:t>
            </w:r>
            <w:r w:rsidR="004402B0" w:rsidRPr="00F658A6">
              <w:rPr>
                <w:sz w:val="16"/>
                <w:szCs w:val="16"/>
              </w:rPr>
              <w:t>é</w:t>
            </w:r>
            <w:r w:rsidRPr="00F658A6">
              <w:rPr>
                <w:sz w:val="16"/>
                <w:szCs w:val="16"/>
              </w:rPr>
              <w:t>z Pérez (Hija)</w:t>
            </w:r>
          </w:p>
        </w:tc>
      </w:tr>
      <w:tr w:rsidR="007F3128" w:rsidRPr="00F658A6" w14:paraId="4EDCCC34" w14:textId="77777777" w:rsidTr="00F608A7">
        <w:tc>
          <w:tcPr>
            <w:tcW w:w="560" w:type="dxa"/>
            <w:gridSpan w:val="2"/>
            <w:vMerge/>
            <w:vAlign w:val="center"/>
          </w:tcPr>
          <w:p w14:paraId="48B62B7D" w14:textId="77777777" w:rsidR="007F3128" w:rsidRPr="00F658A6" w:rsidRDefault="007F3128" w:rsidP="00F608A7">
            <w:pPr>
              <w:jc w:val="left"/>
              <w:rPr>
                <w:sz w:val="16"/>
                <w:szCs w:val="16"/>
              </w:rPr>
            </w:pPr>
          </w:p>
        </w:tc>
        <w:tc>
          <w:tcPr>
            <w:tcW w:w="2950" w:type="dxa"/>
            <w:vMerge/>
            <w:vAlign w:val="center"/>
          </w:tcPr>
          <w:p w14:paraId="0FAF3873" w14:textId="77777777" w:rsidR="007F3128" w:rsidRPr="00F658A6" w:rsidRDefault="007F3128" w:rsidP="00F608A7">
            <w:pPr>
              <w:jc w:val="left"/>
              <w:rPr>
                <w:sz w:val="16"/>
                <w:szCs w:val="16"/>
              </w:rPr>
            </w:pPr>
          </w:p>
        </w:tc>
        <w:tc>
          <w:tcPr>
            <w:tcW w:w="567" w:type="dxa"/>
            <w:vAlign w:val="center"/>
          </w:tcPr>
          <w:p w14:paraId="501545AE"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5B1EFD00" w14:textId="0C6D4F49" w:rsidR="007F3128" w:rsidRPr="00F658A6" w:rsidRDefault="007F3128" w:rsidP="00F608A7">
            <w:pPr>
              <w:tabs>
                <w:tab w:val="left" w:pos="1277"/>
              </w:tabs>
              <w:jc w:val="left"/>
              <w:rPr>
                <w:sz w:val="16"/>
                <w:szCs w:val="16"/>
              </w:rPr>
            </w:pPr>
            <w:r w:rsidRPr="00F658A6">
              <w:rPr>
                <w:sz w:val="16"/>
                <w:szCs w:val="16"/>
              </w:rPr>
              <w:t>Mildred Odalis Vald</w:t>
            </w:r>
            <w:r w:rsidR="004402B0" w:rsidRPr="00F658A6">
              <w:rPr>
                <w:sz w:val="16"/>
                <w:szCs w:val="16"/>
              </w:rPr>
              <w:t>é</w:t>
            </w:r>
            <w:r w:rsidRPr="00F658A6">
              <w:rPr>
                <w:sz w:val="16"/>
                <w:szCs w:val="16"/>
              </w:rPr>
              <w:t>z Pérez (Hija)</w:t>
            </w:r>
          </w:p>
        </w:tc>
      </w:tr>
      <w:tr w:rsidR="007F3128" w:rsidRPr="00F658A6" w14:paraId="5DE2E55A" w14:textId="77777777" w:rsidTr="00F608A7">
        <w:tc>
          <w:tcPr>
            <w:tcW w:w="560" w:type="dxa"/>
            <w:gridSpan w:val="2"/>
            <w:vMerge/>
            <w:vAlign w:val="center"/>
          </w:tcPr>
          <w:p w14:paraId="0792D39E" w14:textId="77777777" w:rsidR="007F3128" w:rsidRPr="00F658A6" w:rsidRDefault="007F3128" w:rsidP="00F608A7">
            <w:pPr>
              <w:jc w:val="left"/>
              <w:rPr>
                <w:sz w:val="16"/>
                <w:szCs w:val="16"/>
              </w:rPr>
            </w:pPr>
          </w:p>
        </w:tc>
        <w:tc>
          <w:tcPr>
            <w:tcW w:w="2950" w:type="dxa"/>
            <w:vMerge/>
            <w:vAlign w:val="center"/>
          </w:tcPr>
          <w:p w14:paraId="26CCF704" w14:textId="77777777" w:rsidR="007F3128" w:rsidRPr="00F658A6" w:rsidRDefault="007F3128" w:rsidP="00F608A7">
            <w:pPr>
              <w:jc w:val="left"/>
              <w:rPr>
                <w:sz w:val="16"/>
                <w:szCs w:val="16"/>
              </w:rPr>
            </w:pPr>
          </w:p>
        </w:tc>
        <w:tc>
          <w:tcPr>
            <w:tcW w:w="567" w:type="dxa"/>
            <w:vAlign w:val="center"/>
          </w:tcPr>
          <w:p w14:paraId="202D2B26"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7FDD0A59" w14:textId="44ED4208" w:rsidR="007F3128" w:rsidRPr="00F658A6" w:rsidRDefault="007F3128" w:rsidP="00F608A7">
            <w:pPr>
              <w:tabs>
                <w:tab w:val="left" w:pos="1277"/>
              </w:tabs>
              <w:jc w:val="left"/>
              <w:rPr>
                <w:sz w:val="16"/>
                <w:szCs w:val="16"/>
              </w:rPr>
            </w:pPr>
            <w:r w:rsidRPr="00F658A6">
              <w:rPr>
                <w:sz w:val="16"/>
                <w:szCs w:val="16"/>
              </w:rPr>
              <w:t>Zolia Argentina Vald</w:t>
            </w:r>
            <w:r w:rsidR="004402B0" w:rsidRPr="00F658A6">
              <w:rPr>
                <w:sz w:val="16"/>
                <w:szCs w:val="16"/>
              </w:rPr>
              <w:t>é</w:t>
            </w:r>
            <w:r w:rsidRPr="00F658A6">
              <w:rPr>
                <w:sz w:val="16"/>
                <w:szCs w:val="16"/>
              </w:rPr>
              <w:t>z Pérez (Hija)</w:t>
            </w:r>
          </w:p>
        </w:tc>
      </w:tr>
      <w:tr w:rsidR="007F3128" w:rsidRPr="00F658A6" w14:paraId="4D7F7707" w14:textId="77777777" w:rsidTr="00F608A7">
        <w:tc>
          <w:tcPr>
            <w:tcW w:w="560" w:type="dxa"/>
            <w:gridSpan w:val="2"/>
            <w:vMerge/>
            <w:vAlign w:val="center"/>
          </w:tcPr>
          <w:p w14:paraId="6485929F" w14:textId="77777777" w:rsidR="007F3128" w:rsidRPr="00F658A6" w:rsidRDefault="007F3128" w:rsidP="00F608A7">
            <w:pPr>
              <w:jc w:val="left"/>
              <w:rPr>
                <w:sz w:val="16"/>
                <w:szCs w:val="16"/>
              </w:rPr>
            </w:pPr>
          </w:p>
        </w:tc>
        <w:tc>
          <w:tcPr>
            <w:tcW w:w="2950" w:type="dxa"/>
            <w:vMerge/>
            <w:vAlign w:val="center"/>
          </w:tcPr>
          <w:p w14:paraId="7356D14C" w14:textId="77777777" w:rsidR="007F3128" w:rsidRPr="00F658A6" w:rsidRDefault="007F3128" w:rsidP="00F608A7">
            <w:pPr>
              <w:jc w:val="left"/>
              <w:rPr>
                <w:sz w:val="16"/>
                <w:szCs w:val="16"/>
              </w:rPr>
            </w:pPr>
          </w:p>
        </w:tc>
        <w:tc>
          <w:tcPr>
            <w:tcW w:w="567" w:type="dxa"/>
            <w:vAlign w:val="center"/>
          </w:tcPr>
          <w:p w14:paraId="64A85442"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28B5475D" w14:textId="2B7690D8" w:rsidR="007F3128" w:rsidRPr="00F658A6" w:rsidRDefault="007F3128" w:rsidP="00F608A7">
            <w:pPr>
              <w:tabs>
                <w:tab w:val="left" w:pos="1277"/>
              </w:tabs>
              <w:jc w:val="left"/>
              <w:rPr>
                <w:sz w:val="16"/>
                <w:szCs w:val="16"/>
              </w:rPr>
            </w:pPr>
            <w:r w:rsidRPr="00F658A6">
              <w:rPr>
                <w:sz w:val="16"/>
                <w:szCs w:val="16"/>
              </w:rPr>
              <w:t>Nelson Gudiel Vald</w:t>
            </w:r>
            <w:r w:rsidR="004402B0" w:rsidRPr="00F658A6">
              <w:rPr>
                <w:sz w:val="16"/>
                <w:szCs w:val="16"/>
              </w:rPr>
              <w:t>é</w:t>
            </w:r>
            <w:r w:rsidRPr="00F658A6">
              <w:rPr>
                <w:sz w:val="16"/>
                <w:szCs w:val="16"/>
              </w:rPr>
              <w:t>z Pérez (Hijo)</w:t>
            </w:r>
          </w:p>
        </w:tc>
      </w:tr>
      <w:tr w:rsidR="007F3128" w:rsidRPr="00F658A6" w14:paraId="3C94D116" w14:textId="77777777" w:rsidTr="00F608A7">
        <w:tc>
          <w:tcPr>
            <w:tcW w:w="560" w:type="dxa"/>
            <w:gridSpan w:val="2"/>
            <w:vMerge/>
            <w:vAlign w:val="center"/>
          </w:tcPr>
          <w:p w14:paraId="2E0622E2" w14:textId="77777777" w:rsidR="007F3128" w:rsidRPr="00F658A6" w:rsidRDefault="007F3128" w:rsidP="00F608A7">
            <w:pPr>
              <w:jc w:val="left"/>
              <w:rPr>
                <w:sz w:val="16"/>
                <w:szCs w:val="16"/>
              </w:rPr>
            </w:pPr>
          </w:p>
        </w:tc>
        <w:tc>
          <w:tcPr>
            <w:tcW w:w="2950" w:type="dxa"/>
            <w:vMerge/>
            <w:vAlign w:val="center"/>
          </w:tcPr>
          <w:p w14:paraId="3C74FBB0" w14:textId="77777777" w:rsidR="007F3128" w:rsidRPr="00F658A6" w:rsidRDefault="007F3128" w:rsidP="00F608A7">
            <w:pPr>
              <w:jc w:val="left"/>
              <w:rPr>
                <w:sz w:val="16"/>
                <w:szCs w:val="16"/>
              </w:rPr>
            </w:pPr>
          </w:p>
        </w:tc>
        <w:tc>
          <w:tcPr>
            <w:tcW w:w="567" w:type="dxa"/>
            <w:vAlign w:val="center"/>
          </w:tcPr>
          <w:p w14:paraId="6EE862A1"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641CB691" w14:textId="77777777" w:rsidR="007F3128" w:rsidRPr="00F658A6" w:rsidRDefault="007F3128" w:rsidP="00F608A7">
            <w:pPr>
              <w:tabs>
                <w:tab w:val="left" w:pos="1277"/>
              </w:tabs>
              <w:jc w:val="left"/>
              <w:rPr>
                <w:sz w:val="16"/>
                <w:szCs w:val="16"/>
              </w:rPr>
            </w:pPr>
            <w:r w:rsidRPr="00F658A6">
              <w:rPr>
                <w:sz w:val="16"/>
                <w:szCs w:val="16"/>
              </w:rPr>
              <w:t>Rosario Ruiz (Madre)</w:t>
            </w:r>
          </w:p>
        </w:tc>
      </w:tr>
      <w:tr w:rsidR="007F3128" w:rsidRPr="00F658A6" w14:paraId="62D0CB09" w14:textId="77777777" w:rsidTr="00F608A7">
        <w:tc>
          <w:tcPr>
            <w:tcW w:w="560" w:type="dxa"/>
            <w:gridSpan w:val="2"/>
            <w:vMerge/>
            <w:vAlign w:val="center"/>
          </w:tcPr>
          <w:p w14:paraId="34260EDC" w14:textId="77777777" w:rsidR="007F3128" w:rsidRPr="00F658A6" w:rsidRDefault="007F3128" w:rsidP="00F608A7">
            <w:pPr>
              <w:jc w:val="left"/>
              <w:rPr>
                <w:sz w:val="16"/>
                <w:szCs w:val="16"/>
              </w:rPr>
            </w:pPr>
          </w:p>
        </w:tc>
        <w:tc>
          <w:tcPr>
            <w:tcW w:w="2950" w:type="dxa"/>
            <w:vMerge/>
            <w:vAlign w:val="center"/>
          </w:tcPr>
          <w:p w14:paraId="3314EDE8" w14:textId="77777777" w:rsidR="007F3128" w:rsidRPr="00F658A6" w:rsidRDefault="007F3128" w:rsidP="00F608A7">
            <w:pPr>
              <w:jc w:val="left"/>
              <w:rPr>
                <w:sz w:val="16"/>
                <w:szCs w:val="16"/>
              </w:rPr>
            </w:pPr>
          </w:p>
        </w:tc>
        <w:tc>
          <w:tcPr>
            <w:tcW w:w="567" w:type="dxa"/>
            <w:vAlign w:val="center"/>
          </w:tcPr>
          <w:p w14:paraId="44F7AAE8"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6C646703" w14:textId="77777777" w:rsidR="007F3128" w:rsidRPr="00F658A6" w:rsidRDefault="007F3128" w:rsidP="00F608A7">
            <w:pPr>
              <w:tabs>
                <w:tab w:val="left" w:pos="1277"/>
              </w:tabs>
              <w:jc w:val="left"/>
              <w:rPr>
                <w:sz w:val="16"/>
                <w:szCs w:val="16"/>
              </w:rPr>
            </w:pPr>
            <w:r w:rsidRPr="00F658A6">
              <w:rPr>
                <w:sz w:val="16"/>
                <w:szCs w:val="16"/>
              </w:rPr>
              <w:t>Edgar Gilberto Pérez Ruiz (Hermano)</w:t>
            </w:r>
          </w:p>
        </w:tc>
      </w:tr>
      <w:tr w:rsidR="007F3128" w:rsidRPr="00F658A6" w14:paraId="2F49A97C" w14:textId="77777777" w:rsidTr="00F608A7">
        <w:tc>
          <w:tcPr>
            <w:tcW w:w="560" w:type="dxa"/>
            <w:gridSpan w:val="2"/>
            <w:vMerge w:val="restart"/>
            <w:vAlign w:val="center"/>
          </w:tcPr>
          <w:p w14:paraId="7F09F627" w14:textId="77777777" w:rsidR="007F3128" w:rsidRPr="00F658A6" w:rsidRDefault="007F3128" w:rsidP="00F608A7">
            <w:pPr>
              <w:jc w:val="left"/>
              <w:rPr>
                <w:sz w:val="16"/>
                <w:szCs w:val="16"/>
              </w:rPr>
            </w:pPr>
            <w:r w:rsidRPr="00F658A6">
              <w:rPr>
                <w:sz w:val="16"/>
                <w:szCs w:val="16"/>
              </w:rPr>
              <w:t>41</w:t>
            </w:r>
          </w:p>
        </w:tc>
        <w:tc>
          <w:tcPr>
            <w:tcW w:w="2950" w:type="dxa"/>
            <w:vMerge w:val="restart"/>
            <w:vAlign w:val="center"/>
          </w:tcPr>
          <w:p w14:paraId="3C3526DC" w14:textId="409260FF" w:rsidR="007F3128" w:rsidRPr="00F658A6" w:rsidRDefault="007F3128" w:rsidP="00F608A7">
            <w:pPr>
              <w:jc w:val="left"/>
              <w:rPr>
                <w:sz w:val="16"/>
                <w:szCs w:val="16"/>
              </w:rPr>
            </w:pPr>
            <w:r w:rsidRPr="00F658A6">
              <w:rPr>
                <w:sz w:val="16"/>
                <w:szCs w:val="16"/>
              </w:rPr>
              <w:t>Santiago Francisco Valdéz Aguilar</w:t>
            </w:r>
          </w:p>
        </w:tc>
        <w:tc>
          <w:tcPr>
            <w:tcW w:w="567" w:type="dxa"/>
            <w:vAlign w:val="center"/>
          </w:tcPr>
          <w:p w14:paraId="5E20A6F4"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5B1C119" w14:textId="63ACE233" w:rsidR="007F3128" w:rsidRPr="00F658A6" w:rsidRDefault="00EC6A22" w:rsidP="00F608A7">
            <w:pPr>
              <w:tabs>
                <w:tab w:val="left" w:pos="1277"/>
              </w:tabs>
              <w:jc w:val="left"/>
              <w:rPr>
                <w:sz w:val="16"/>
                <w:szCs w:val="16"/>
              </w:rPr>
            </w:pPr>
            <w:r w:rsidRPr="00F658A6">
              <w:rPr>
                <w:sz w:val="16"/>
                <w:szCs w:val="16"/>
              </w:rPr>
              <w:t>Jhony Francisco Vald</w:t>
            </w:r>
            <w:r w:rsidR="004402B0" w:rsidRPr="00F658A6">
              <w:rPr>
                <w:sz w:val="16"/>
                <w:szCs w:val="16"/>
              </w:rPr>
              <w:t>éz Pérez</w:t>
            </w:r>
          </w:p>
        </w:tc>
      </w:tr>
      <w:tr w:rsidR="007F3128" w:rsidRPr="00F658A6" w14:paraId="664B4E05" w14:textId="77777777" w:rsidTr="00F608A7">
        <w:tc>
          <w:tcPr>
            <w:tcW w:w="560" w:type="dxa"/>
            <w:gridSpan w:val="2"/>
            <w:vMerge/>
            <w:vAlign w:val="center"/>
          </w:tcPr>
          <w:p w14:paraId="37F7C5E0" w14:textId="77777777" w:rsidR="007F3128" w:rsidRPr="00F658A6" w:rsidRDefault="007F3128" w:rsidP="00F608A7">
            <w:pPr>
              <w:jc w:val="left"/>
              <w:rPr>
                <w:sz w:val="16"/>
                <w:szCs w:val="16"/>
              </w:rPr>
            </w:pPr>
          </w:p>
        </w:tc>
        <w:tc>
          <w:tcPr>
            <w:tcW w:w="2950" w:type="dxa"/>
            <w:vMerge/>
            <w:vAlign w:val="center"/>
          </w:tcPr>
          <w:p w14:paraId="376EF552" w14:textId="77777777" w:rsidR="007F3128" w:rsidRPr="00F658A6" w:rsidRDefault="007F3128" w:rsidP="00F608A7">
            <w:pPr>
              <w:jc w:val="left"/>
              <w:rPr>
                <w:sz w:val="16"/>
                <w:szCs w:val="16"/>
              </w:rPr>
            </w:pPr>
          </w:p>
        </w:tc>
        <w:tc>
          <w:tcPr>
            <w:tcW w:w="567" w:type="dxa"/>
            <w:vAlign w:val="center"/>
          </w:tcPr>
          <w:p w14:paraId="36C6278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6AE8211D" w14:textId="7FE95F0A" w:rsidR="007F3128" w:rsidRPr="00F658A6" w:rsidRDefault="007F3128" w:rsidP="00F608A7">
            <w:pPr>
              <w:tabs>
                <w:tab w:val="left" w:pos="1277"/>
              </w:tabs>
              <w:jc w:val="left"/>
              <w:rPr>
                <w:sz w:val="16"/>
                <w:szCs w:val="16"/>
              </w:rPr>
            </w:pPr>
            <w:r w:rsidRPr="00F658A6">
              <w:rPr>
                <w:sz w:val="16"/>
                <w:szCs w:val="16"/>
              </w:rPr>
              <w:t>Boni Kennedy Vald</w:t>
            </w:r>
            <w:r w:rsidR="004402B0" w:rsidRPr="00F658A6">
              <w:rPr>
                <w:sz w:val="16"/>
                <w:szCs w:val="16"/>
              </w:rPr>
              <w:t>é</w:t>
            </w:r>
            <w:r w:rsidRPr="00F658A6">
              <w:rPr>
                <w:sz w:val="16"/>
                <w:szCs w:val="16"/>
              </w:rPr>
              <w:t>z Pérez (Hija)</w:t>
            </w:r>
          </w:p>
        </w:tc>
      </w:tr>
      <w:tr w:rsidR="007F3128" w:rsidRPr="00F658A6" w14:paraId="0662359E" w14:textId="77777777" w:rsidTr="00F608A7">
        <w:tc>
          <w:tcPr>
            <w:tcW w:w="560" w:type="dxa"/>
            <w:gridSpan w:val="2"/>
            <w:vMerge/>
            <w:vAlign w:val="center"/>
          </w:tcPr>
          <w:p w14:paraId="71FCF2A6" w14:textId="77777777" w:rsidR="007F3128" w:rsidRPr="00F658A6" w:rsidRDefault="007F3128" w:rsidP="00F608A7">
            <w:pPr>
              <w:jc w:val="left"/>
              <w:rPr>
                <w:sz w:val="16"/>
                <w:szCs w:val="16"/>
              </w:rPr>
            </w:pPr>
          </w:p>
        </w:tc>
        <w:tc>
          <w:tcPr>
            <w:tcW w:w="2950" w:type="dxa"/>
            <w:vMerge/>
            <w:vAlign w:val="center"/>
          </w:tcPr>
          <w:p w14:paraId="0FF5CC89" w14:textId="77777777" w:rsidR="007F3128" w:rsidRPr="00F658A6" w:rsidRDefault="007F3128" w:rsidP="00F608A7">
            <w:pPr>
              <w:jc w:val="left"/>
              <w:rPr>
                <w:sz w:val="16"/>
                <w:szCs w:val="16"/>
              </w:rPr>
            </w:pPr>
          </w:p>
        </w:tc>
        <w:tc>
          <w:tcPr>
            <w:tcW w:w="567" w:type="dxa"/>
            <w:vAlign w:val="center"/>
          </w:tcPr>
          <w:p w14:paraId="63B44B68"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16BDB1FF" w14:textId="6928939E" w:rsidR="007F3128" w:rsidRPr="00F658A6" w:rsidRDefault="007F3128" w:rsidP="00F608A7">
            <w:pPr>
              <w:tabs>
                <w:tab w:val="left" w:pos="1277"/>
              </w:tabs>
              <w:jc w:val="left"/>
              <w:rPr>
                <w:sz w:val="16"/>
                <w:szCs w:val="16"/>
              </w:rPr>
            </w:pPr>
            <w:r w:rsidRPr="00F658A6">
              <w:rPr>
                <w:sz w:val="16"/>
                <w:szCs w:val="16"/>
              </w:rPr>
              <w:t>Nanc</w:t>
            </w:r>
            <w:r w:rsidR="00EC06FC" w:rsidRPr="00F658A6">
              <w:rPr>
                <w:sz w:val="16"/>
                <w:szCs w:val="16"/>
              </w:rPr>
              <w:t>y</w:t>
            </w:r>
            <w:r w:rsidRPr="00F658A6">
              <w:rPr>
                <w:sz w:val="16"/>
                <w:szCs w:val="16"/>
              </w:rPr>
              <w:t xml:space="preserve"> Beatr</w:t>
            </w:r>
            <w:r w:rsidR="00EC06FC" w:rsidRPr="00F658A6">
              <w:rPr>
                <w:sz w:val="16"/>
                <w:szCs w:val="16"/>
              </w:rPr>
              <w:t>í</w:t>
            </w:r>
            <w:r w:rsidRPr="00F658A6">
              <w:rPr>
                <w:sz w:val="16"/>
                <w:szCs w:val="16"/>
              </w:rPr>
              <w:t>z Vald</w:t>
            </w:r>
            <w:r w:rsidR="004402B0" w:rsidRPr="00F658A6">
              <w:rPr>
                <w:sz w:val="16"/>
                <w:szCs w:val="16"/>
              </w:rPr>
              <w:t>é</w:t>
            </w:r>
            <w:r w:rsidRPr="00F658A6">
              <w:rPr>
                <w:sz w:val="16"/>
                <w:szCs w:val="16"/>
              </w:rPr>
              <w:t>z Pérez (Hija)</w:t>
            </w:r>
          </w:p>
        </w:tc>
      </w:tr>
      <w:tr w:rsidR="007F3128" w:rsidRPr="00F658A6" w14:paraId="1335B8CF" w14:textId="77777777" w:rsidTr="00F608A7">
        <w:tc>
          <w:tcPr>
            <w:tcW w:w="560" w:type="dxa"/>
            <w:gridSpan w:val="2"/>
            <w:vMerge/>
            <w:vAlign w:val="center"/>
          </w:tcPr>
          <w:p w14:paraId="00AFA7CC" w14:textId="77777777" w:rsidR="007F3128" w:rsidRPr="00F658A6" w:rsidRDefault="007F3128" w:rsidP="00F608A7">
            <w:pPr>
              <w:jc w:val="left"/>
              <w:rPr>
                <w:sz w:val="16"/>
                <w:szCs w:val="16"/>
              </w:rPr>
            </w:pPr>
          </w:p>
        </w:tc>
        <w:tc>
          <w:tcPr>
            <w:tcW w:w="2950" w:type="dxa"/>
            <w:vMerge/>
            <w:vAlign w:val="center"/>
          </w:tcPr>
          <w:p w14:paraId="6DC4F5D4" w14:textId="77777777" w:rsidR="007F3128" w:rsidRPr="00F658A6" w:rsidRDefault="007F3128" w:rsidP="00F608A7">
            <w:pPr>
              <w:jc w:val="left"/>
              <w:rPr>
                <w:sz w:val="16"/>
                <w:szCs w:val="16"/>
              </w:rPr>
            </w:pPr>
          </w:p>
        </w:tc>
        <w:tc>
          <w:tcPr>
            <w:tcW w:w="567" w:type="dxa"/>
            <w:vAlign w:val="center"/>
          </w:tcPr>
          <w:p w14:paraId="3817B31D"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03F3089" w14:textId="7C34075B" w:rsidR="007F3128" w:rsidRPr="00F658A6" w:rsidRDefault="007F3128" w:rsidP="00F608A7">
            <w:pPr>
              <w:tabs>
                <w:tab w:val="left" w:pos="1277"/>
              </w:tabs>
              <w:jc w:val="left"/>
              <w:rPr>
                <w:sz w:val="16"/>
                <w:szCs w:val="16"/>
              </w:rPr>
            </w:pPr>
            <w:r w:rsidRPr="00F658A6">
              <w:rPr>
                <w:sz w:val="16"/>
                <w:szCs w:val="16"/>
              </w:rPr>
              <w:t>Glendi Betsaida Vald</w:t>
            </w:r>
            <w:r w:rsidR="004402B0" w:rsidRPr="00F658A6">
              <w:rPr>
                <w:sz w:val="16"/>
                <w:szCs w:val="16"/>
              </w:rPr>
              <w:t>é</w:t>
            </w:r>
            <w:r w:rsidRPr="00F658A6">
              <w:rPr>
                <w:sz w:val="16"/>
                <w:szCs w:val="16"/>
              </w:rPr>
              <w:t>z Pérez (Hija)</w:t>
            </w:r>
          </w:p>
        </w:tc>
      </w:tr>
      <w:tr w:rsidR="007F3128" w:rsidRPr="00F658A6" w14:paraId="7C562EC6" w14:textId="77777777" w:rsidTr="00F608A7">
        <w:tc>
          <w:tcPr>
            <w:tcW w:w="560" w:type="dxa"/>
            <w:gridSpan w:val="2"/>
            <w:vMerge/>
            <w:vAlign w:val="center"/>
          </w:tcPr>
          <w:p w14:paraId="0EFFAA28" w14:textId="77777777" w:rsidR="007F3128" w:rsidRPr="00F658A6" w:rsidRDefault="007F3128" w:rsidP="00F608A7">
            <w:pPr>
              <w:jc w:val="left"/>
              <w:rPr>
                <w:sz w:val="16"/>
                <w:szCs w:val="16"/>
              </w:rPr>
            </w:pPr>
          </w:p>
        </w:tc>
        <w:tc>
          <w:tcPr>
            <w:tcW w:w="2950" w:type="dxa"/>
            <w:vMerge/>
            <w:vAlign w:val="center"/>
          </w:tcPr>
          <w:p w14:paraId="012F70EC" w14:textId="77777777" w:rsidR="007F3128" w:rsidRPr="00F658A6" w:rsidRDefault="007F3128" w:rsidP="00F608A7">
            <w:pPr>
              <w:jc w:val="left"/>
              <w:rPr>
                <w:sz w:val="16"/>
                <w:szCs w:val="16"/>
              </w:rPr>
            </w:pPr>
          </w:p>
        </w:tc>
        <w:tc>
          <w:tcPr>
            <w:tcW w:w="567" w:type="dxa"/>
            <w:vAlign w:val="center"/>
          </w:tcPr>
          <w:p w14:paraId="140BAFBC"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F618C75" w14:textId="0C069407" w:rsidR="007F3128" w:rsidRPr="00F658A6" w:rsidRDefault="007F3128" w:rsidP="00F608A7">
            <w:pPr>
              <w:tabs>
                <w:tab w:val="left" w:pos="1277"/>
              </w:tabs>
              <w:jc w:val="left"/>
              <w:rPr>
                <w:sz w:val="16"/>
                <w:szCs w:val="16"/>
              </w:rPr>
            </w:pPr>
            <w:r w:rsidRPr="00F658A6">
              <w:rPr>
                <w:sz w:val="16"/>
                <w:szCs w:val="16"/>
              </w:rPr>
              <w:t>Mildred Odalis Vald</w:t>
            </w:r>
            <w:r w:rsidR="004402B0" w:rsidRPr="00F658A6">
              <w:rPr>
                <w:sz w:val="16"/>
                <w:szCs w:val="16"/>
              </w:rPr>
              <w:t>é</w:t>
            </w:r>
            <w:r w:rsidRPr="00F658A6">
              <w:rPr>
                <w:sz w:val="16"/>
                <w:szCs w:val="16"/>
              </w:rPr>
              <w:t>z Pérez (Hija)</w:t>
            </w:r>
          </w:p>
        </w:tc>
      </w:tr>
      <w:tr w:rsidR="007F3128" w:rsidRPr="00F658A6" w14:paraId="091DDE9C" w14:textId="77777777" w:rsidTr="00F608A7">
        <w:tc>
          <w:tcPr>
            <w:tcW w:w="560" w:type="dxa"/>
            <w:gridSpan w:val="2"/>
            <w:vMerge/>
            <w:vAlign w:val="center"/>
          </w:tcPr>
          <w:p w14:paraId="114D5A88" w14:textId="77777777" w:rsidR="007F3128" w:rsidRPr="00F658A6" w:rsidRDefault="007F3128" w:rsidP="00F608A7">
            <w:pPr>
              <w:jc w:val="left"/>
              <w:rPr>
                <w:sz w:val="16"/>
                <w:szCs w:val="16"/>
              </w:rPr>
            </w:pPr>
          </w:p>
        </w:tc>
        <w:tc>
          <w:tcPr>
            <w:tcW w:w="2950" w:type="dxa"/>
            <w:vMerge/>
            <w:vAlign w:val="center"/>
          </w:tcPr>
          <w:p w14:paraId="5F96C130" w14:textId="77777777" w:rsidR="007F3128" w:rsidRPr="00F658A6" w:rsidRDefault="007F3128" w:rsidP="00F608A7">
            <w:pPr>
              <w:jc w:val="left"/>
              <w:rPr>
                <w:sz w:val="16"/>
                <w:szCs w:val="16"/>
              </w:rPr>
            </w:pPr>
          </w:p>
        </w:tc>
        <w:tc>
          <w:tcPr>
            <w:tcW w:w="567" w:type="dxa"/>
            <w:vAlign w:val="center"/>
          </w:tcPr>
          <w:p w14:paraId="357E279A"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43C21EA1" w14:textId="335EF574" w:rsidR="007F3128" w:rsidRPr="00F658A6" w:rsidRDefault="007F3128" w:rsidP="00F608A7">
            <w:pPr>
              <w:tabs>
                <w:tab w:val="left" w:pos="1277"/>
              </w:tabs>
              <w:jc w:val="left"/>
              <w:rPr>
                <w:sz w:val="16"/>
                <w:szCs w:val="16"/>
              </w:rPr>
            </w:pPr>
            <w:r w:rsidRPr="00F658A6">
              <w:rPr>
                <w:sz w:val="16"/>
                <w:szCs w:val="16"/>
              </w:rPr>
              <w:t>Zolia Argentina Vald</w:t>
            </w:r>
            <w:r w:rsidR="004402B0" w:rsidRPr="00F658A6">
              <w:rPr>
                <w:sz w:val="16"/>
                <w:szCs w:val="16"/>
              </w:rPr>
              <w:t>é</w:t>
            </w:r>
            <w:r w:rsidRPr="00F658A6">
              <w:rPr>
                <w:sz w:val="16"/>
                <w:szCs w:val="16"/>
              </w:rPr>
              <w:t>z Pérez (Hija)</w:t>
            </w:r>
          </w:p>
        </w:tc>
      </w:tr>
      <w:tr w:rsidR="007F3128" w:rsidRPr="00F658A6" w14:paraId="0AAA4FED" w14:textId="77777777" w:rsidTr="00F608A7">
        <w:tc>
          <w:tcPr>
            <w:tcW w:w="560" w:type="dxa"/>
            <w:gridSpan w:val="2"/>
            <w:vMerge w:val="restart"/>
            <w:vAlign w:val="center"/>
          </w:tcPr>
          <w:p w14:paraId="59F1AB29" w14:textId="77777777" w:rsidR="007F3128" w:rsidRPr="00F658A6" w:rsidRDefault="007F3128" w:rsidP="00F608A7">
            <w:pPr>
              <w:jc w:val="left"/>
              <w:rPr>
                <w:sz w:val="16"/>
                <w:szCs w:val="16"/>
              </w:rPr>
            </w:pPr>
            <w:r w:rsidRPr="00F658A6">
              <w:rPr>
                <w:sz w:val="16"/>
                <w:szCs w:val="16"/>
              </w:rPr>
              <w:t>42</w:t>
            </w:r>
          </w:p>
        </w:tc>
        <w:tc>
          <w:tcPr>
            <w:tcW w:w="2950" w:type="dxa"/>
            <w:vMerge w:val="restart"/>
            <w:vAlign w:val="center"/>
          </w:tcPr>
          <w:p w14:paraId="27402F58" w14:textId="4A9FF5CC" w:rsidR="007F3128" w:rsidRPr="00F658A6" w:rsidRDefault="007F3128" w:rsidP="00F608A7">
            <w:pPr>
              <w:jc w:val="left"/>
              <w:rPr>
                <w:sz w:val="16"/>
                <w:szCs w:val="16"/>
              </w:rPr>
            </w:pPr>
            <w:r w:rsidRPr="00F658A6">
              <w:rPr>
                <w:sz w:val="16"/>
                <w:szCs w:val="16"/>
              </w:rPr>
              <w:t>Teresa Magdalena Ramírez Castro</w:t>
            </w:r>
          </w:p>
        </w:tc>
        <w:tc>
          <w:tcPr>
            <w:tcW w:w="567" w:type="dxa"/>
            <w:vAlign w:val="center"/>
          </w:tcPr>
          <w:p w14:paraId="64650893"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1306E5CB" w14:textId="77777777" w:rsidR="007F3128" w:rsidRPr="00F658A6" w:rsidRDefault="007F3128" w:rsidP="00F608A7">
            <w:pPr>
              <w:tabs>
                <w:tab w:val="left" w:pos="1277"/>
              </w:tabs>
              <w:jc w:val="left"/>
              <w:rPr>
                <w:sz w:val="16"/>
                <w:szCs w:val="16"/>
              </w:rPr>
            </w:pPr>
            <w:r w:rsidRPr="00F658A6">
              <w:rPr>
                <w:sz w:val="16"/>
                <w:szCs w:val="16"/>
              </w:rPr>
              <w:t>Sayda Analy Paz Ramírez (Hija)</w:t>
            </w:r>
          </w:p>
        </w:tc>
      </w:tr>
      <w:tr w:rsidR="007F3128" w:rsidRPr="00F658A6" w14:paraId="2E170A26" w14:textId="77777777" w:rsidTr="00F608A7">
        <w:tc>
          <w:tcPr>
            <w:tcW w:w="560" w:type="dxa"/>
            <w:gridSpan w:val="2"/>
            <w:vMerge/>
            <w:vAlign w:val="center"/>
          </w:tcPr>
          <w:p w14:paraId="42C8ECE5" w14:textId="77777777" w:rsidR="007F3128" w:rsidRPr="00F658A6" w:rsidRDefault="007F3128" w:rsidP="00F608A7">
            <w:pPr>
              <w:jc w:val="left"/>
              <w:rPr>
                <w:sz w:val="16"/>
                <w:szCs w:val="16"/>
              </w:rPr>
            </w:pPr>
          </w:p>
        </w:tc>
        <w:tc>
          <w:tcPr>
            <w:tcW w:w="2950" w:type="dxa"/>
            <w:vMerge/>
            <w:vAlign w:val="center"/>
          </w:tcPr>
          <w:p w14:paraId="3134F711" w14:textId="77777777" w:rsidR="007F3128" w:rsidRPr="00F658A6" w:rsidRDefault="007F3128" w:rsidP="00F608A7">
            <w:pPr>
              <w:jc w:val="left"/>
              <w:rPr>
                <w:sz w:val="16"/>
                <w:szCs w:val="16"/>
              </w:rPr>
            </w:pPr>
          </w:p>
        </w:tc>
        <w:tc>
          <w:tcPr>
            <w:tcW w:w="567" w:type="dxa"/>
            <w:vAlign w:val="center"/>
          </w:tcPr>
          <w:p w14:paraId="57F713E7"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CC35EC2" w14:textId="77777777" w:rsidR="007F3128" w:rsidRPr="00F658A6" w:rsidRDefault="007F3128" w:rsidP="00F608A7">
            <w:pPr>
              <w:tabs>
                <w:tab w:val="left" w:pos="1277"/>
              </w:tabs>
              <w:jc w:val="left"/>
              <w:rPr>
                <w:sz w:val="16"/>
                <w:szCs w:val="16"/>
              </w:rPr>
            </w:pPr>
            <w:r w:rsidRPr="00F658A6">
              <w:rPr>
                <w:sz w:val="16"/>
                <w:szCs w:val="16"/>
              </w:rPr>
              <w:t>Oscar Oswaldo Paz Ramírez (Hijo)</w:t>
            </w:r>
          </w:p>
        </w:tc>
      </w:tr>
      <w:tr w:rsidR="007F3128" w:rsidRPr="00F658A6" w14:paraId="2AAEE931" w14:textId="77777777" w:rsidTr="00F608A7">
        <w:tc>
          <w:tcPr>
            <w:tcW w:w="560" w:type="dxa"/>
            <w:gridSpan w:val="2"/>
            <w:vMerge/>
            <w:vAlign w:val="center"/>
          </w:tcPr>
          <w:p w14:paraId="44ED2D32" w14:textId="77777777" w:rsidR="007F3128" w:rsidRPr="00F658A6" w:rsidRDefault="007F3128" w:rsidP="00F608A7">
            <w:pPr>
              <w:jc w:val="left"/>
              <w:rPr>
                <w:sz w:val="16"/>
                <w:szCs w:val="16"/>
              </w:rPr>
            </w:pPr>
          </w:p>
        </w:tc>
        <w:tc>
          <w:tcPr>
            <w:tcW w:w="2950" w:type="dxa"/>
            <w:vMerge/>
            <w:vAlign w:val="center"/>
          </w:tcPr>
          <w:p w14:paraId="59EBA563" w14:textId="77777777" w:rsidR="007F3128" w:rsidRPr="00F658A6" w:rsidRDefault="007F3128" w:rsidP="00F608A7">
            <w:pPr>
              <w:jc w:val="left"/>
              <w:rPr>
                <w:sz w:val="16"/>
                <w:szCs w:val="16"/>
              </w:rPr>
            </w:pPr>
          </w:p>
        </w:tc>
        <w:tc>
          <w:tcPr>
            <w:tcW w:w="567" w:type="dxa"/>
            <w:vAlign w:val="center"/>
          </w:tcPr>
          <w:p w14:paraId="4034B915"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41AD269B" w14:textId="77777777" w:rsidR="007F3128" w:rsidRPr="00F658A6" w:rsidRDefault="007F3128" w:rsidP="00F608A7">
            <w:pPr>
              <w:tabs>
                <w:tab w:val="left" w:pos="1277"/>
              </w:tabs>
              <w:jc w:val="left"/>
              <w:rPr>
                <w:sz w:val="16"/>
                <w:szCs w:val="16"/>
              </w:rPr>
            </w:pPr>
            <w:r w:rsidRPr="00F658A6">
              <w:rPr>
                <w:sz w:val="16"/>
                <w:szCs w:val="16"/>
              </w:rPr>
              <w:t>Lucrecia Paola Paz Ramírez (Hija)</w:t>
            </w:r>
          </w:p>
        </w:tc>
      </w:tr>
      <w:tr w:rsidR="007F3128" w:rsidRPr="00F658A6" w14:paraId="40B7CB64" w14:textId="77777777" w:rsidTr="00F608A7">
        <w:tc>
          <w:tcPr>
            <w:tcW w:w="560" w:type="dxa"/>
            <w:gridSpan w:val="2"/>
            <w:vMerge/>
            <w:vAlign w:val="center"/>
          </w:tcPr>
          <w:p w14:paraId="1334D153" w14:textId="77777777" w:rsidR="007F3128" w:rsidRPr="00F658A6" w:rsidRDefault="007F3128" w:rsidP="00F608A7">
            <w:pPr>
              <w:jc w:val="left"/>
              <w:rPr>
                <w:sz w:val="16"/>
                <w:szCs w:val="16"/>
              </w:rPr>
            </w:pPr>
          </w:p>
        </w:tc>
        <w:tc>
          <w:tcPr>
            <w:tcW w:w="2950" w:type="dxa"/>
            <w:vMerge/>
            <w:vAlign w:val="center"/>
          </w:tcPr>
          <w:p w14:paraId="6C4F0C6E" w14:textId="77777777" w:rsidR="007F3128" w:rsidRPr="00F658A6" w:rsidRDefault="007F3128" w:rsidP="00F608A7">
            <w:pPr>
              <w:jc w:val="left"/>
              <w:rPr>
                <w:sz w:val="16"/>
                <w:szCs w:val="16"/>
              </w:rPr>
            </w:pPr>
          </w:p>
        </w:tc>
        <w:tc>
          <w:tcPr>
            <w:tcW w:w="567" w:type="dxa"/>
            <w:vAlign w:val="center"/>
          </w:tcPr>
          <w:p w14:paraId="2F9CC967"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2CE74E69" w14:textId="77777777" w:rsidR="007F3128" w:rsidRPr="00F658A6" w:rsidRDefault="007F3128" w:rsidP="00F608A7">
            <w:pPr>
              <w:tabs>
                <w:tab w:val="left" w:pos="1277"/>
              </w:tabs>
              <w:jc w:val="left"/>
              <w:rPr>
                <w:sz w:val="16"/>
                <w:szCs w:val="16"/>
              </w:rPr>
            </w:pPr>
            <w:r w:rsidRPr="00F658A6">
              <w:rPr>
                <w:sz w:val="16"/>
                <w:szCs w:val="16"/>
              </w:rPr>
              <w:t>Fredy Ramírez Castro (Hijo)</w:t>
            </w:r>
          </w:p>
        </w:tc>
      </w:tr>
      <w:tr w:rsidR="007F3128" w:rsidRPr="00F658A6" w14:paraId="3472CD01" w14:textId="77777777" w:rsidTr="00F608A7">
        <w:tc>
          <w:tcPr>
            <w:tcW w:w="560" w:type="dxa"/>
            <w:gridSpan w:val="2"/>
            <w:vMerge/>
            <w:vAlign w:val="center"/>
          </w:tcPr>
          <w:p w14:paraId="66028C79" w14:textId="77777777" w:rsidR="007F3128" w:rsidRPr="00F658A6" w:rsidRDefault="007F3128" w:rsidP="00F608A7">
            <w:pPr>
              <w:jc w:val="left"/>
              <w:rPr>
                <w:sz w:val="16"/>
                <w:szCs w:val="16"/>
              </w:rPr>
            </w:pPr>
          </w:p>
        </w:tc>
        <w:tc>
          <w:tcPr>
            <w:tcW w:w="2950" w:type="dxa"/>
            <w:vMerge/>
            <w:vAlign w:val="center"/>
          </w:tcPr>
          <w:p w14:paraId="0AD3F34C" w14:textId="77777777" w:rsidR="007F3128" w:rsidRPr="00F658A6" w:rsidRDefault="007F3128" w:rsidP="00F608A7">
            <w:pPr>
              <w:jc w:val="left"/>
              <w:rPr>
                <w:sz w:val="16"/>
                <w:szCs w:val="16"/>
              </w:rPr>
            </w:pPr>
          </w:p>
        </w:tc>
        <w:tc>
          <w:tcPr>
            <w:tcW w:w="567" w:type="dxa"/>
            <w:vAlign w:val="center"/>
          </w:tcPr>
          <w:p w14:paraId="00296F5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50A065EB" w14:textId="77777777" w:rsidR="007F3128" w:rsidRPr="00F658A6" w:rsidRDefault="007F3128" w:rsidP="00F608A7">
            <w:pPr>
              <w:tabs>
                <w:tab w:val="left" w:pos="1277"/>
              </w:tabs>
              <w:jc w:val="left"/>
              <w:rPr>
                <w:sz w:val="16"/>
                <w:szCs w:val="16"/>
              </w:rPr>
            </w:pPr>
            <w:r w:rsidRPr="00F658A6">
              <w:rPr>
                <w:sz w:val="16"/>
                <w:szCs w:val="16"/>
              </w:rPr>
              <w:t>Evelyn Gabriela Paz Ramírez (Nieta)</w:t>
            </w:r>
          </w:p>
        </w:tc>
      </w:tr>
      <w:tr w:rsidR="007F3128" w:rsidRPr="00F658A6" w14:paraId="1B149260" w14:textId="77777777" w:rsidTr="00F608A7">
        <w:tc>
          <w:tcPr>
            <w:tcW w:w="560" w:type="dxa"/>
            <w:gridSpan w:val="2"/>
            <w:vMerge/>
            <w:vAlign w:val="center"/>
          </w:tcPr>
          <w:p w14:paraId="332F5F0E" w14:textId="77777777" w:rsidR="007F3128" w:rsidRPr="00F658A6" w:rsidRDefault="007F3128" w:rsidP="00F608A7">
            <w:pPr>
              <w:jc w:val="left"/>
              <w:rPr>
                <w:sz w:val="16"/>
                <w:szCs w:val="16"/>
              </w:rPr>
            </w:pPr>
          </w:p>
        </w:tc>
        <w:tc>
          <w:tcPr>
            <w:tcW w:w="2950" w:type="dxa"/>
            <w:vMerge/>
            <w:vAlign w:val="center"/>
          </w:tcPr>
          <w:p w14:paraId="3B5E5EB3" w14:textId="77777777" w:rsidR="007F3128" w:rsidRPr="00F658A6" w:rsidRDefault="007F3128" w:rsidP="00F608A7">
            <w:pPr>
              <w:jc w:val="left"/>
              <w:rPr>
                <w:sz w:val="16"/>
                <w:szCs w:val="16"/>
              </w:rPr>
            </w:pPr>
          </w:p>
        </w:tc>
        <w:tc>
          <w:tcPr>
            <w:tcW w:w="567" w:type="dxa"/>
            <w:vAlign w:val="center"/>
          </w:tcPr>
          <w:p w14:paraId="2E63BEDD"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439DE2DA" w14:textId="77777777" w:rsidR="007F3128" w:rsidRPr="00F658A6" w:rsidRDefault="007F3128" w:rsidP="00F608A7">
            <w:pPr>
              <w:tabs>
                <w:tab w:val="left" w:pos="1277"/>
              </w:tabs>
              <w:jc w:val="left"/>
              <w:rPr>
                <w:sz w:val="16"/>
                <w:szCs w:val="16"/>
              </w:rPr>
            </w:pPr>
            <w:r w:rsidRPr="00F658A6">
              <w:rPr>
                <w:sz w:val="16"/>
                <w:szCs w:val="16"/>
              </w:rPr>
              <w:t>Carlos Timoteo Paz Ramírez (Nieto)</w:t>
            </w:r>
          </w:p>
        </w:tc>
      </w:tr>
      <w:tr w:rsidR="007F3128" w:rsidRPr="00F658A6" w14:paraId="29D9A126" w14:textId="77777777" w:rsidTr="00F608A7">
        <w:tc>
          <w:tcPr>
            <w:tcW w:w="560" w:type="dxa"/>
            <w:gridSpan w:val="2"/>
            <w:vMerge/>
            <w:vAlign w:val="center"/>
          </w:tcPr>
          <w:p w14:paraId="7F4023CB" w14:textId="77777777" w:rsidR="007F3128" w:rsidRPr="00F658A6" w:rsidRDefault="007F3128" w:rsidP="00F608A7">
            <w:pPr>
              <w:jc w:val="left"/>
              <w:rPr>
                <w:sz w:val="16"/>
                <w:szCs w:val="16"/>
              </w:rPr>
            </w:pPr>
          </w:p>
        </w:tc>
        <w:tc>
          <w:tcPr>
            <w:tcW w:w="2950" w:type="dxa"/>
            <w:vMerge/>
            <w:vAlign w:val="center"/>
          </w:tcPr>
          <w:p w14:paraId="5AAA286B" w14:textId="77777777" w:rsidR="007F3128" w:rsidRPr="00F658A6" w:rsidRDefault="007F3128" w:rsidP="00F608A7">
            <w:pPr>
              <w:jc w:val="left"/>
              <w:rPr>
                <w:sz w:val="16"/>
                <w:szCs w:val="16"/>
              </w:rPr>
            </w:pPr>
          </w:p>
        </w:tc>
        <w:tc>
          <w:tcPr>
            <w:tcW w:w="567" w:type="dxa"/>
            <w:vAlign w:val="center"/>
          </w:tcPr>
          <w:p w14:paraId="4CDD6C82"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659896AF" w14:textId="77777777" w:rsidR="007F3128" w:rsidRPr="00F658A6" w:rsidRDefault="007F3128" w:rsidP="00F608A7">
            <w:pPr>
              <w:tabs>
                <w:tab w:val="left" w:pos="1277"/>
              </w:tabs>
              <w:jc w:val="left"/>
              <w:rPr>
                <w:sz w:val="16"/>
                <w:szCs w:val="16"/>
              </w:rPr>
            </w:pPr>
            <w:r w:rsidRPr="00F658A6">
              <w:rPr>
                <w:sz w:val="16"/>
                <w:szCs w:val="16"/>
              </w:rPr>
              <w:t>Alfonso Ramírez (Padre)</w:t>
            </w:r>
          </w:p>
        </w:tc>
      </w:tr>
      <w:tr w:rsidR="007F3128" w:rsidRPr="00F658A6" w14:paraId="06804E7E" w14:textId="77777777" w:rsidTr="00F608A7">
        <w:tc>
          <w:tcPr>
            <w:tcW w:w="560" w:type="dxa"/>
            <w:gridSpan w:val="2"/>
            <w:vMerge/>
            <w:vAlign w:val="center"/>
          </w:tcPr>
          <w:p w14:paraId="1D080606" w14:textId="77777777" w:rsidR="007F3128" w:rsidRPr="00F658A6" w:rsidRDefault="007F3128" w:rsidP="00F608A7">
            <w:pPr>
              <w:jc w:val="left"/>
              <w:rPr>
                <w:sz w:val="16"/>
                <w:szCs w:val="16"/>
              </w:rPr>
            </w:pPr>
          </w:p>
        </w:tc>
        <w:tc>
          <w:tcPr>
            <w:tcW w:w="2950" w:type="dxa"/>
            <w:vMerge/>
            <w:vAlign w:val="center"/>
          </w:tcPr>
          <w:p w14:paraId="57DBD823" w14:textId="77777777" w:rsidR="007F3128" w:rsidRPr="00F658A6" w:rsidRDefault="007F3128" w:rsidP="00F608A7">
            <w:pPr>
              <w:jc w:val="left"/>
              <w:rPr>
                <w:sz w:val="16"/>
                <w:szCs w:val="16"/>
              </w:rPr>
            </w:pPr>
          </w:p>
        </w:tc>
        <w:tc>
          <w:tcPr>
            <w:tcW w:w="567" w:type="dxa"/>
            <w:vAlign w:val="center"/>
          </w:tcPr>
          <w:p w14:paraId="27FFAD41"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16A657BB" w14:textId="77777777" w:rsidR="007F3128" w:rsidRPr="00F658A6" w:rsidRDefault="007F3128" w:rsidP="00F608A7">
            <w:pPr>
              <w:tabs>
                <w:tab w:val="left" w:pos="1277"/>
              </w:tabs>
              <w:jc w:val="left"/>
              <w:rPr>
                <w:sz w:val="16"/>
                <w:szCs w:val="16"/>
              </w:rPr>
            </w:pPr>
            <w:r w:rsidRPr="00F658A6">
              <w:rPr>
                <w:sz w:val="16"/>
                <w:szCs w:val="16"/>
              </w:rPr>
              <w:t>Justa Rufina Castro (Madre)</w:t>
            </w:r>
          </w:p>
        </w:tc>
      </w:tr>
      <w:tr w:rsidR="007F3128" w:rsidRPr="00F658A6" w14:paraId="546908E6" w14:textId="77777777" w:rsidTr="00F608A7">
        <w:tc>
          <w:tcPr>
            <w:tcW w:w="560" w:type="dxa"/>
            <w:gridSpan w:val="2"/>
            <w:vMerge/>
            <w:vAlign w:val="center"/>
          </w:tcPr>
          <w:p w14:paraId="034FFC0A" w14:textId="77777777" w:rsidR="007F3128" w:rsidRPr="00F658A6" w:rsidRDefault="007F3128" w:rsidP="00F608A7">
            <w:pPr>
              <w:jc w:val="left"/>
              <w:rPr>
                <w:sz w:val="16"/>
                <w:szCs w:val="16"/>
              </w:rPr>
            </w:pPr>
          </w:p>
        </w:tc>
        <w:tc>
          <w:tcPr>
            <w:tcW w:w="2950" w:type="dxa"/>
            <w:vMerge/>
            <w:vAlign w:val="center"/>
          </w:tcPr>
          <w:p w14:paraId="2E84AAF4" w14:textId="77777777" w:rsidR="007F3128" w:rsidRPr="00F658A6" w:rsidRDefault="007F3128" w:rsidP="00F608A7">
            <w:pPr>
              <w:jc w:val="left"/>
              <w:rPr>
                <w:sz w:val="16"/>
                <w:szCs w:val="16"/>
              </w:rPr>
            </w:pPr>
          </w:p>
        </w:tc>
        <w:tc>
          <w:tcPr>
            <w:tcW w:w="567" w:type="dxa"/>
            <w:vAlign w:val="center"/>
          </w:tcPr>
          <w:p w14:paraId="329F29A3"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1F0D1846" w14:textId="77777777" w:rsidR="007F3128" w:rsidRPr="00F658A6" w:rsidRDefault="007F3128" w:rsidP="00F608A7">
            <w:pPr>
              <w:tabs>
                <w:tab w:val="left" w:pos="1277"/>
              </w:tabs>
              <w:jc w:val="left"/>
              <w:rPr>
                <w:sz w:val="16"/>
                <w:szCs w:val="16"/>
              </w:rPr>
            </w:pPr>
            <w:r w:rsidRPr="00F658A6">
              <w:rPr>
                <w:sz w:val="16"/>
                <w:szCs w:val="16"/>
              </w:rPr>
              <w:t>Luis Alfonso Ramírez Castro (Hermano)</w:t>
            </w:r>
          </w:p>
        </w:tc>
      </w:tr>
      <w:tr w:rsidR="007F3128" w:rsidRPr="00F658A6" w14:paraId="05C78CD7" w14:textId="77777777" w:rsidTr="00F608A7">
        <w:tc>
          <w:tcPr>
            <w:tcW w:w="560" w:type="dxa"/>
            <w:gridSpan w:val="2"/>
            <w:vMerge/>
            <w:vAlign w:val="center"/>
          </w:tcPr>
          <w:p w14:paraId="5C8746BB" w14:textId="77777777" w:rsidR="007F3128" w:rsidRPr="00F658A6" w:rsidRDefault="007F3128" w:rsidP="00F608A7">
            <w:pPr>
              <w:jc w:val="left"/>
              <w:rPr>
                <w:sz w:val="16"/>
                <w:szCs w:val="16"/>
              </w:rPr>
            </w:pPr>
          </w:p>
        </w:tc>
        <w:tc>
          <w:tcPr>
            <w:tcW w:w="2950" w:type="dxa"/>
            <w:vMerge/>
            <w:vAlign w:val="center"/>
          </w:tcPr>
          <w:p w14:paraId="4CB15258" w14:textId="77777777" w:rsidR="007F3128" w:rsidRPr="00F658A6" w:rsidRDefault="007F3128" w:rsidP="00F608A7">
            <w:pPr>
              <w:jc w:val="left"/>
              <w:rPr>
                <w:sz w:val="16"/>
                <w:szCs w:val="16"/>
              </w:rPr>
            </w:pPr>
          </w:p>
        </w:tc>
        <w:tc>
          <w:tcPr>
            <w:tcW w:w="567" w:type="dxa"/>
            <w:vAlign w:val="center"/>
          </w:tcPr>
          <w:p w14:paraId="49B0CEB6"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1EF706AB" w14:textId="77777777" w:rsidR="007F3128" w:rsidRPr="00F658A6" w:rsidRDefault="007F3128" w:rsidP="00F608A7">
            <w:pPr>
              <w:tabs>
                <w:tab w:val="left" w:pos="1277"/>
              </w:tabs>
              <w:jc w:val="left"/>
              <w:rPr>
                <w:sz w:val="16"/>
                <w:szCs w:val="16"/>
              </w:rPr>
            </w:pPr>
            <w:r w:rsidRPr="00F658A6">
              <w:rPr>
                <w:sz w:val="16"/>
                <w:szCs w:val="16"/>
              </w:rPr>
              <w:t>Mardoqueo Ramírez Castro (Hermano)</w:t>
            </w:r>
          </w:p>
        </w:tc>
      </w:tr>
      <w:tr w:rsidR="007F3128" w:rsidRPr="00F658A6" w14:paraId="15247F9E" w14:textId="77777777" w:rsidTr="00F608A7">
        <w:tc>
          <w:tcPr>
            <w:tcW w:w="560" w:type="dxa"/>
            <w:gridSpan w:val="2"/>
            <w:vMerge/>
            <w:vAlign w:val="center"/>
          </w:tcPr>
          <w:p w14:paraId="5372C8DB" w14:textId="77777777" w:rsidR="007F3128" w:rsidRPr="00F658A6" w:rsidRDefault="007F3128" w:rsidP="00F608A7">
            <w:pPr>
              <w:jc w:val="left"/>
              <w:rPr>
                <w:sz w:val="16"/>
                <w:szCs w:val="16"/>
              </w:rPr>
            </w:pPr>
          </w:p>
        </w:tc>
        <w:tc>
          <w:tcPr>
            <w:tcW w:w="2950" w:type="dxa"/>
            <w:vMerge/>
            <w:vAlign w:val="center"/>
          </w:tcPr>
          <w:p w14:paraId="75904E99" w14:textId="77777777" w:rsidR="007F3128" w:rsidRPr="00F658A6" w:rsidRDefault="007F3128" w:rsidP="00F608A7">
            <w:pPr>
              <w:jc w:val="left"/>
              <w:rPr>
                <w:sz w:val="16"/>
                <w:szCs w:val="16"/>
              </w:rPr>
            </w:pPr>
          </w:p>
        </w:tc>
        <w:tc>
          <w:tcPr>
            <w:tcW w:w="567" w:type="dxa"/>
            <w:vAlign w:val="center"/>
          </w:tcPr>
          <w:p w14:paraId="3C244A01"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5737DCF5" w14:textId="77777777" w:rsidR="007F3128" w:rsidRPr="00F658A6" w:rsidRDefault="007F3128" w:rsidP="00F608A7">
            <w:pPr>
              <w:tabs>
                <w:tab w:val="left" w:pos="1277"/>
              </w:tabs>
              <w:jc w:val="left"/>
              <w:rPr>
                <w:sz w:val="16"/>
                <w:szCs w:val="16"/>
              </w:rPr>
            </w:pPr>
            <w:r w:rsidRPr="00F658A6">
              <w:rPr>
                <w:sz w:val="16"/>
                <w:szCs w:val="16"/>
              </w:rPr>
              <w:t>César Augusto Ramírez Castro (Hermano)</w:t>
            </w:r>
          </w:p>
        </w:tc>
      </w:tr>
      <w:tr w:rsidR="007F3128" w:rsidRPr="00F658A6" w14:paraId="6569D482" w14:textId="77777777" w:rsidTr="00F608A7">
        <w:tc>
          <w:tcPr>
            <w:tcW w:w="560" w:type="dxa"/>
            <w:gridSpan w:val="2"/>
            <w:vMerge/>
            <w:vAlign w:val="center"/>
          </w:tcPr>
          <w:p w14:paraId="3440975B" w14:textId="77777777" w:rsidR="007F3128" w:rsidRPr="00F658A6" w:rsidRDefault="007F3128" w:rsidP="00F608A7">
            <w:pPr>
              <w:jc w:val="left"/>
              <w:rPr>
                <w:sz w:val="16"/>
                <w:szCs w:val="16"/>
              </w:rPr>
            </w:pPr>
          </w:p>
        </w:tc>
        <w:tc>
          <w:tcPr>
            <w:tcW w:w="2950" w:type="dxa"/>
            <w:vMerge/>
            <w:vAlign w:val="center"/>
          </w:tcPr>
          <w:p w14:paraId="2CFB586C" w14:textId="77777777" w:rsidR="007F3128" w:rsidRPr="00F658A6" w:rsidRDefault="007F3128" w:rsidP="00F608A7">
            <w:pPr>
              <w:jc w:val="left"/>
              <w:rPr>
                <w:sz w:val="16"/>
                <w:szCs w:val="16"/>
              </w:rPr>
            </w:pPr>
          </w:p>
        </w:tc>
        <w:tc>
          <w:tcPr>
            <w:tcW w:w="567" w:type="dxa"/>
            <w:vAlign w:val="center"/>
          </w:tcPr>
          <w:p w14:paraId="417C0352"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4D9843B2" w14:textId="77777777" w:rsidR="007F3128" w:rsidRPr="00F658A6" w:rsidRDefault="007F3128" w:rsidP="00F608A7">
            <w:pPr>
              <w:tabs>
                <w:tab w:val="left" w:pos="1277"/>
              </w:tabs>
              <w:jc w:val="left"/>
              <w:rPr>
                <w:sz w:val="16"/>
                <w:szCs w:val="16"/>
              </w:rPr>
            </w:pPr>
            <w:r w:rsidRPr="00F658A6">
              <w:rPr>
                <w:sz w:val="16"/>
                <w:szCs w:val="16"/>
              </w:rPr>
              <w:t>Carlos Isaías Martínez (Pareja)</w:t>
            </w:r>
          </w:p>
        </w:tc>
      </w:tr>
      <w:tr w:rsidR="007F3128" w:rsidRPr="00F658A6" w14:paraId="5DC764A8" w14:textId="77777777" w:rsidTr="00F608A7">
        <w:tc>
          <w:tcPr>
            <w:tcW w:w="560" w:type="dxa"/>
            <w:gridSpan w:val="2"/>
            <w:vAlign w:val="center"/>
          </w:tcPr>
          <w:p w14:paraId="280A7F0E" w14:textId="77777777" w:rsidR="007F3128" w:rsidRPr="00F658A6" w:rsidRDefault="007F3128" w:rsidP="00F608A7">
            <w:pPr>
              <w:jc w:val="left"/>
              <w:rPr>
                <w:sz w:val="16"/>
                <w:szCs w:val="16"/>
              </w:rPr>
            </w:pPr>
            <w:r w:rsidRPr="00F658A6">
              <w:rPr>
                <w:sz w:val="16"/>
                <w:szCs w:val="16"/>
              </w:rPr>
              <w:t>43</w:t>
            </w:r>
          </w:p>
        </w:tc>
        <w:tc>
          <w:tcPr>
            <w:tcW w:w="2950" w:type="dxa"/>
            <w:vAlign w:val="center"/>
          </w:tcPr>
          <w:p w14:paraId="35B91148" w14:textId="75A560CF" w:rsidR="007F3128" w:rsidRPr="00F658A6" w:rsidRDefault="007F3128" w:rsidP="00F608A7">
            <w:pPr>
              <w:jc w:val="left"/>
              <w:rPr>
                <w:sz w:val="16"/>
                <w:szCs w:val="16"/>
              </w:rPr>
            </w:pPr>
            <w:r w:rsidRPr="00F658A6">
              <w:rPr>
                <w:sz w:val="16"/>
                <w:szCs w:val="16"/>
              </w:rPr>
              <w:t>Karen Judith Samayoa Vásquez</w:t>
            </w:r>
          </w:p>
        </w:tc>
        <w:tc>
          <w:tcPr>
            <w:tcW w:w="567" w:type="dxa"/>
            <w:vAlign w:val="center"/>
          </w:tcPr>
          <w:p w14:paraId="17D8BECA" w14:textId="73A0F1FF" w:rsidR="007F3128" w:rsidRPr="00F658A6" w:rsidRDefault="007F3128" w:rsidP="00F608A7">
            <w:pPr>
              <w:jc w:val="left"/>
              <w:rPr>
                <w:sz w:val="16"/>
                <w:szCs w:val="16"/>
              </w:rPr>
            </w:pPr>
          </w:p>
        </w:tc>
        <w:tc>
          <w:tcPr>
            <w:tcW w:w="4927" w:type="dxa"/>
            <w:vAlign w:val="center"/>
          </w:tcPr>
          <w:p w14:paraId="711C17BB" w14:textId="23892348" w:rsidR="007F3128" w:rsidRPr="00F658A6" w:rsidRDefault="009D48B3" w:rsidP="00F608A7">
            <w:pPr>
              <w:jc w:val="left"/>
              <w:rPr>
                <w:sz w:val="16"/>
                <w:szCs w:val="16"/>
              </w:rPr>
            </w:pPr>
            <w:r w:rsidRPr="00F658A6">
              <w:rPr>
                <w:sz w:val="16"/>
                <w:szCs w:val="16"/>
              </w:rPr>
              <w:t>No hay información disponible</w:t>
            </w:r>
          </w:p>
        </w:tc>
      </w:tr>
      <w:tr w:rsidR="007F3128" w:rsidRPr="00F658A6" w14:paraId="1E27230C" w14:textId="77777777" w:rsidTr="00F608A7">
        <w:tc>
          <w:tcPr>
            <w:tcW w:w="560" w:type="dxa"/>
            <w:gridSpan w:val="2"/>
            <w:vMerge w:val="restart"/>
            <w:vAlign w:val="center"/>
          </w:tcPr>
          <w:p w14:paraId="6C72F452" w14:textId="77777777" w:rsidR="007F3128" w:rsidRPr="00F658A6" w:rsidRDefault="007F3128" w:rsidP="00F608A7">
            <w:pPr>
              <w:jc w:val="left"/>
              <w:rPr>
                <w:sz w:val="16"/>
                <w:szCs w:val="16"/>
              </w:rPr>
            </w:pPr>
            <w:r w:rsidRPr="00F658A6">
              <w:rPr>
                <w:sz w:val="16"/>
                <w:szCs w:val="16"/>
              </w:rPr>
              <w:t>44</w:t>
            </w:r>
          </w:p>
        </w:tc>
        <w:tc>
          <w:tcPr>
            <w:tcW w:w="2950" w:type="dxa"/>
            <w:vMerge w:val="restart"/>
            <w:vAlign w:val="center"/>
          </w:tcPr>
          <w:p w14:paraId="1113CD53" w14:textId="647FCCE6" w:rsidR="007F3128" w:rsidRPr="00F658A6" w:rsidRDefault="007F3128" w:rsidP="00F608A7">
            <w:pPr>
              <w:jc w:val="left"/>
              <w:rPr>
                <w:sz w:val="16"/>
                <w:szCs w:val="16"/>
              </w:rPr>
            </w:pPr>
            <w:r w:rsidRPr="00F658A6">
              <w:rPr>
                <w:sz w:val="16"/>
                <w:szCs w:val="16"/>
              </w:rPr>
              <w:t xml:space="preserve">Francisco Sop </w:t>
            </w:r>
            <w:r w:rsidR="008840A0" w:rsidRPr="00F658A6">
              <w:rPr>
                <w:sz w:val="16"/>
                <w:szCs w:val="16"/>
              </w:rPr>
              <w:t>Quiej</w:t>
            </w:r>
          </w:p>
        </w:tc>
        <w:tc>
          <w:tcPr>
            <w:tcW w:w="567" w:type="dxa"/>
            <w:vAlign w:val="center"/>
          </w:tcPr>
          <w:p w14:paraId="3FB8B368"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BC776D9" w14:textId="77777777" w:rsidR="007F3128" w:rsidRPr="00F658A6" w:rsidRDefault="007F3128" w:rsidP="00F608A7">
            <w:pPr>
              <w:tabs>
                <w:tab w:val="left" w:pos="1277"/>
              </w:tabs>
              <w:jc w:val="left"/>
              <w:rPr>
                <w:sz w:val="16"/>
                <w:szCs w:val="16"/>
              </w:rPr>
            </w:pPr>
            <w:r w:rsidRPr="00F658A6">
              <w:rPr>
                <w:sz w:val="16"/>
                <w:szCs w:val="16"/>
              </w:rPr>
              <w:t>Paula Quiej (Madre)</w:t>
            </w:r>
          </w:p>
        </w:tc>
      </w:tr>
      <w:tr w:rsidR="007F3128" w:rsidRPr="00F658A6" w14:paraId="48880E3C" w14:textId="77777777" w:rsidTr="00F608A7">
        <w:tc>
          <w:tcPr>
            <w:tcW w:w="560" w:type="dxa"/>
            <w:gridSpan w:val="2"/>
            <w:vMerge/>
            <w:vAlign w:val="center"/>
          </w:tcPr>
          <w:p w14:paraId="5E785062" w14:textId="77777777" w:rsidR="007F3128" w:rsidRPr="00F658A6" w:rsidRDefault="007F3128" w:rsidP="00F608A7">
            <w:pPr>
              <w:jc w:val="left"/>
              <w:rPr>
                <w:sz w:val="16"/>
                <w:szCs w:val="16"/>
              </w:rPr>
            </w:pPr>
          </w:p>
        </w:tc>
        <w:tc>
          <w:tcPr>
            <w:tcW w:w="2950" w:type="dxa"/>
            <w:vMerge/>
            <w:vAlign w:val="center"/>
          </w:tcPr>
          <w:p w14:paraId="48B0B550" w14:textId="77777777" w:rsidR="007F3128" w:rsidRPr="00F658A6" w:rsidRDefault="007F3128" w:rsidP="00F608A7">
            <w:pPr>
              <w:jc w:val="left"/>
              <w:rPr>
                <w:sz w:val="16"/>
                <w:szCs w:val="16"/>
              </w:rPr>
            </w:pPr>
          </w:p>
        </w:tc>
        <w:tc>
          <w:tcPr>
            <w:tcW w:w="567" w:type="dxa"/>
            <w:vAlign w:val="center"/>
          </w:tcPr>
          <w:p w14:paraId="3E28A59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86652ED" w14:textId="54D913EF" w:rsidR="007F3128" w:rsidRPr="00F658A6" w:rsidRDefault="007F3128" w:rsidP="00F608A7">
            <w:pPr>
              <w:tabs>
                <w:tab w:val="left" w:pos="1277"/>
              </w:tabs>
              <w:jc w:val="left"/>
              <w:rPr>
                <w:sz w:val="16"/>
                <w:szCs w:val="16"/>
              </w:rPr>
            </w:pPr>
            <w:r w:rsidRPr="00F658A6">
              <w:rPr>
                <w:sz w:val="16"/>
                <w:szCs w:val="16"/>
              </w:rPr>
              <w:t>Antonio Sop Quie</w:t>
            </w:r>
            <w:r w:rsidR="00CA660E" w:rsidRPr="00F658A6">
              <w:rPr>
                <w:sz w:val="16"/>
                <w:szCs w:val="16"/>
              </w:rPr>
              <w:t>j</w:t>
            </w:r>
            <w:r w:rsidRPr="00F658A6">
              <w:rPr>
                <w:sz w:val="16"/>
                <w:szCs w:val="16"/>
              </w:rPr>
              <w:t xml:space="preserve"> (Hermano)</w:t>
            </w:r>
          </w:p>
        </w:tc>
      </w:tr>
      <w:tr w:rsidR="007F3128" w:rsidRPr="00F658A6" w14:paraId="14D98949" w14:textId="77777777" w:rsidTr="00F608A7">
        <w:tc>
          <w:tcPr>
            <w:tcW w:w="560" w:type="dxa"/>
            <w:gridSpan w:val="2"/>
            <w:vMerge/>
            <w:vAlign w:val="center"/>
          </w:tcPr>
          <w:p w14:paraId="26970038" w14:textId="77777777" w:rsidR="007F3128" w:rsidRPr="00F658A6" w:rsidRDefault="007F3128" w:rsidP="00F608A7">
            <w:pPr>
              <w:jc w:val="left"/>
              <w:rPr>
                <w:sz w:val="16"/>
                <w:szCs w:val="16"/>
              </w:rPr>
            </w:pPr>
          </w:p>
        </w:tc>
        <w:tc>
          <w:tcPr>
            <w:tcW w:w="2950" w:type="dxa"/>
            <w:vMerge/>
            <w:vAlign w:val="center"/>
          </w:tcPr>
          <w:p w14:paraId="09F037D1" w14:textId="77777777" w:rsidR="007F3128" w:rsidRPr="00F658A6" w:rsidRDefault="007F3128" w:rsidP="00F608A7">
            <w:pPr>
              <w:jc w:val="left"/>
              <w:rPr>
                <w:sz w:val="16"/>
                <w:szCs w:val="16"/>
              </w:rPr>
            </w:pPr>
          </w:p>
        </w:tc>
        <w:tc>
          <w:tcPr>
            <w:tcW w:w="567" w:type="dxa"/>
            <w:vAlign w:val="center"/>
          </w:tcPr>
          <w:p w14:paraId="5F9A0DBD"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340DEA12" w14:textId="39E13B55" w:rsidR="007F3128" w:rsidRPr="00F658A6" w:rsidRDefault="00CA660E" w:rsidP="00F608A7">
            <w:pPr>
              <w:tabs>
                <w:tab w:val="left" w:pos="1277"/>
              </w:tabs>
              <w:jc w:val="left"/>
              <w:rPr>
                <w:sz w:val="16"/>
                <w:szCs w:val="16"/>
              </w:rPr>
            </w:pPr>
            <w:r w:rsidRPr="00F658A6">
              <w:rPr>
                <w:sz w:val="16"/>
                <w:szCs w:val="16"/>
              </w:rPr>
              <w:t>Dominga Sop Quiej</w:t>
            </w:r>
            <w:r w:rsidR="007F3128" w:rsidRPr="00F658A6">
              <w:rPr>
                <w:sz w:val="16"/>
                <w:szCs w:val="16"/>
              </w:rPr>
              <w:t xml:space="preserve"> (Hermana)</w:t>
            </w:r>
          </w:p>
        </w:tc>
      </w:tr>
      <w:tr w:rsidR="007F3128" w:rsidRPr="00F658A6" w14:paraId="095EA510" w14:textId="77777777" w:rsidTr="00F608A7">
        <w:tc>
          <w:tcPr>
            <w:tcW w:w="560" w:type="dxa"/>
            <w:gridSpan w:val="2"/>
            <w:vMerge/>
            <w:vAlign w:val="center"/>
          </w:tcPr>
          <w:p w14:paraId="787479B3" w14:textId="77777777" w:rsidR="007F3128" w:rsidRPr="00F658A6" w:rsidRDefault="007F3128" w:rsidP="00F608A7">
            <w:pPr>
              <w:jc w:val="left"/>
              <w:rPr>
                <w:sz w:val="16"/>
                <w:szCs w:val="16"/>
              </w:rPr>
            </w:pPr>
          </w:p>
        </w:tc>
        <w:tc>
          <w:tcPr>
            <w:tcW w:w="2950" w:type="dxa"/>
            <w:vMerge/>
            <w:vAlign w:val="center"/>
          </w:tcPr>
          <w:p w14:paraId="276DD379" w14:textId="77777777" w:rsidR="007F3128" w:rsidRPr="00F658A6" w:rsidRDefault="007F3128" w:rsidP="00F608A7">
            <w:pPr>
              <w:jc w:val="left"/>
              <w:rPr>
                <w:sz w:val="16"/>
                <w:szCs w:val="16"/>
              </w:rPr>
            </w:pPr>
          </w:p>
        </w:tc>
        <w:tc>
          <w:tcPr>
            <w:tcW w:w="567" w:type="dxa"/>
            <w:vAlign w:val="center"/>
          </w:tcPr>
          <w:p w14:paraId="3B567DC8"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0243DAC" w14:textId="77777777" w:rsidR="007F3128" w:rsidRPr="00F658A6" w:rsidRDefault="007F3128" w:rsidP="00F608A7">
            <w:pPr>
              <w:tabs>
                <w:tab w:val="left" w:pos="1277"/>
              </w:tabs>
              <w:jc w:val="left"/>
              <w:rPr>
                <w:sz w:val="16"/>
                <w:szCs w:val="16"/>
              </w:rPr>
            </w:pPr>
            <w:r w:rsidRPr="00F658A6">
              <w:rPr>
                <w:sz w:val="16"/>
                <w:szCs w:val="16"/>
              </w:rPr>
              <w:t>Rony Sixta Sop (Sobrino)</w:t>
            </w:r>
          </w:p>
        </w:tc>
      </w:tr>
      <w:tr w:rsidR="007F3128" w:rsidRPr="00F658A6" w14:paraId="64A44D45" w14:textId="77777777" w:rsidTr="00F608A7">
        <w:tc>
          <w:tcPr>
            <w:tcW w:w="560" w:type="dxa"/>
            <w:gridSpan w:val="2"/>
            <w:vMerge w:val="restart"/>
            <w:vAlign w:val="center"/>
          </w:tcPr>
          <w:p w14:paraId="0EEF056C" w14:textId="77777777" w:rsidR="007F3128" w:rsidRPr="00F658A6" w:rsidRDefault="007F3128" w:rsidP="00F608A7">
            <w:pPr>
              <w:jc w:val="left"/>
              <w:rPr>
                <w:sz w:val="16"/>
                <w:szCs w:val="16"/>
              </w:rPr>
            </w:pPr>
            <w:r w:rsidRPr="00F658A6">
              <w:rPr>
                <w:sz w:val="16"/>
                <w:szCs w:val="16"/>
              </w:rPr>
              <w:t>45</w:t>
            </w:r>
          </w:p>
        </w:tc>
        <w:tc>
          <w:tcPr>
            <w:tcW w:w="2950" w:type="dxa"/>
            <w:vMerge w:val="restart"/>
            <w:vAlign w:val="center"/>
          </w:tcPr>
          <w:p w14:paraId="02AFC157" w14:textId="15E47C62" w:rsidR="007F3128" w:rsidRPr="00F658A6" w:rsidRDefault="007F3128" w:rsidP="00F608A7">
            <w:pPr>
              <w:jc w:val="left"/>
              <w:rPr>
                <w:sz w:val="16"/>
                <w:szCs w:val="16"/>
              </w:rPr>
            </w:pPr>
            <w:r w:rsidRPr="00F658A6">
              <w:rPr>
                <w:sz w:val="16"/>
                <w:szCs w:val="16"/>
              </w:rPr>
              <w:t>Jorge Armando Tavare</w:t>
            </w:r>
            <w:r w:rsidR="0033543A" w:rsidRPr="00F658A6">
              <w:rPr>
                <w:sz w:val="16"/>
                <w:szCs w:val="16"/>
              </w:rPr>
              <w:t>s</w:t>
            </w:r>
            <w:r w:rsidRPr="00F658A6">
              <w:rPr>
                <w:sz w:val="16"/>
                <w:szCs w:val="16"/>
              </w:rPr>
              <w:t xml:space="preserve"> Barreno</w:t>
            </w:r>
          </w:p>
        </w:tc>
        <w:tc>
          <w:tcPr>
            <w:tcW w:w="567" w:type="dxa"/>
            <w:vAlign w:val="center"/>
          </w:tcPr>
          <w:p w14:paraId="2B98EB47"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486DBA0" w14:textId="77777777" w:rsidR="007F3128" w:rsidRPr="00F658A6" w:rsidRDefault="007F3128" w:rsidP="00F608A7">
            <w:pPr>
              <w:tabs>
                <w:tab w:val="left" w:pos="1277"/>
              </w:tabs>
              <w:jc w:val="left"/>
              <w:rPr>
                <w:sz w:val="16"/>
                <w:szCs w:val="16"/>
              </w:rPr>
            </w:pPr>
            <w:r w:rsidRPr="00F658A6">
              <w:rPr>
                <w:sz w:val="16"/>
                <w:szCs w:val="16"/>
              </w:rPr>
              <w:t>Brenda Magaly Cardona Rodríguez (Esposa)</w:t>
            </w:r>
          </w:p>
        </w:tc>
      </w:tr>
      <w:tr w:rsidR="007F3128" w:rsidRPr="00F658A6" w14:paraId="1F1C765D" w14:textId="77777777" w:rsidTr="00F608A7">
        <w:tc>
          <w:tcPr>
            <w:tcW w:w="560" w:type="dxa"/>
            <w:gridSpan w:val="2"/>
            <w:vMerge/>
            <w:vAlign w:val="center"/>
          </w:tcPr>
          <w:p w14:paraId="0E3544D8" w14:textId="77777777" w:rsidR="007F3128" w:rsidRPr="00F658A6" w:rsidRDefault="007F3128" w:rsidP="00F608A7">
            <w:pPr>
              <w:jc w:val="left"/>
              <w:rPr>
                <w:sz w:val="16"/>
                <w:szCs w:val="16"/>
              </w:rPr>
            </w:pPr>
          </w:p>
        </w:tc>
        <w:tc>
          <w:tcPr>
            <w:tcW w:w="2950" w:type="dxa"/>
            <w:vMerge/>
            <w:vAlign w:val="center"/>
          </w:tcPr>
          <w:p w14:paraId="2C9EDC80" w14:textId="77777777" w:rsidR="007F3128" w:rsidRPr="00F658A6" w:rsidRDefault="007F3128" w:rsidP="00F608A7">
            <w:pPr>
              <w:jc w:val="left"/>
              <w:rPr>
                <w:sz w:val="16"/>
                <w:szCs w:val="16"/>
              </w:rPr>
            </w:pPr>
          </w:p>
        </w:tc>
        <w:tc>
          <w:tcPr>
            <w:tcW w:w="567" w:type="dxa"/>
            <w:vAlign w:val="center"/>
          </w:tcPr>
          <w:p w14:paraId="657DDFA8"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28FA22F9" w14:textId="37B90C15" w:rsidR="007F3128" w:rsidRPr="00F658A6" w:rsidRDefault="00DB33B9" w:rsidP="00F608A7">
            <w:pPr>
              <w:tabs>
                <w:tab w:val="left" w:pos="1277"/>
              </w:tabs>
              <w:jc w:val="left"/>
              <w:rPr>
                <w:sz w:val="16"/>
                <w:szCs w:val="16"/>
              </w:rPr>
            </w:pPr>
            <w:r w:rsidRPr="00F658A6">
              <w:rPr>
                <w:sz w:val="16"/>
                <w:szCs w:val="16"/>
              </w:rPr>
              <w:t>Jimmy Armando Tavares</w:t>
            </w:r>
            <w:r w:rsidR="007F3128" w:rsidRPr="00F658A6">
              <w:rPr>
                <w:sz w:val="16"/>
                <w:szCs w:val="16"/>
              </w:rPr>
              <w:t xml:space="preserve"> Cardona (Hijo)</w:t>
            </w:r>
          </w:p>
        </w:tc>
      </w:tr>
      <w:tr w:rsidR="007F3128" w:rsidRPr="00F658A6" w14:paraId="3945A2D7" w14:textId="77777777" w:rsidTr="00F608A7">
        <w:tc>
          <w:tcPr>
            <w:tcW w:w="560" w:type="dxa"/>
            <w:gridSpan w:val="2"/>
            <w:vMerge/>
            <w:vAlign w:val="center"/>
          </w:tcPr>
          <w:p w14:paraId="21F58157" w14:textId="77777777" w:rsidR="007F3128" w:rsidRPr="00F658A6" w:rsidRDefault="007F3128" w:rsidP="00F608A7">
            <w:pPr>
              <w:jc w:val="left"/>
              <w:rPr>
                <w:sz w:val="16"/>
                <w:szCs w:val="16"/>
              </w:rPr>
            </w:pPr>
          </w:p>
        </w:tc>
        <w:tc>
          <w:tcPr>
            <w:tcW w:w="2950" w:type="dxa"/>
            <w:vMerge/>
            <w:vAlign w:val="center"/>
          </w:tcPr>
          <w:p w14:paraId="626F98E1" w14:textId="77777777" w:rsidR="007F3128" w:rsidRPr="00F658A6" w:rsidRDefault="007F3128" w:rsidP="00F608A7">
            <w:pPr>
              <w:jc w:val="left"/>
              <w:rPr>
                <w:sz w:val="16"/>
                <w:szCs w:val="16"/>
              </w:rPr>
            </w:pPr>
          </w:p>
        </w:tc>
        <w:tc>
          <w:tcPr>
            <w:tcW w:w="567" w:type="dxa"/>
            <w:vAlign w:val="center"/>
          </w:tcPr>
          <w:p w14:paraId="6E48EB5E"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7E7A6A1C" w14:textId="77777777" w:rsidR="007F3128" w:rsidRPr="00F658A6" w:rsidRDefault="007F3128" w:rsidP="00F608A7">
            <w:pPr>
              <w:tabs>
                <w:tab w:val="left" w:pos="1277"/>
              </w:tabs>
              <w:jc w:val="left"/>
              <w:rPr>
                <w:sz w:val="16"/>
                <w:szCs w:val="16"/>
              </w:rPr>
            </w:pPr>
            <w:r w:rsidRPr="00F658A6">
              <w:rPr>
                <w:sz w:val="16"/>
                <w:szCs w:val="16"/>
              </w:rPr>
              <w:t>Loidy Nohemí Tavares Cardona (Hija)</w:t>
            </w:r>
          </w:p>
        </w:tc>
      </w:tr>
      <w:tr w:rsidR="007F3128" w:rsidRPr="00F658A6" w14:paraId="65C50116" w14:textId="77777777" w:rsidTr="00F608A7">
        <w:tc>
          <w:tcPr>
            <w:tcW w:w="560" w:type="dxa"/>
            <w:gridSpan w:val="2"/>
            <w:vMerge/>
            <w:vAlign w:val="center"/>
          </w:tcPr>
          <w:p w14:paraId="3F84F6E2" w14:textId="77777777" w:rsidR="007F3128" w:rsidRPr="00F658A6" w:rsidRDefault="007F3128" w:rsidP="00F608A7">
            <w:pPr>
              <w:jc w:val="left"/>
              <w:rPr>
                <w:sz w:val="16"/>
                <w:szCs w:val="16"/>
              </w:rPr>
            </w:pPr>
          </w:p>
        </w:tc>
        <w:tc>
          <w:tcPr>
            <w:tcW w:w="2950" w:type="dxa"/>
            <w:vMerge/>
            <w:vAlign w:val="center"/>
          </w:tcPr>
          <w:p w14:paraId="6B0021B4" w14:textId="77777777" w:rsidR="007F3128" w:rsidRPr="00F658A6" w:rsidRDefault="007F3128" w:rsidP="00F608A7">
            <w:pPr>
              <w:jc w:val="left"/>
              <w:rPr>
                <w:sz w:val="16"/>
                <w:szCs w:val="16"/>
              </w:rPr>
            </w:pPr>
          </w:p>
        </w:tc>
        <w:tc>
          <w:tcPr>
            <w:tcW w:w="567" w:type="dxa"/>
            <w:vAlign w:val="center"/>
          </w:tcPr>
          <w:p w14:paraId="7F19DBEA"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1E16A502" w14:textId="77777777" w:rsidR="007F3128" w:rsidRPr="00F658A6" w:rsidRDefault="007F3128" w:rsidP="00F608A7">
            <w:pPr>
              <w:tabs>
                <w:tab w:val="left" w:pos="1277"/>
              </w:tabs>
              <w:jc w:val="left"/>
              <w:rPr>
                <w:sz w:val="16"/>
                <w:szCs w:val="16"/>
              </w:rPr>
            </w:pPr>
            <w:r w:rsidRPr="00F658A6">
              <w:rPr>
                <w:sz w:val="16"/>
                <w:szCs w:val="16"/>
              </w:rPr>
              <w:t>Sara Barreno Arrango (Madre)</w:t>
            </w:r>
          </w:p>
        </w:tc>
      </w:tr>
      <w:tr w:rsidR="007F3128" w:rsidRPr="00F658A6" w14:paraId="4FD8DA4F" w14:textId="77777777" w:rsidTr="00F608A7">
        <w:tc>
          <w:tcPr>
            <w:tcW w:w="560" w:type="dxa"/>
            <w:gridSpan w:val="2"/>
            <w:vMerge/>
            <w:vAlign w:val="center"/>
          </w:tcPr>
          <w:p w14:paraId="51C78E25" w14:textId="77777777" w:rsidR="007F3128" w:rsidRPr="00F658A6" w:rsidRDefault="007F3128" w:rsidP="00F608A7">
            <w:pPr>
              <w:jc w:val="left"/>
              <w:rPr>
                <w:sz w:val="16"/>
                <w:szCs w:val="16"/>
              </w:rPr>
            </w:pPr>
          </w:p>
        </w:tc>
        <w:tc>
          <w:tcPr>
            <w:tcW w:w="2950" w:type="dxa"/>
            <w:vMerge/>
            <w:vAlign w:val="center"/>
          </w:tcPr>
          <w:p w14:paraId="6FA50385" w14:textId="77777777" w:rsidR="007F3128" w:rsidRPr="00F658A6" w:rsidRDefault="007F3128" w:rsidP="00F608A7">
            <w:pPr>
              <w:jc w:val="left"/>
              <w:rPr>
                <w:sz w:val="16"/>
                <w:szCs w:val="16"/>
              </w:rPr>
            </w:pPr>
          </w:p>
        </w:tc>
        <w:tc>
          <w:tcPr>
            <w:tcW w:w="567" w:type="dxa"/>
            <w:vAlign w:val="center"/>
          </w:tcPr>
          <w:p w14:paraId="2884FC9B"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0DB8062" w14:textId="77777777" w:rsidR="007F3128" w:rsidRPr="00F658A6" w:rsidRDefault="007F3128" w:rsidP="00F608A7">
            <w:pPr>
              <w:tabs>
                <w:tab w:val="left" w:pos="1277"/>
              </w:tabs>
              <w:jc w:val="left"/>
              <w:rPr>
                <w:sz w:val="16"/>
                <w:szCs w:val="16"/>
              </w:rPr>
            </w:pPr>
            <w:r w:rsidRPr="00F658A6">
              <w:rPr>
                <w:sz w:val="16"/>
                <w:szCs w:val="16"/>
              </w:rPr>
              <w:t>Francisco Tavares García (Padre)</w:t>
            </w:r>
          </w:p>
        </w:tc>
      </w:tr>
      <w:tr w:rsidR="007F3128" w:rsidRPr="00F658A6" w14:paraId="64C44A77" w14:textId="77777777" w:rsidTr="00F608A7">
        <w:tc>
          <w:tcPr>
            <w:tcW w:w="560" w:type="dxa"/>
            <w:gridSpan w:val="2"/>
            <w:vMerge/>
            <w:vAlign w:val="center"/>
          </w:tcPr>
          <w:p w14:paraId="4D3BF711" w14:textId="77777777" w:rsidR="007F3128" w:rsidRPr="00F658A6" w:rsidRDefault="007F3128" w:rsidP="00F608A7">
            <w:pPr>
              <w:jc w:val="left"/>
              <w:rPr>
                <w:sz w:val="16"/>
                <w:szCs w:val="16"/>
              </w:rPr>
            </w:pPr>
          </w:p>
        </w:tc>
        <w:tc>
          <w:tcPr>
            <w:tcW w:w="2950" w:type="dxa"/>
            <w:vMerge/>
            <w:vAlign w:val="center"/>
          </w:tcPr>
          <w:p w14:paraId="1082365F" w14:textId="77777777" w:rsidR="007F3128" w:rsidRPr="00F658A6" w:rsidRDefault="007F3128" w:rsidP="00F608A7">
            <w:pPr>
              <w:jc w:val="left"/>
              <w:rPr>
                <w:sz w:val="16"/>
                <w:szCs w:val="16"/>
              </w:rPr>
            </w:pPr>
          </w:p>
        </w:tc>
        <w:tc>
          <w:tcPr>
            <w:tcW w:w="567" w:type="dxa"/>
            <w:vAlign w:val="center"/>
          </w:tcPr>
          <w:p w14:paraId="6E6CA344"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58C04FDA" w14:textId="77777777" w:rsidR="007F3128" w:rsidRPr="00F658A6" w:rsidRDefault="007F3128" w:rsidP="00F608A7">
            <w:pPr>
              <w:tabs>
                <w:tab w:val="left" w:pos="1277"/>
              </w:tabs>
              <w:jc w:val="left"/>
              <w:rPr>
                <w:sz w:val="16"/>
                <w:szCs w:val="16"/>
              </w:rPr>
            </w:pPr>
            <w:r w:rsidRPr="00F658A6">
              <w:rPr>
                <w:sz w:val="16"/>
                <w:szCs w:val="16"/>
              </w:rPr>
              <w:t>Rosaura Tavares de León (Hermana)</w:t>
            </w:r>
          </w:p>
        </w:tc>
      </w:tr>
      <w:tr w:rsidR="007F3128" w:rsidRPr="00F658A6" w14:paraId="318CBC53" w14:textId="77777777" w:rsidTr="00F608A7">
        <w:tc>
          <w:tcPr>
            <w:tcW w:w="560" w:type="dxa"/>
            <w:gridSpan w:val="2"/>
            <w:vMerge/>
            <w:vAlign w:val="center"/>
          </w:tcPr>
          <w:p w14:paraId="5969A320" w14:textId="77777777" w:rsidR="007F3128" w:rsidRPr="00F658A6" w:rsidRDefault="007F3128" w:rsidP="00F608A7">
            <w:pPr>
              <w:jc w:val="left"/>
              <w:rPr>
                <w:sz w:val="16"/>
                <w:szCs w:val="16"/>
              </w:rPr>
            </w:pPr>
          </w:p>
        </w:tc>
        <w:tc>
          <w:tcPr>
            <w:tcW w:w="2950" w:type="dxa"/>
            <w:vMerge/>
            <w:vAlign w:val="center"/>
          </w:tcPr>
          <w:p w14:paraId="44A3F20B" w14:textId="77777777" w:rsidR="007F3128" w:rsidRPr="00F658A6" w:rsidRDefault="007F3128" w:rsidP="00F608A7">
            <w:pPr>
              <w:jc w:val="left"/>
              <w:rPr>
                <w:sz w:val="16"/>
                <w:szCs w:val="16"/>
              </w:rPr>
            </w:pPr>
          </w:p>
        </w:tc>
        <w:tc>
          <w:tcPr>
            <w:tcW w:w="567" w:type="dxa"/>
            <w:vAlign w:val="center"/>
          </w:tcPr>
          <w:p w14:paraId="60896DA8"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1340A1D2" w14:textId="77777777" w:rsidR="007F3128" w:rsidRPr="00F658A6" w:rsidRDefault="007F3128" w:rsidP="00F608A7">
            <w:pPr>
              <w:tabs>
                <w:tab w:val="left" w:pos="1277"/>
              </w:tabs>
              <w:jc w:val="left"/>
              <w:rPr>
                <w:sz w:val="16"/>
                <w:szCs w:val="16"/>
              </w:rPr>
            </w:pPr>
            <w:r w:rsidRPr="00F658A6">
              <w:rPr>
                <w:sz w:val="16"/>
                <w:szCs w:val="16"/>
              </w:rPr>
              <w:t>Clarisa Eberatriz Rodríguez (Suegra)</w:t>
            </w:r>
          </w:p>
        </w:tc>
      </w:tr>
      <w:tr w:rsidR="007F3128" w:rsidRPr="00F658A6" w14:paraId="51FE590A" w14:textId="77777777" w:rsidTr="00F608A7">
        <w:tc>
          <w:tcPr>
            <w:tcW w:w="560" w:type="dxa"/>
            <w:gridSpan w:val="2"/>
            <w:vMerge/>
            <w:vAlign w:val="center"/>
          </w:tcPr>
          <w:p w14:paraId="7F21771E" w14:textId="77777777" w:rsidR="007F3128" w:rsidRPr="00F658A6" w:rsidRDefault="007F3128" w:rsidP="00F608A7">
            <w:pPr>
              <w:jc w:val="left"/>
              <w:rPr>
                <w:sz w:val="16"/>
                <w:szCs w:val="16"/>
              </w:rPr>
            </w:pPr>
          </w:p>
        </w:tc>
        <w:tc>
          <w:tcPr>
            <w:tcW w:w="2950" w:type="dxa"/>
            <w:vMerge/>
            <w:vAlign w:val="center"/>
          </w:tcPr>
          <w:p w14:paraId="41E3B83A" w14:textId="77777777" w:rsidR="007F3128" w:rsidRPr="00F658A6" w:rsidRDefault="007F3128" w:rsidP="00F608A7">
            <w:pPr>
              <w:jc w:val="left"/>
              <w:rPr>
                <w:sz w:val="16"/>
                <w:szCs w:val="16"/>
              </w:rPr>
            </w:pPr>
          </w:p>
        </w:tc>
        <w:tc>
          <w:tcPr>
            <w:tcW w:w="567" w:type="dxa"/>
            <w:vAlign w:val="center"/>
          </w:tcPr>
          <w:p w14:paraId="581F6C59"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488C8605" w14:textId="77777777" w:rsidR="007F3128" w:rsidRPr="00F658A6" w:rsidRDefault="007F3128" w:rsidP="00F608A7">
            <w:pPr>
              <w:tabs>
                <w:tab w:val="left" w:pos="1277"/>
              </w:tabs>
              <w:jc w:val="left"/>
              <w:rPr>
                <w:sz w:val="16"/>
                <w:szCs w:val="16"/>
              </w:rPr>
            </w:pPr>
            <w:r w:rsidRPr="00F658A6">
              <w:rPr>
                <w:sz w:val="16"/>
                <w:szCs w:val="16"/>
              </w:rPr>
              <w:t>Mario Eduardo Tavares de León (Hermano)</w:t>
            </w:r>
          </w:p>
        </w:tc>
      </w:tr>
      <w:tr w:rsidR="007F3128" w:rsidRPr="00F658A6" w14:paraId="7B404DD4" w14:textId="77777777" w:rsidTr="00F608A7">
        <w:tc>
          <w:tcPr>
            <w:tcW w:w="560" w:type="dxa"/>
            <w:gridSpan w:val="2"/>
            <w:vMerge/>
            <w:vAlign w:val="center"/>
          </w:tcPr>
          <w:p w14:paraId="25AAABB4" w14:textId="77777777" w:rsidR="007F3128" w:rsidRPr="00F658A6" w:rsidRDefault="007F3128" w:rsidP="00F608A7">
            <w:pPr>
              <w:jc w:val="left"/>
              <w:rPr>
                <w:sz w:val="16"/>
                <w:szCs w:val="16"/>
              </w:rPr>
            </w:pPr>
          </w:p>
        </w:tc>
        <w:tc>
          <w:tcPr>
            <w:tcW w:w="2950" w:type="dxa"/>
            <w:vMerge/>
            <w:vAlign w:val="center"/>
          </w:tcPr>
          <w:p w14:paraId="1F89CE6B" w14:textId="77777777" w:rsidR="007F3128" w:rsidRPr="00F658A6" w:rsidRDefault="007F3128" w:rsidP="00F608A7">
            <w:pPr>
              <w:jc w:val="left"/>
              <w:rPr>
                <w:sz w:val="16"/>
                <w:szCs w:val="16"/>
              </w:rPr>
            </w:pPr>
          </w:p>
        </w:tc>
        <w:tc>
          <w:tcPr>
            <w:tcW w:w="567" w:type="dxa"/>
            <w:vAlign w:val="center"/>
          </w:tcPr>
          <w:p w14:paraId="04C090ED"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6A849475" w14:textId="77777777" w:rsidR="007F3128" w:rsidRPr="00F658A6" w:rsidRDefault="007F3128" w:rsidP="00F608A7">
            <w:pPr>
              <w:tabs>
                <w:tab w:val="left" w:pos="1277"/>
              </w:tabs>
              <w:jc w:val="left"/>
              <w:rPr>
                <w:sz w:val="16"/>
                <w:szCs w:val="16"/>
              </w:rPr>
            </w:pPr>
            <w:r w:rsidRPr="00F658A6">
              <w:rPr>
                <w:sz w:val="16"/>
                <w:szCs w:val="16"/>
              </w:rPr>
              <w:t>Jose Francisco Tavares de León (Hermano)</w:t>
            </w:r>
          </w:p>
        </w:tc>
      </w:tr>
      <w:tr w:rsidR="007F3128" w:rsidRPr="00F658A6" w14:paraId="77CE8A42" w14:textId="77777777" w:rsidTr="00F608A7">
        <w:tc>
          <w:tcPr>
            <w:tcW w:w="560" w:type="dxa"/>
            <w:gridSpan w:val="2"/>
            <w:vMerge w:val="restart"/>
            <w:vAlign w:val="center"/>
          </w:tcPr>
          <w:p w14:paraId="6CF6AB7C" w14:textId="77777777" w:rsidR="007F3128" w:rsidRPr="00F658A6" w:rsidRDefault="007F3128" w:rsidP="00F608A7">
            <w:pPr>
              <w:jc w:val="left"/>
              <w:rPr>
                <w:sz w:val="16"/>
                <w:szCs w:val="16"/>
              </w:rPr>
            </w:pPr>
            <w:r w:rsidRPr="00F658A6">
              <w:rPr>
                <w:sz w:val="16"/>
                <w:szCs w:val="16"/>
              </w:rPr>
              <w:t>46</w:t>
            </w:r>
          </w:p>
        </w:tc>
        <w:tc>
          <w:tcPr>
            <w:tcW w:w="2950" w:type="dxa"/>
            <w:vMerge w:val="restart"/>
            <w:vAlign w:val="center"/>
          </w:tcPr>
          <w:p w14:paraId="4E1D9C6C" w14:textId="7984737F" w:rsidR="007F3128" w:rsidRPr="00F658A6" w:rsidRDefault="003C5C55" w:rsidP="00F608A7">
            <w:pPr>
              <w:jc w:val="left"/>
              <w:rPr>
                <w:sz w:val="16"/>
                <w:szCs w:val="16"/>
              </w:rPr>
            </w:pPr>
            <w:r w:rsidRPr="00F658A6">
              <w:rPr>
                <w:sz w:val="16"/>
                <w:szCs w:val="16"/>
              </w:rPr>
              <w:t>Miguel Lucas Vaí</w:t>
            </w:r>
            <w:r w:rsidR="007F3128" w:rsidRPr="00F658A6">
              <w:rPr>
                <w:sz w:val="16"/>
                <w:szCs w:val="16"/>
              </w:rPr>
              <w:t>l</w:t>
            </w:r>
          </w:p>
        </w:tc>
        <w:tc>
          <w:tcPr>
            <w:tcW w:w="567" w:type="dxa"/>
            <w:vAlign w:val="center"/>
          </w:tcPr>
          <w:p w14:paraId="6106B61F"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985A9C3" w14:textId="1E575D3E" w:rsidR="007F3128" w:rsidRPr="00F658A6" w:rsidRDefault="007F3128" w:rsidP="00F608A7">
            <w:pPr>
              <w:tabs>
                <w:tab w:val="left" w:pos="1277"/>
              </w:tabs>
              <w:jc w:val="left"/>
              <w:rPr>
                <w:sz w:val="16"/>
                <w:szCs w:val="16"/>
              </w:rPr>
            </w:pPr>
            <w:r w:rsidRPr="00F658A6">
              <w:rPr>
                <w:sz w:val="16"/>
                <w:szCs w:val="16"/>
              </w:rPr>
              <w:t xml:space="preserve">María Dominga Miranda </w:t>
            </w:r>
            <w:r w:rsidR="000E550E" w:rsidRPr="00F658A6">
              <w:rPr>
                <w:sz w:val="16"/>
                <w:szCs w:val="16"/>
              </w:rPr>
              <w:t xml:space="preserve">Bámac </w:t>
            </w:r>
            <w:r w:rsidRPr="00F658A6">
              <w:rPr>
                <w:sz w:val="16"/>
                <w:szCs w:val="16"/>
              </w:rPr>
              <w:t>(Esposa fallecida)</w:t>
            </w:r>
          </w:p>
        </w:tc>
      </w:tr>
      <w:tr w:rsidR="007F3128" w:rsidRPr="00F658A6" w14:paraId="10B959F7" w14:textId="77777777" w:rsidTr="00F608A7">
        <w:tc>
          <w:tcPr>
            <w:tcW w:w="560" w:type="dxa"/>
            <w:gridSpan w:val="2"/>
            <w:vMerge/>
            <w:vAlign w:val="center"/>
          </w:tcPr>
          <w:p w14:paraId="499AFFCF" w14:textId="77777777" w:rsidR="007F3128" w:rsidRPr="00F658A6" w:rsidRDefault="007F3128" w:rsidP="00F608A7">
            <w:pPr>
              <w:jc w:val="left"/>
              <w:rPr>
                <w:sz w:val="16"/>
                <w:szCs w:val="16"/>
              </w:rPr>
            </w:pPr>
          </w:p>
        </w:tc>
        <w:tc>
          <w:tcPr>
            <w:tcW w:w="2950" w:type="dxa"/>
            <w:vMerge/>
            <w:vAlign w:val="center"/>
          </w:tcPr>
          <w:p w14:paraId="5A548F60" w14:textId="77777777" w:rsidR="007F3128" w:rsidRPr="00F658A6" w:rsidRDefault="007F3128" w:rsidP="00F608A7">
            <w:pPr>
              <w:jc w:val="left"/>
              <w:rPr>
                <w:sz w:val="16"/>
                <w:szCs w:val="16"/>
              </w:rPr>
            </w:pPr>
          </w:p>
        </w:tc>
        <w:tc>
          <w:tcPr>
            <w:tcW w:w="567" w:type="dxa"/>
            <w:vAlign w:val="center"/>
          </w:tcPr>
          <w:p w14:paraId="790D3448"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0A9BA944" w14:textId="77777777" w:rsidR="007F3128" w:rsidRPr="00F658A6" w:rsidRDefault="007F3128" w:rsidP="00F608A7">
            <w:pPr>
              <w:tabs>
                <w:tab w:val="left" w:pos="1277"/>
              </w:tabs>
              <w:jc w:val="left"/>
              <w:rPr>
                <w:sz w:val="16"/>
                <w:szCs w:val="16"/>
              </w:rPr>
            </w:pPr>
            <w:r w:rsidRPr="00F658A6">
              <w:rPr>
                <w:sz w:val="16"/>
                <w:szCs w:val="16"/>
              </w:rPr>
              <w:t>Ramón Lucas Miranda (Hijo)</w:t>
            </w:r>
          </w:p>
        </w:tc>
      </w:tr>
      <w:tr w:rsidR="007F3128" w:rsidRPr="00F658A6" w14:paraId="2F6107A2" w14:textId="77777777" w:rsidTr="00F608A7">
        <w:tc>
          <w:tcPr>
            <w:tcW w:w="560" w:type="dxa"/>
            <w:gridSpan w:val="2"/>
            <w:vMerge/>
            <w:vAlign w:val="center"/>
          </w:tcPr>
          <w:p w14:paraId="31BD1E6A" w14:textId="77777777" w:rsidR="007F3128" w:rsidRPr="00F658A6" w:rsidRDefault="007F3128" w:rsidP="00F608A7">
            <w:pPr>
              <w:jc w:val="left"/>
              <w:rPr>
                <w:sz w:val="16"/>
                <w:szCs w:val="16"/>
              </w:rPr>
            </w:pPr>
          </w:p>
        </w:tc>
        <w:tc>
          <w:tcPr>
            <w:tcW w:w="2950" w:type="dxa"/>
            <w:vMerge/>
            <w:vAlign w:val="center"/>
          </w:tcPr>
          <w:p w14:paraId="3F449F80" w14:textId="77777777" w:rsidR="007F3128" w:rsidRPr="00F658A6" w:rsidRDefault="007F3128" w:rsidP="00F608A7">
            <w:pPr>
              <w:jc w:val="left"/>
              <w:rPr>
                <w:sz w:val="16"/>
                <w:szCs w:val="16"/>
              </w:rPr>
            </w:pPr>
          </w:p>
        </w:tc>
        <w:tc>
          <w:tcPr>
            <w:tcW w:w="567" w:type="dxa"/>
            <w:vAlign w:val="center"/>
          </w:tcPr>
          <w:p w14:paraId="46A7C6EB"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2D8701E9" w14:textId="77777777" w:rsidR="007F3128" w:rsidRPr="00F658A6" w:rsidRDefault="007F3128" w:rsidP="00F608A7">
            <w:pPr>
              <w:jc w:val="left"/>
              <w:rPr>
                <w:sz w:val="16"/>
                <w:szCs w:val="16"/>
              </w:rPr>
            </w:pPr>
            <w:r w:rsidRPr="00F658A6">
              <w:rPr>
                <w:sz w:val="16"/>
                <w:szCs w:val="16"/>
              </w:rPr>
              <w:t>Romeo Lucas Miranda (Hijo)</w:t>
            </w:r>
          </w:p>
        </w:tc>
      </w:tr>
      <w:tr w:rsidR="007F3128" w:rsidRPr="00F658A6" w14:paraId="3B56DA14" w14:textId="77777777" w:rsidTr="00F608A7">
        <w:tc>
          <w:tcPr>
            <w:tcW w:w="560" w:type="dxa"/>
            <w:gridSpan w:val="2"/>
            <w:vMerge/>
            <w:vAlign w:val="center"/>
          </w:tcPr>
          <w:p w14:paraId="386EB056" w14:textId="77777777" w:rsidR="007F3128" w:rsidRPr="00F658A6" w:rsidRDefault="007F3128" w:rsidP="00F608A7">
            <w:pPr>
              <w:jc w:val="left"/>
              <w:rPr>
                <w:sz w:val="16"/>
                <w:szCs w:val="16"/>
              </w:rPr>
            </w:pPr>
          </w:p>
        </w:tc>
        <w:tc>
          <w:tcPr>
            <w:tcW w:w="2950" w:type="dxa"/>
            <w:vMerge/>
            <w:vAlign w:val="center"/>
          </w:tcPr>
          <w:p w14:paraId="096FAEF5" w14:textId="77777777" w:rsidR="007F3128" w:rsidRPr="00F658A6" w:rsidRDefault="007F3128" w:rsidP="00F608A7">
            <w:pPr>
              <w:jc w:val="left"/>
              <w:rPr>
                <w:sz w:val="16"/>
                <w:szCs w:val="16"/>
              </w:rPr>
            </w:pPr>
          </w:p>
        </w:tc>
        <w:tc>
          <w:tcPr>
            <w:tcW w:w="567" w:type="dxa"/>
            <w:vAlign w:val="center"/>
          </w:tcPr>
          <w:p w14:paraId="1C97AD12"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01D74AA2" w14:textId="77777777" w:rsidR="007F3128" w:rsidRPr="00F658A6" w:rsidRDefault="007F3128" w:rsidP="00F608A7">
            <w:pPr>
              <w:jc w:val="left"/>
              <w:rPr>
                <w:sz w:val="16"/>
                <w:szCs w:val="16"/>
              </w:rPr>
            </w:pPr>
            <w:r w:rsidRPr="00F658A6">
              <w:rPr>
                <w:sz w:val="16"/>
                <w:szCs w:val="16"/>
              </w:rPr>
              <w:t>Mario Romeo Lucas Miranda (Hijo)</w:t>
            </w:r>
          </w:p>
        </w:tc>
      </w:tr>
      <w:tr w:rsidR="007F3128" w:rsidRPr="00F658A6" w14:paraId="2433F5D4" w14:textId="77777777" w:rsidTr="00F608A7">
        <w:tc>
          <w:tcPr>
            <w:tcW w:w="560" w:type="dxa"/>
            <w:gridSpan w:val="2"/>
            <w:vMerge/>
            <w:vAlign w:val="center"/>
          </w:tcPr>
          <w:p w14:paraId="0DF91813" w14:textId="77777777" w:rsidR="007F3128" w:rsidRPr="00F658A6" w:rsidRDefault="007F3128" w:rsidP="00F608A7">
            <w:pPr>
              <w:jc w:val="left"/>
              <w:rPr>
                <w:sz w:val="16"/>
                <w:szCs w:val="16"/>
              </w:rPr>
            </w:pPr>
          </w:p>
        </w:tc>
        <w:tc>
          <w:tcPr>
            <w:tcW w:w="2950" w:type="dxa"/>
            <w:vMerge/>
            <w:vAlign w:val="center"/>
          </w:tcPr>
          <w:p w14:paraId="281D3D1D" w14:textId="77777777" w:rsidR="007F3128" w:rsidRPr="00F658A6" w:rsidRDefault="007F3128" w:rsidP="00F608A7">
            <w:pPr>
              <w:jc w:val="left"/>
              <w:rPr>
                <w:sz w:val="16"/>
                <w:szCs w:val="16"/>
              </w:rPr>
            </w:pPr>
          </w:p>
        </w:tc>
        <w:tc>
          <w:tcPr>
            <w:tcW w:w="567" w:type="dxa"/>
            <w:vAlign w:val="center"/>
          </w:tcPr>
          <w:p w14:paraId="04BE3B75"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0FBBAA5" w14:textId="77777777" w:rsidR="007F3128" w:rsidRPr="00F658A6" w:rsidRDefault="007F3128" w:rsidP="00F608A7">
            <w:pPr>
              <w:jc w:val="left"/>
              <w:rPr>
                <w:sz w:val="16"/>
                <w:szCs w:val="16"/>
              </w:rPr>
            </w:pPr>
            <w:r w:rsidRPr="00F658A6">
              <w:rPr>
                <w:sz w:val="16"/>
                <w:szCs w:val="16"/>
              </w:rPr>
              <w:t>Miguel Lucas Miranda (Hijo)</w:t>
            </w:r>
          </w:p>
        </w:tc>
      </w:tr>
      <w:tr w:rsidR="007F3128" w:rsidRPr="00F658A6" w14:paraId="11F0F4EF" w14:textId="77777777" w:rsidTr="00F608A7">
        <w:tc>
          <w:tcPr>
            <w:tcW w:w="560" w:type="dxa"/>
            <w:gridSpan w:val="2"/>
            <w:vMerge/>
            <w:vAlign w:val="center"/>
          </w:tcPr>
          <w:p w14:paraId="786A8E18" w14:textId="77777777" w:rsidR="007F3128" w:rsidRPr="00F658A6" w:rsidRDefault="007F3128" w:rsidP="00F608A7">
            <w:pPr>
              <w:jc w:val="left"/>
              <w:rPr>
                <w:sz w:val="16"/>
                <w:szCs w:val="16"/>
              </w:rPr>
            </w:pPr>
          </w:p>
        </w:tc>
        <w:tc>
          <w:tcPr>
            <w:tcW w:w="2950" w:type="dxa"/>
            <w:vMerge/>
            <w:vAlign w:val="center"/>
          </w:tcPr>
          <w:p w14:paraId="2ADA24E2" w14:textId="77777777" w:rsidR="007F3128" w:rsidRPr="00F658A6" w:rsidRDefault="007F3128" w:rsidP="00F608A7">
            <w:pPr>
              <w:jc w:val="left"/>
              <w:rPr>
                <w:sz w:val="16"/>
                <w:szCs w:val="16"/>
              </w:rPr>
            </w:pPr>
          </w:p>
        </w:tc>
        <w:tc>
          <w:tcPr>
            <w:tcW w:w="567" w:type="dxa"/>
            <w:vAlign w:val="center"/>
          </w:tcPr>
          <w:p w14:paraId="0DC5B6D0"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750312B1" w14:textId="77777777" w:rsidR="007F3128" w:rsidRPr="00F658A6" w:rsidRDefault="007F3128" w:rsidP="00F608A7">
            <w:pPr>
              <w:jc w:val="left"/>
              <w:rPr>
                <w:sz w:val="16"/>
                <w:szCs w:val="16"/>
              </w:rPr>
            </w:pPr>
            <w:r w:rsidRPr="00F658A6">
              <w:rPr>
                <w:sz w:val="16"/>
                <w:szCs w:val="16"/>
              </w:rPr>
              <w:t>Silvia Marleny Lucas Miranda (Hija)</w:t>
            </w:r>
          </w:p>
        </w:tc>
      </w:tr>
      <w:tr w:rsidR="007F3128" w:rsidRPr="00F658A6" w14:paraId="6DF5A23A" w14:textId="77777777" w:rsidTr="00F608A7">
        <w:tc>
          <w:tcPr>
            <w:tcW w:w="560" w:type="dxa"/>
            <w:gridSpan w:val="2"/>
            <w:vMerge/>
            <w:vAlign w:val="center"/>
          </w:tcPr>
          <w:p w14:paraId="63F12633" w14:textId="77777777" w:rsidR="007F3128" w:rsidRPr="00F658A6" w:rsidRDefault="007F3128" w:rsidP="00F608A7">
            <w:pPr>
              <w:jc w:val="left"/>
              <w:rPr>
                <w:sz w:val="16"/>
                <w:szCs w:val="16"/>
              </w:rPr>
            </w:pPr>
          </w:p>
        </w:tc>
        <w:tc>
          <w:tcPr>
            <w:tcW w:w="2950" w:type="dxa"/>
            <w:vMerge/>
            <w:vAlign w:val="center"/>
          </w:tcPr>
          <w:p w14:paraId="35536744" w14:textId="77777777" w:rsidR="007F3128" w:rsidRPr="00F658A6" w:rsidRDefault="007F3128" w:rsidP="00F608A7">
            <w:pPr>
              <w:jc w:val="left"/>
              <w:rPr>
                <w:sz w:val="16"/>
                <w:szCs w:val="16"/>
              </w:rPr>
            </w:pPr>
          </w:p>
        </w:tc>
        <w:tc>
          <w:tcPr>
            <w:tcW w:w="567" w:type="dxa"/>
            <w:vAlign w:val="center"/>
          </w:tcPr>
          <w:p w14:paraId="5BAD7564"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287D676E" w14:textId="5795C4F5" w:rsidR="007F3128" w:rsidRPr="00F658A6" w:rsidRDefault="00CD1DBA" w:rsidP="00F608A7">
            <w:pPr>
              <w:jc w:val="left"/>
              <w:rPr>
                <w:sz w:val="16"/>
                <w:szCs w:val="16"/>
              </w:rPr>
            </w:pPr>
            <w:r w:rsidRPr="00F658A6">
              <w:rPr>
                <w:sz w:val="16"/>
                <w:szCs w:val="16"/>
              </w:rPr>
              <w:t>Jorge Luis</w:t>
            </w:r>
            <w:r w:rsidR="007F3128" w:rsidRPr="00F658A6">
              <w:rPr>
                <w:sz w:val="16"/>
                <w:szCs w:val="16"/>
              </w:rPr>
              <w:t xml:space="preserve"> Lucas Miranda (Hijo)</w:t>
            </w:r>
          </w:p>
        </w:tc>
      </w:tr>
      <w:tr w:rsidR="007F3128" w:rsidRPr="00F658A6" w14:paraId="58D15CF6" w14:textId="77777777" w:rsidTr="00F608A7">
        <w:tc>
          <w:tcPr>
            <w:tcW w:w="560" w:type="dxa"/>
            <w:gridSpan w:val="2"/>
            <w:vMerge/>
            <w:vAlign w:val="center"/>
          </w:tcPr>
          <w:p w14:paraId="035D7EEA" w14:textId="77777777" w:rsidR="007F3128" w:rsidRPr="00F658A6" w:rsidRDefault="007F3128" w:rsidP="00F608A7">
            <w:pPr>
              <w:jc w:val="left"/>
              <w:rPr>
                <w:sz w:val="16"/>
                <w:szCs w:val="16"/>
              </w:rPr>
            </w:pPr>
          </w:p>
        </w:tc>
        <w:tc>
          <w:tcPr>
            <w:tcW w:w="2950" w:type="dxa"/>
            <w:vMerge/>
            <w:vAlign w:val="center"/>
          </w:tcPr>
          <w:p w14:paraId="34DA8371" w14:textId="77777777" w:rsidR="007F3128" w:rsidRPr="00F658A6" w:rsidRDefault="007F3128" w:rsidP="00F608A7">
            <w:pPr>
              <w:jc w:val="left"/>
              <w:rPr>
                <w:sz w:val="16"/>
                <w:szCs w:val="16"/>
              </w:rPr>
            </w:pPr>
          </w:p>
        </w:tc>
        <w:tc>
          <w:tcPr>
            <w:tcW w:w="567" w:type="dxa"/>
            <w:vAlign w:val="center"/>
          </w:tcPr>
          <w:p w14:paraId="3DF154E0" w14:textId="77777777" w:rsidR="007F3128" w:rsidRPr="00F658A6" w:rsidRDefault="007F3128" w:rsidP="00F608A7">
            <w:pPr>
              <w:jc w:val="left"/>
              <w:rPr>
                <w:sz w:val="16"/>
                <w:szCs w:val="16"/>
              </w:rPr>
            </w:pPr>
            <w:r w:rsidRPr="00F658A6">
              <w:rPr>
                <w:sz w:val="16"/>
                <w:szCs w:val="16"/>
              </w:rPr>
              <w:t>8</w:t>
            </w:r>
          </w:p>
        </w:tc>
        <w:tc>
          <w:tcPr>
            <w:tcW w:w="4927" w:type="dxa"/>
            <w:vAlign w:val="center"/>
          </w:tcPr>
          <w:p w14:paraId="6E51F282" w14:textId="6875DBCA" w:rsidR="007F3128" w:rsidRPr="00F658A6" w:rsidRDefault="00CD1DBA" w:rsidP="00F608A7">
            <w:pPr>
              <w:jc w:val="left"/>
              <w:rPr>
                <w:sz w:val="16"/>
                <w:szCs w:val="16"/>
              </w:rPr>
            </w:pPr>
            <w:r w:rsidRPr="00F658A6">
              <w:rPr>
                <w:sz w:val="16"/>
                <w:szCs w:val="16"/>
              </w:rPr>
              <w:t>Adán</w:t>
            </w:r>
            <w:r w:rsidR="007F3128" w:rsidRPr="00F658A6">
              <w:rPr>
                <w:sz w:val="16"/>
                <w:szCs w:val="16"/>
              </w:rPr>
              <w:t xml:space="preserve"> Lucas Miranda (Hijo)</w:t>
            </w:r>
          </w:p>
        </w:tc>
      </w:tr>
      <w:tr w:rsidR="007F3128" w:rsidRPr="00F658A6" w14:paraId="47541B6A" w14:textId="77777777" w:rsidTr="00F608A7">
        <w:tc>
          <w:tcPr>
            <w:tcW w:w="560" w:type="dxa"/>
            <w:gridSpan w:val="2"/>
            <w:vMerge/>
            <w:vAlign w:val="center"/>
          </w:tcPr>
          <w:p w14:paraId="72E82D3E" w14:textId="77777777" w:rsidR="007F3128" w:rsidRPr="00F658A6" w:rsidRDefault="007F3128" w:rsidP="00F608A7">
            <w:pPr>
              <w:jc w:val="left"/>
              <w:rPr>
                <w:sz w:val="16"/>
                <w:szCs w:val="16"/>
              </w:rPr>
            </w:pPr>
          </w:p>
        </w:tc>
        <w:tc>
          <w:tcPr>
            <w:tcW w:w="2950" w:type="dxa"/>
            <w:vMerge/>
            <w:vAlign w:val="center"/>
          </w:tcPr>
          <w:p w14:paraId="501CA898" w14:textId="77777777" w:rsidR="007F3128" w:rsidRPr="00F658A6" w:rsidRDefault="007F3128" w:rsidP="00F608A7">
            <w:pPr>
              <w:jc w:val="left"/>
              <w:rPr>
                <w:sz w:val="16"/>
                <w:szCs w:val="16"/>
              </w:rPr>
            </w:pPr>
          </w:p>
        </w:tc>
        <w:tc>
          <w:tcPr>
            <w:tcW w:w="567" w:type="dxa"/>
            <w:vAlign w:val="center"/>
          </w:tcPr>
          <w:p w14:paraId="767CBFD5" w14:textId="77777777" w:rsidR="007F3128" w:rsidRPr="00F658A6" w:rsidRDefault="007F3128" w:rsidP="00F608A7">
            <w:pPr>
              <w:jc w:val="left"/>
              <w:rPr>
                <w:sz w:val="16"/>
                <w:szCs w:val="16"/>
              </w:rPr>
            </w:pPr>
            <w:r w:rsidRPr="00F658A6">
              <w:rPr>
                <w:sz w:val="16"/>
                <w:szCs w:val="16"/>
              </w:rPr>
              <w:t>9</w:t>
            </w:r>
          </w:p>
        </w:tc>
        <w:tc>
          <w:tcPr>
            <w:tcW w:w="4927" w:type="dxa"/>
            <w:vAlign w:val="center"/>
          </w:tcPr>
          <w:p w14:paraId="2AD84ECF" w14:textId="77777777" w:rsidR="007F3128" w:rsidRPr="00F658A6" w:rsidRDefault="007F3128" w:rsidP="00F608A7">
            <w:pPr>
              <w:jc w:val="left"/>
              <w:rPr>
                <w:sz w:val="16"/>
                <w:szCs w:val="16"/>
              </w:rPr>
            </w:pPr>
            <w:r w:rsidRPr="00F658A6">
              <w:rPr>
                <w:sz w:val="16"/>
                <w:szCs w:val="16"/>
              </w:rPr>
              <w:t>Juan Carlos Lucas Miranda (Hijo)</w:t>
            </w:r>
          </w:p>
        </w:tc>
      </w:tr>
      <w:tr w:rsidR="007F3128" w:rsidRPr="00F658A6" w14:paraId="1D2DB159" w14:textId="77777777" w:rsidTr="00F608A7">
        <w:tc>
          <w:tcPr>
            <w:tcW w:w="560" w:type="dxa"/>
            <w:gridSpan w:val="2"/>
            <w:vMerge/>
            <w:vAlign w:val="center"/>
          </w:tcPr>
          <w:p w14:paraId="00AC7E8A" w14:textId="77777777" w:rsidR="007F3128" w:rsidRPr="00F658A6" w:rsidRDefault="007F3128" w:rsidP="00F608A7">
            <w:pPr>
              <w:jc w:val="left"/>
              <w:rPr>
                <w:sz w:val="16"/>
                <w:szCs w:val="16"/>
              </w:rPr>
            </w:pPr>
          </w:p>
        </w:tc>
        <w:tc>
          <w:tcPr>
            <w:tcW w:w="2950" w:type="dxa"/>
            <w:vMerge/>
            <w:vAlign w:val="center"/>
          </w:tcPr>
          <w:p w14:paraId="747F1D1E" w14:textId="77777777" w:rsidR="007F3128" w:rsidRPr="00F658A6" w:rsidRDefault="007F3128" w:rsidP="00F608A7">
            <w:pPr>
              <w:jc w:val="left"/>
              <w:rPr>
                <w:sz w:val="16"/>
                <w:szCs w:val="16"/>
              </w:rPr>
            </w:pPr>
          </w:p>
        </w:tc>
        <w:tc>
          <w:tcPr>
            <w:tcW w:w="567" w:type="dxa"/>
            <w:vAlign w:val="center"/>
          </w:tcPr>
          <w:p w14:paraId="4B8CEF73" w14:textId="77777777" w:rsidR="007F3128" w:rsidRPr="00F658A6" w:rsidRDefault="007F3128" w:rsidP="00F608A7">
            <w:pPr>
              <w:jc w:val="left"/>
              <w:rPr>
                <w:sz w:val="16"/>
                <w:szCs w:val="16"/>
              </w:rPr>
            </w:pPr>
            <w:r w:rsidRPr="00F658A6">
              <w:rPr>
                <w:sz w:val="16"/>
                <w:szCs w:val="16"/>
              </w:rPr>
              <w:t>10</w:t>
            </w:r>
          </w:p>
        </w:tc>
        <w:tc>
          <w:tcPr>
            <w:tcW w:w="4927" w:type="dxa"/>
            <w:vAlign w:val="center"/>
          </w:tcPr>
          <w:p w14:paraId="78CAF534" w14:textId="77777777" w:rsidR="007F3128" w:rsidRPr="00F658A6" w:rsidRDefault="007F3128" w:rsidP="00F608A7">
            <w:pPr>
              <w:jc w:val="left"/>
              <w:rPr>
                <w:sz w:val="16"/>
                <w:szCs w:val="16"/>
              </w:rPr>
            </w:pPr>
            <w:r w:rsidRPr="00F658A6">
              <w:rPr>
                <w:sz w:val="16"/>
                <w:szCs w:val="16"/>
              </w:rPr>
              <w:t>Ana Patricia Lucas Miranda (Hija)</w:t>
            </w:r>
          </w:p>
        </w:tc>
      </w:tr>
      <w:tr w:rsidR="007F3128" w:rsidRPr="00F658A6" w14:paraId="5C58399F" w14:textId="77777777" w:rsidTr="00F608A7">
        <w:tc>
          <w:tcPr>
            <w:tcW w:w="560" w:type="dxa"/>
            <w:gridSpan w:val="2"/>
            <w:vMerge/>
            <w:vAlign w:val="center"/>
          </w:tcPr>
          <w:p w14:paraId="7CF9548E" w14:textId="77777777" w:rsidR="007F3128" w:rsidRPr="00F658A6" w:rsidRDefault="007F3128" w:rsidP="00F608A7">
            <w:pPr>
              <w:jc w:val="left"/>
              <w:rPr>
                <w:sz w:val="16"/>
                <w:szCs w:val="16"/>
              </w:rPr>
            </w:pPr>
          </w:p>
        </w:tc>
        <w:tc>
          <w:tcPr>
            <w:tcW w:w="2950" w:type="dxa"/>
            <w:vMerge/>
            <w:vAlign w:val="center"/>
          </w:tcPr>
          <w:p w14:paraId="042DD8C1" w14:textId="77777777" w:rsidR="007F3128" w:rsidRPr="00F658A6" w:rsidRDefault="007F3128" w:rsidP="00F608A7">
            <w:pPr>
              <w:jc w:val="left"/>
              <w:rPr>
                <w:sz w:val="16"/>
                <w:szCs w:val="16"/>
              </w:rPr>
            </w:pPr>
          </w:p>
        </w:tc>
        <w:tc>
          <w:tcPr>
            <w:tcW w:w="567" w:type="dxa"/>
            <w:vAlign w:val="center"/>
          </w:tcPr>
          <w:p w14:paraId="6DE11FAE" w14:textId="77777777" w:rsidR="007F3128" w:rsidRPr="00F658A6" w:rsidRDefault="007F3128" w:rsidP="00F608A7">
            <w:pPr>
              <w:jc w:val="left"/>
              <w:rPr>
                <w:sz w:val="16"/>
                <w:szCs w:val="16"/>
              </w:rPr>
            </w:pPr>
            <w:r w:rsidRPr="00F658A6">
              <w:rPr>
                <w:sz w:val="16"/>
                <w:szCs w:val="16"/>
              </w:rPr>
              <w:t>11</w:t>
            </w:r>
          </w:p>
        </w:tc>
        <w:tc>
          <w:tcPr>
            <w:tcW w:w="4927" w:type="dxa"/>
            <w:vAlign w:val="center"/>
          </w:tcPr>
          <w:p w14:paraId="70893F8F" w14:textId="77777777" w:rsidR="007F3128" w:rsidRPr="00F658A6" w:rsidRDefault="007F3128" w:rsidP="00F608A7">
            <w:pPr>
              <w:jc w:val="left"/>
              <w:rPr>
                <w:sz w:val="16"/>
                <w:szCs w:val="16"/>
              </w:rPr>
            </w:pPr>
            <w:r w:rsidRPr="00F658A6">
              <w:rPr>
                <w:sz w:val="16"/>
                <w:szCs w:val="16"/>
              </w:rPr>
              <w:t>María Dominga Lucas Miranda (Nieta)</w:t>
            </w:r>
          </w:p>
        </w:tc>
      </w:tr>
      <w:tr w:rsidR="007F3128" w:rsidRPr="00F658A6" w14:paraId="7F6C80DA" w14:textId="77777777" w:rsidTr="00F608A7">
        <w:tc>
          <w:tcPr>
            <w:tcW w:w="560" w:type="dxa"/>
            <w:gridSpan w:val="2"/>
            <w:vMerge/>
            <w:vAlign w:val="center"/>
          </w:tcPr>
          <w:p w14:paraId="3FA77F86" w14:textId="77777777" w:rsidR="007F3128" w:rsidRPr="00F658A6" w:rsidRDefault="007F3128" w:rsidP="00F608A7">
            <w:pPr>
              <w:jc w:val="left"/>
              <w:rPr>
                <w:sz w:val="16"/>
                <w:szCs w:val="16"/>
              </w:rPr>
            </w:pPr>
          </w:p>
        </w:tc>
        <w:tc>
          <w:tcPr>
            <w:tcW w:w="2950" w:type="dxa"/>
            <w:vMerge/>
            <w:vAlign w:val="center"/>
          </w:tcPr>
          <w:p w14:paraId="17D40DB3" w14:textId="77777777" w:rsidR="007F3128" w:rsidRPr="00F658A6" w:rsidRDefault="007F3128" w:rsidP="00F608A7">
            <w:pPr>
              <w:jc w:val="left"/>
              <w:rPr>
                <w:sz w:val="16"/>
                <w:szCs w:val="16"/>
              </w:rPr>
            </w:pPr>
          </w:p>
        </w:tc>
        <w:tc>
          <w:tcPr>
            <w:tcW w:w="567" w:type="dxa"/>
            <w:vAlign w:val="center"/>
          </w:tcPr>
          <w:p w14:paraId="3D1E5396" w14:textId="77777777" w:rsidR="007F3128" w:rsidRPr="00F658A6" w:rsidRDefault="007F3128" w:rsidP="00F608A7">
            <w:pPr>
              <w:jc w:val="left"/>
              <w:rPr>
                <w:sz w:val="16"/>
                <w:szCs w:val="16"/>
              </w:rPr>
            </w:pPr>
            <w:r w:rsidRPr="00F658A6">
              <w:rPr>
                <w:sz w:val="16"/>
                <w:szCs w:val="16"/>
              </w:rPr>
              <w:t>12</w:t>
            </w:r>
          </w:p>
        </w:tc>
        <w:tc>
          <w:tcPr>
            <w:tcW w:w="4927" w:type="dxa"/>
            <w:vAlign w:val="center"/>
          </w:tcPr>
          <w:p w14:paraId="4F7966E0" w14:textId="77777777" w:rsidR="007F3128" w:rsidRPr="00F658A6" w:rsidRDefault="007F3128" w:rsidP="00F608A7">
            <w:pPr>
              <w:jc w:val="left"/>
              <w:rPr>
                <w:sz w:val="16"/>
                <w:szCs w:val="16"/>
              </w:rPr>
            </w:pPr>
            <w:r w:rsidRPr="00F658A6">
              <w:rPr>
                <w:sz w:val="16"/>
                <w:szCs w:val="16"/>
              </w:rPr>
              <w:t>Uri Miguel Lucas Miranda (Nieta)</w:t>
            </w:r>
          </w:p>
        </w:tc>
      </w:tr>
      <w:tr w:rsidR="007F3128" w:rsidRPr="00F658A6" w14:paraId="32A50598" w14:textId="77777777" w:rsidTr="00F608A7">
        <w:tc>
          <w:tcPr>
            <w:tcW w:w="560" w:type="dxa"/>
            <w:gridSpan w:val="2"/>
            <w:vMerge w:val="restart"/>
            <w:vAlign w:val="center"/>
          </w:tcPr>
          <w:p w14:paraId="00983777" w14:textId="77777777" w:rsidR="007F3128" w:rsidRPr="00F658A6" w:rsidRDefault="007F3128" w:rsidP="00F608A7">
            <w:pPr>
              <w:jc w:val="left"/>
              <w:rPr>
                <w:sz w:val="16"/>
                <w:szCs w:val="16"/>
              </w:rPr>
            </w:pPr>
            <w:r w:rsidRPr="00F658A6">
              <w:rPr>
                <w:sz w:val="16"/>
                <w:szCs w:val="16"/>
              </w:rPr>
              <w:t>47</w:t>
            </w:r>
          </w:p>
        </w:tc>
        <w:tc>
          <w:tcPr>
            <w:tcW w:w="2950" w:type="dxa"/>
            <w:vMerge w:val="restart"/>
            <w:vAlign w:val="center"/>
          </w:tcPr>
          <w:p w14:paraId="6A9484E7" w14:textId="694FBC4E" w:rsidR="007F3128" w:rsidRPr="00F658A6" w:rsidRDefault="007F3128" w:rsidP="00F608A7">
            <w:pPr>
              <w:jc w:val="left"/>
              <w:rPr>
                <w:sz w:val="16"/>
                <w:szCs w:val="16"/>
              </w:rPr>
            </w:pPr>
            <w:r w:rsidRPr="00F658A6">
              <w:rPr>
                <w:sz w:val="16"/>
                <w:szCs w:val="16"/>
              </w:rPr>
              <w:t>Santos Vásquez Oliveros</w:t>
            </w:r>
          </w:p>
        </w:tc>
        <w:tc>
          <w:tcPr>
            <w:tcW w:w="567" w:type="dxa"/>
            <w:vAlign w:val="center"/>
          </w:tcPr>
          <w:p w14:paraId="5EBB865B"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5B1E40B3" w14:textId="77777777" w:rsidR="007F3128" w:rsidRPr="00F658A6" w:rsidRDefault="007F3128" w:rsidP="00F608A7">
            <w:pPr>
              <w:jc w:val="left"/>
              <w:rPr>
                <w:sz w:val="16"/>
                <w:szCs w:val="16"/>
              </w:rPr>
            </w:pPr>
            <w:r w:rsidRPr="00F658A6">
              <w:rPr>
                <w:sz w:val="16"/>
                <w:szCs w:val="16"/>
              </w:rPr>
              <w:t>María Elena Moreno (Esposa)</w:t>
            </w:r>
          </w:p>
        </w:tc>
      </w:tr>
      <w:tr w:rsidR="007F3128" w:rsidRPr="00F658A6" w14:paraId="7CFAEF8A" w14:textId="77777777" w:rsidTr="00F608A7">
        <w:tc>
          <w:tcPr>
            <w:tcW w:w="560" w:type="dxa"/>
            <w:gridSpan w:val="2"/>
            <w:vMerge/>
            <w:vAlign w:val="center"/>
          </w:tcPr>
          <w:p w14:paraId="7FD467A4" w14:textId="77777777" w:rsidR="007F3128" w:rsidRPr="00F658A6" w:rsidRDefault="007F3128" w:rsidP="00F608A7">
            <w:pPr>
              <w:jc w:val="left"/>
              <w:rPr>
                <w:sz w:val="16"/>
                <w:szCs w:val="16"/>
              </w:rPr>
            </w:pPr>
          </w:p>
        </w:tc>
        <w:tc>
          <w:tcPr>
            <w:tcW w:w="2950" w:type="dxa"/>
            <w:vMerge/>
            <w:vAlign w:val="center"/>
          </w:tcPr>
          <w:p w14:paraId="1298ED1A" w14:textId="77777777" w:rsidR="007F3128" w:rsidRPr="00F658A6" w:rsidRDefault="007F3128" w:rsidP="00F608A7">
            <w:pPr>
              <w:jc w:val="left"/>
              <w:rPr>
                <w:sz w:val="16"/>
                <w:szCs w:val="16"/>
              </w:rPr>
            </w:pPr>
          </w:p>
        </w:tc>
        <w:tc>
          <w:tcPr>
            <w:tcW w:w="567" w:type="dxa"/>
            <w:vAlign w:val="center"/>
          </w:tcPr>
          <w:p w14:paraId="0FCCAEED"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3A5F8194" w14:textId="77777777" w:rsidR="007F3128" w:rsidRPr="00F658A6" w:rsidRDefault="007F3128" w:rsidP="00F608A7">
            <w:pPr>
              <w:jc w:val="left"/>
              <w:rPr>
                <w:sz w:val="16"/>
                <w:szCs w:val="16"/>
              </w:rPr>
            </w:pPr>
            <w:r w:rsidRPr="00F658A6">
              <w:rPr>
                <w:sz w:val="16"/>
                <w:szCs w:val="16"/>
              </w:rPr>
              <w:t>Viviana Mercedes Vásquez Moreno (Hija)</w:t>
            </w:r>
          </w:p>
        </w:tc>
      </w:tr>
      <w:tr w:rsidR="007F3128" w:rsidRPr="00F658A6" w14:paraId="582F94D7" w14:textId="77777777" w:rsidTr="00F608A7">
        <w:tc>
          <w:tcPr>
            <w:tcW w:w="560" w:type="dxa"/>
            <w:gridSpan w:val="2"/>
            <w:vMerge/>
            <w:vAlign w:val="center"/>
          </w:tcPr>
          <w:p w14:paraId="41C48D19" w14:textId="77777777" w:rsidR="007F3128" w:rsidRPr="00F658A6" w:rsidRDefault="007F3128" w:rsidP="00F608A7">
            <w:pPr>
              <w:jc w:val="left"/>
              <w:rPr>
                <w:sz w:val="16"/>
                <w:szCs w:val="16"/>
              </w:rPr>
            </w:pPr>
          </w:p>
        </w:tc>
        <w:tc>
          <w:tcPr>
            <w:tcW w:w="2950" w:type="dxa"/>
            <w:vMerge/>
            <w:vAlign w:val="center"/>
          </w:tcPr>
          <w:p w14:paraId="2C65DD9D" w14:textId="77777777" w:rsidR="007F3128" w:rsidRPr="00F658A6" w:rsidRDefault="007F3128" w:rsidP="00F608A7">
            <w:pPr>
              <w:jc w:val="left"/>
              <w:rPr>
                <w:sz w:val="16"/>
                <w:szCs w:val="16"/>
              </w:rPr>
            </w:pPr>
          </w:p>
        </w:tc>
        <w:tc>
          <w:tcPr>
            <w:tcW w:w="567" w:type="dxa"/>
            <w:vAlign w:val="center"/>
          </w:tcPr>
          <w:p w14:paraId="5AF3883B"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4BBE221D" w14:textId="77777777" w:rsidR="007F3128" w:rsidRPr="00F658A6" w:rsidRDefault="007F3128" w:rsidP="00F608A7">
            <w:pPr>
              <w:jc w:val="left"/>
              <w:rPr>
                <w:sz w:val="16"/>
                <w:szCs w:val="16"/>
              </w:rPr>
            </w:pPr>
            <w:r w:rsidRPr="00F658A6">
              <w:rPr>
                <w:sz w:val="16"/>
                <w:szCs w:val="16"/>
              </w:rPr>
              <w:t>María Elena Vásquez Moreno (Hija)</w:t>
            </w:r>
          </w:p>
        </w:tc>
      </w:tr>
      <w:tr w:rsidR="007F3128" w:rsidRPr="00F658A6" w14:paraId="2ADDD22E" w14:textId="77777777" w:rsidTr="00F608A7">
        <w:tc>
          <w:tcPr>
            <w:tcW w:w="560" w:type="dxa"/>
            <w:gridSpan w:val="2"/>
            <w:vMerge/>
            <w:vAlign w:val="center"/>
          </w:tcPr>
          <w:p w14:paraId="346DE1EF" w14:textId="77777777" w:rsidR="007F3128" w:rsidRPr="00F658A6" w:rsidRDefault="007F3128" w:rsidP="00F608A7">
            <w:pPr>
              <w:jc w:val="left"/>
              <w:rPr>
                <w:sz w:val="16"/>
                <w:szCs w:val="16"/>
              </w:rPr>
            </w:pPr>
          </w:p>
        </w:tc>
        <w:tc>
          <w:tcPr>
            <w:tcW w:w="2950" w:type="dxa"/>
            <w:vMerge/>
            <w:vAlign w:val="center"/>
          </w:tcPr>
          <w:p w14:paraId="768161E4" w14:textId="77777777" w:rsidR="007F3128" w:rsidRPr="00F658A6" w:rsidRDefault="007F3128" w:rsidP="00F608A7">
            <w:pPr>
              <w:jc w:val="left"/>
              <w:rPr>
                <w:sz w:val="16"/>
                <w:szCs w:val="16"/>
              </w:rPr>
            </w:pPr>
          </w:p>
        </w:tc>
        <w:tc>
          <w:tcPr>
            <w:tcW w:w="567" w:type="dxa"/>
            <w:vAlign w:val="center"/>
          </w:tcPr>
          <w:p w14:paraId="5C956063"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99F99D8" w14:textId="77777777" w:rsidR="007F3128" w:rsidRPr="00F658A6" w:rsidRDefault="007F3128" w:rsidP="00F608A7">
            <w:pPr>
              <w:jc w:val="left"/>
              <w:rPr>
                <w:sz w:val="16"/>
                <w:szCs w:val="16"/>
              </w:rPr>
            </w:pPr>
            <w:r w:rsidRPr="00F658A6">
              <w:rPr>
                <w:sz w:val="16"/>
                <w:szCs w:val="16"/>
              </w:rPr>
              <w:t>Rafael Vásquez Gómez (Padre)</w:t>
            </w:r>
          </w:p>
        </w:tc>
      </w:tr>
      <w:tr w:rsidR="007F3128" w:rsidRPr="00F658A6" w14:paraId="6C24E7EE" w14:textId="77777777" w:rsidTr="00F608A7">
        <w:tc>
          <w:tcPr>
            <w:tcW w:w="560" w:type="dxa"/>
            <w:gridSpan w:val="2"/>
            <w:vMerge/>
            <w:vAlign w:val="center"/>
          </w:tcPr>
          <w:p w14:paraId="1AD4F8F8" w14:textId="77777777" w:rsidR="007F3128" w:rsidRPr="00F658A6" w:rsidRDefault="007F3128" w:rsidP="00F608A7">
            <w:pPr>
              <w:jc w:val="left"/>
              <w:rPr>
                <w:sz w:val="16"/>
                <w:szCs w:val="16"/>
              </w:rPr>
            </w:pPr>
          </w:p>
        </w:tc>
        <w:tc>
          <w:tcPr>
            <w:tcW w:w="2950" w:type="dxa"/>
            <w:vMerge/>
            <w:vAlign w:val="center"/>
          </w:tcPr>
          <w:p w14:paraId="775FF5CB" w14:textId="77777777" w:rsidR="007F3128" w:rsidRPr="00F658A6" w:rsidRDefault="007F3128" w:rsidP="00F608A7">
            <w:pPr>
              <w:jc w:val="left"/>
              <w:rPr>
                <w:sz w:val="16"/>
                <w:szCs w:val="16"/>
              </w:rPr>
            </w:pPr>
          </w:p>
        </w:tc>
        <w:tc>
          <w:tcPr>
            <w:tcW w:w="567" w:type="dxa"/>
            <w:vAlign w:val="center"/>
          </w:tcPr>
          <w:p w14:paraId="3765535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453A6441" w14:textId="77777777" w:rsidR="007F3128" w:rsidRPr="00F658A6" w:rsidRDefault="007F3128" w:rsidP="00F608A7">
            <w:pPr>
              <w:jc w:val="left"/>
              <w:rPr>
                <w:sz w:val="16"/>
                <w:szCs w:val="16"/>
              </w:rPr>
            </w:pPr>
            <w:r w:rsidRPr="00F658A6">
              <w:rPr>
                <w:sz w:val="16"/>
                <w:szCs w:val="16"/>
              </w:rPr>
              <w:t>Francisca Oliveros de Vásquez (Madre)</w:t>
            </w:r>
          </w:p>
        </w:tc>
      </w:tr>
      <w:tr w:rsidR="007F3128" w:rsidRPr="00F658A6" w14:paraId="4DD126FF" w14:textId="77777777" w:rsidTr="00F608A7">
        <w:tc>
          <w:tcPr>
            <w:tcW w:w="560" w:type="dxa"/>
            <w:gridSpan w:val="2"/>
            <w:vMerge/>
            <w:vAlign w:val="center"/>
          </w:tcPr>
          <w:p w14:paraId="5EE278E4" w14:textId="77777777" w:rsidR="007F3128" w:rsidRPr="00F658A6" w:rsidRDefault="007F3128" w:rsidP="00F608A7">
            <w:pPr>
              <w:jc w:val="left"/>
              <w:rPr>
                <w:sz w:val="16"/>
                <w:szCs w:val="16"/>
              </w:rPr>
            </w:pPr>
          </w:p>
        </w:tc>
        <w:tc>
          <w:tcPr>
            <w:tcW w:w="2950" w:type="dxa"/>
            <w:vMerge/>
            <w:vAlign w:val="center"/>
          </w:tcPr>
          <w:p w14:paraId="31449E2B" w14:textId="77777777" w:rsidR="007F3128" w:rsidRPr="00F658A6" w:rsidRDefault="007F3128" w:rsidP="00F608A7">
            <w:pPr>
              <w:jc w:val="left"/>
              <w:rPr>
                <w:sz w:val="16"/>
                <w:szCs w:val="16"/>
              </w:rPr>
            </w:pPr>
          </w:p>
        </w:tc>
        <w:tc>
          <w:tcPr>
            <w:tcW w:w="567" w:type="dxa"/>
            <w:vAlign w:val="center"/>
          </w:tcPr>
          <w:p w14:paraId="30749B35"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047313F4" w14:textId="77777777" w:rsidR="007F3128" w:rsidRPr="00F658A6" w:rsidRDefault="007F3128" w:rsidP="00F608A7">
            <w:pPr>
              <w:tabs>
                <w:tab w:val="left" w:pos="1002"/>
              </w:tabs>
              <w:jc w:val="left"/>
              <w:rPr>
                <w:sz w:val="16"/>
                <w:szCs w:val="16"/>
              </w:rPr>
            </w:pPr>
            <w:r w:rsidRPr="00F658A6">
              <w:rPr>
                <w:sz w:val="16"/>
                <w:szCs w:val="16"/>
              </w:rPr>
              <w:t>Josefina Izabel Miranda (Suegra)</w:t>
            </w:r>
          </w:p>
        </w:tc>
      </w:tr>
      <w:tr w:rsidR="007F3128" w:rsidRPr="00F658A6" w14:paraId="621967CB" w14:textId="77777777" w:rsidTr="00F608A7">
        <w:tc>
          <w:tcPr>
            <w:tcW w:w="560" w:type="dxa"/>
            <w:gridSpan w:val="2"/>
            <w:vMerge w:val="restart"/>
            <w:vAlign w:val="center"/>
          </w:tcPr>
          <w:p w14:paraId="6BD1D6AE" w14:textId="77777777" w:rsidR="007F3128" w:rsidRPr="00F658A6" w:rsidRDefault="007F3128" w:rsidP="00F608A7">
            <w:pPr>
              <w:jc w:val="left"/>
              <w:rPr>
                <w:sz w:val="16"/>
                <w:szCs w:val="16"/>
              </w:rPr>
            </w:pPr>
            <w:r w:rsidRPr="00F658A6">
              <w:rPr>
                <w:sz w:val="16"/>
                <w:szCs w:val="16"/>
              </w:rPr>
              <w:t>48</w:t>
            </w:r>
          </w:p>
        </w:tc>
        <w:tc>
          <w:tcPr>
            <w:tcW w:w="2950" w:type="dxa"/>
            <w:vMerge w:val="restart"/>
            <w:vAlign w:val="center"/>
          </w:tcPr>
          <w:p w14:paraId="6C25CD71" w14:textId="5DE93EDA" w:rsidR="007F3128" w:rsidRPr="00F658A6" w:rsidRDefault="007F3128" w:rsidP="00573F6B">
            <w:pPr>
              <w:jc w:val="left"/>
              <w:rPr>
                <w:sz w:val="16"/>
                <w:szCs w:val="16"/>
              </w:rPr>
            </w:pPr>
            <w:r w:rsidRPr="00F658A6">
              <w:rPr>
                <w:sz w:val="16"/>
                <w:szCs w:val="16"/>
              </w:rPr>
              <w:t xml:space="preserve">Iris </w:t>
            </w:r>
            <w:r w:rsidR="00F608A7">
              <w:rPr>
                <w:sz w:val="16"/>
                <w:szCs w:val="16"/>
              </w:rPr>
              <w:t>Carolina Vicente Ba</w:t>
            </w:r>
            <w:r w:rsidR="00573F6B">
              <w:rPr>
                <w:sz w:val="16"/>
                <w:szCs w:val="16"/>
              </w:rPr>
              <w:t>ri</w:t>
            </w:r>
            <w:r w:rsidR="00F608A7">
              <w:rPr>
                <w:sz w:val="16"/>
                <w:szCs w:val="16"/>
              </w:rPr>
              <w:t>llas</w:t>
            </w:r>
          </w:p>
        </w:tc>
        <w:tc>
          <w:tcPr>
            <w:tcW w:w="567" w:type="dxa"/>
            <w:vAlign w:val="center"/>
          </w:tcPr>
          <w:p w14:paraId="0147480A" w14:textId="77777777" w:rsidR="007F3128" w:rsidRPr="00F658A6" w:rsidRDefault="007F3128" w:rsidP="00F608A7">
            <w:pPr>
              <w:jc w:val="left"/>
              <w:rPr>
                <w:sz w:val="16"/>
                <w:szCs w:val="16"/>
              </w:rPr>
            </w:pPr>
            <w:r w:rsidRPr="00F658A6">
              <w:rPr>
                <w:sz w:val="16"/>
                <w:szCs w:val="16"/>
              </w:rPr>
              <w:t>1</w:t>
            </w:r>
          </w:p>
        </w:tc>
        <w:tc>
          <w:tcPr>
            <w:tcW w:w="4927" w:type="dxa"/>
            <w:vAlign w:val="center"/>
          </w:tcPr>
          <w:p w14:paraId="26A34EF9" w14:textId="77777777" w:rsidR="007F3128" w:rsidRPr="00F658A6" w:rsidRDefault="007F3128" w:rsidP="00F608A7">
            <w:pPr>
              <w:tabs>
                <w:tab w:val="left" w:pos="1277"/>
              </w:tabs>
              <w:jc w:val="left"/>
              <w:rPr>
                <w:sz w:val="16"/>
                <w:szCs w:val="16"/>
              </w:rPr>
            </w:pPr>
            <w:r w:rsidRPr="00F658A6">
              <w:rPr>
                <w:sz w:val="16"/>
                <w:szCs w:val="16"/>
              </w:rPr>
              <w:t>Christian Alexander Chij Vicente (Hijo)</w:t>
            </w:r>
          </w:p>
        </w:tc>
      </w:tr>
      <w:tr w:rsidR="007F3128" w:rsidRPr="00F658A6" w14:paraId="294F6034" w14:textId="77777777" w:rsidTr="00F608A7">
        <w:tc>
          <w:tcPr>
            <w:tcW w:w="560" w:type="dxa"/>
            <w:gridSpan w:val="2"/>
            <w:vMerge/>
            <w:vAlign w:val="center"/>
          </w:tcPr>
          <w:p w14:paraId="03AFCB14" w14:textId="77777777" w:rsidR="007F3128" w:rsidRPr="00F658A6" w:rsidRDefault="007F3128" w:rsidP="00F608A7">
            <w:pPr>
              <w:jc w:val="left"/>
              <w:rPr>
                <w:sz w:val="16"/>
                <w:szCs w:val="16"/>
              </w:rPr>
            </w:pPr>
          </w:p>
        </w:tc>
        <w:tc>
          <w:tcPr>
            <w:tcW w:w="2950" w:type="dxa"/>
            <w:vMerge/>
            <w:vAlign w:val="center"/>
          </w:tcPr>
          <w:p w14:paraId="0A0E5E7D" w14:textId="77777777" w:rsidR="007F3128" w:rsidRPr="00F658A6" w:rsidRDefault="007F3128" w:rsidP="00F608A7">
            <w:pPr>
              <w:jc w:val="left"/>
              <w:rPr>
                <w:sz w:val="16"/>
                <w:szCs w:val="16"/>
              </w:rPr>
            </w:pPr>
          </w:p>
        </w:tc>
        <w:tc>
          <w:tcPr>
            <w:tcW w:w="567" w:type="dxa"/>
            <w:vAlign w:val="center"/>
          </w:tcPr>
          <w:p w14:paraId="644B98EE" w14:textId="77777777" w:rsidR="007F3128" w:rsidRPr="00F658A6" w:rsidRDefault="007F3128" w:rsidP="00F608A7">
            <w:pPr>
              <w:jc w:val="left"/>
              <w:rPr>
                <w:sz w:val="16"/>
                <w:szCs w:val="16"/>
              </w:rPr>
            </w:pPr>
            <w:r w:rsidRPr="00F658A6">
              <w:rPr>
                <w:sz w:val="16"/>
                <w:szCs w:val="16"/>
              </w:rPr>
              <w:t>2</w:t>
            </w:r>
          </w:p>
        </w:tc>
        <w:tc>
          <w:tcPr>
            <w:tcW w:w="4927" w:type="dxa"/>
            <w:vAlign w:val="center"/>
          </w:tcPr>
          <w:p w14:paraId="4336D327" w14:textId="77777777" w:rsidR="007F3128" w:rsidRPr="00F658A6" w:rsidRDefault="007F3128" w:rsidP="00F608A7">
            <w:pPr>
              <w:tabs>
                <w:tab w:val="left" w:pos="1277"/>
              </w:tabs>
              <w:jc w:val="left"/>
              <w:rPr>
                <w:sz w:val="16"/>
                <w:szCs w:val="16"/>
              </w:rPr>
            </w:pPr>
            <w:r w:rsidRPr="00F658A6">
              <w:rPr>
                <w:sz w:val="16"/>
                <w:szCs w:val="16"/>
              </w:rPr>
              <w:t>Emma Elizabeth Chij Vicente (Hija)</w:t>
            </w:r>
          </w:p>
        </w:tc>
      </w:tr>
      <w:tr w:rsidR="007F3128" w:rsidRPr="00F658A6" w14:paraId="08E3EAE1" w14:textId="77777777" w:rsidTr="00F608A7">
        <w:tc>
          <w:tcPr>
            <w:tcW w:w="560" w:type="dxa"/>
            <w:gridSpan w:val="2"/>
            <w:vMerge/>
            <w:vAlign w:val="center"/>
          </w:tcPr>
          <w:p w14:paraId="652A66FB" w14:textId="77777777" w:rsidR="007F3128" w:rsidRPr="00F658A6" w:rsidRDefault="007F3128" w:rsidP="00F608A7">
            <w:pPr>
              <w:jc w:val="left"/>
              <w:rPr>
                <w:sz w:val="16"/>
                <w:szCs w:val="16"/>
              </w:rPr>
            </w:pPr>
          </w:p>
        </w:tc>
        <w:tc>
          <w:tcPr>
            <w:tcW w:w="2950" w:type="dxa"/>
            <w:vMerge/>
            <w:vAlign w:val="center"/>
          </w:tcPr>
          <w:p w14:paraId="26BD9EF3" w14:textId="77777777" w:rsidR="007F3128" w:rsidRPr="00F658A6" w:rsidRDefault="007F3128" w:rsidP="00F608A7">
            <w:pPr>
              <w:jc w:val="left"/>
              <w:rPr>
                <w:sz w:val="16"/>
                <w:szCs w:val="16"/>
              </w:rPr>
            </w:pPr>
          </w:p>
        </w:tc>
        <w:tc>
          <w:tcPr>
            <w:tcW w:w="567" w:type="dxa"/>
            <w:vAlign w:val="center"/>
          </w:tcPr>
          <w:p w14:paraId="53879C1B" w14:textId="77777777" w:rsidR="007F3128" w:rsidRPr="00F658A6" w:rsidRDefault="007F3128" w:rsidP="00F608A7">
            <w:pPr>
              <w:jc w:val="left"/>
              <w:rPr>
                <w:sz w:val="16"/>
                <w:szCs w:val="16"/>
              </w:rPr>
            </w:pPr>
            <w:r w:rsidRPr="00F658A6">
              <w:rPr>
                <w:sz w:val="16"/>
                <w:szCs w:val="16"/>
              </w:rPr>
              <w:t>3</w:t>
            </w:r>
          </w:p>
        </w:tc>
        <w:tc>
          <w:tcPr>
            <w:tcW w:w="4927" w:type="dxa"/>
            <w:vAlign w:val="center"/>
          </w:tcPr>
          <w:p w14:paraId="147C8AC2" w14:textId="77777777" w:rsidR="007F3128" w:rsidRPr="00F658A6" w:rsidRDefault="007F3128" w:rsidP="00F608A7">
            <w:pPr>
              <w:tabs>
                <w:tab w:val="left" w:pos="1277"/>
              </w:tabs>
              <w:jc w:val="left"/>
              <w:rPr>
                <w:sz w:val="16"/>
                <w:szCs w:val="16"/>
              </w:rPr>
            </w:pPr>
            <w:r w:rsidRPr="00F658A6">
              <w:rPr>
                <w:sz w:val="16"/>
                <w:szCs w:val="16"/>
              </w:rPr>
              <w:t>Iris Carolina Chij Vicente (Hija)</w:t>
            </w:r>
          </w:p>
        </w:tc>
      </w:tr>
      <w:tr w:rsidR="007F3128" w:rsidRPr="00F658A6" w14:paraId="1A1D1340" w14:textId="77777777" w:rsidTr="00F608A7">
        <w:tc>
          <w:tcPr>
            <w:tcW w:w="560" w:type="dxa"/>
            <w:gridSpan w:val="2"/>
            <w:vMerge/>
            <w:vAlign w:val="center"/>
          </w:tcPr>
          <w:p w14:paraId="2AB66845" w14:textId="77777777" w:rsidR="007F3128" w:rsidRPr="00F658A6" w:rsidRDefault="007F3128" w:rsidP="00F608A7">
            <w:pPr>
              <w:jc w:val="left"/>
              <w:rPr>
                <w:sz w:val="16"/>
                <w:szCs w:val="16"/>
              </w:rPr>
            </w:pPr>
          </w:p>
        </w:tc>
        <w:tc>
          <w:tcPr>
            <w:tcW w:w="2950" w:type="dxa"/>
            <w:vMerge/>
            <w:vAlign w:val="center"/>
          </w:tcPr>
          <w:p w14:paraId="32CAF130" w14:textId="77777777" w:rsidR="007F3128" w:rsidRPr="00F658A6" w:rsidRDefault="007F3128" w:rsidP="00F608A7">
            <w:pPr>
              <w:jc w:val="left"/>
              <w:rPr>
                <w:sz w:val="16"/>
                <w:szCs w:val="16"/>
              </w:rPr>
            </w:pPr>
          </w:p>
        </w:tc>
        <w:tc>
          <w:tcPr>
            <w:tcW w:w="567" w:type="dxa"/>
            <w:vAlign w:val="center"/>
          </w:tcPr>
          <w:p w14:paraId="2E939B46" w14:textId="77777777" w:rsidR="007F3128" w:rsidRPr="00F658A6" w:rsidRDefault="007F3128" w:rsidP="00F608A7">
            <w:pPr>
              <w:jc w:val="left"/>
              <w:rPr>
                <w:sz w:val="16"/>
                <w:szCs w:val="16"/>
              </w:rPr>
            </w:pPr>
            <w:r w:rsidRPr="00F658A6">
              <w:rPr>
                <w:sz w:val="16"/>
                <w:szCs w:val="16"/>
              </w:rPr>
              <w:t>4</w:t>
            </w:r>
          </w:p>
        </w:tc>
        <w:tc>
          <w:tcPr>
            <w:tcW w:w="4927" w:type="dxa"/>
            <w:vAlign w:val="center"/>
          </w:tcPr>
          <w:p w14:paraId="6FB8A84A" w14:textId="77777777" w:rsidR="007F3128" w:rsidRPr="00F658A6" w:rsidRDefault="007F3128" w:rsidP="00F608A7">
            <w:pPr>
              <w:tabs>
                <w:tab w:val="left" w:pos="1277"/>
              </w:tabs>
              <w:jc w:val="left"/>
              <w:rPr>
                <w:sz w:val="16"/>
                <w:szCs w:val="16"/>
              </w:rPr>
            </w:pPr>
            <w:r w:rsidRPr="00F658A6">
              <w:rPr>
                <w:sz w:val="16"/>
                <w:szCs w:val="16"/>
              </w:rPr>
              <w:t>Olivia Barillas de Sánchez (Tía materna)</w:t>
            </w:r>
          </w:p>
        </w:tc>
      </w:tr>
      <w:tr w:rsidR="007F3128" w:rsidRPr="00F658A6" w14:paraId="7B9D7085" w14:textId="77777777" w:rsidTr="00F608A7">
        <w:tc>
          <w:tcPr>
            <w:tcW w:w="560" w:type="dxa"/>
            <w:gridSpan w:val="2"/>
            <w:vMerge/>
            <w:vAlign w:val="center"/>
          </w:tcPr>
          <w:p w14:paraId="6878352C" w14:textId="77777777" w:rsidR="007F3128" w:rsidRPr="00F658A6" w:rsidRDefault="007F3128" w:rsidP="00F608A7">
            <w:pPr>
              <w:jc w:val="left"/>
              <w:rPr>
                <w:sz w:val="16"/>
                <w:szCs w:val="16"/>
              </w:rPr>
            </w:pPr>
          </w:p>
        </w:tc>
        <w:tc>
          <w:tcPr>
            <w:tcW w:w="2950" w:type="dxa"/>
            <w:vMerge/>
            <w:vAlign w:val="center"/>
          </w:tcPr>
          <w:p w14:paraId="669CB84B" w14:textId="77777777" w:rsidR="007F3128" w:rsidRPr="00F658A6" w:rsidRDefault="007F3128" w:rsidP="00F608A7">
            <w:pPr>
              <w:jc w:val="left"/>
              <w:rPr>
                <w:sz w:val="16"/>
                <w:szCs w:val="16"/>
              </w:rPr>
            </w:pPr>
          </w:p>
        </w:tc>
        <w:tc>
          <w:tcPr>
            <w:tcW w:w="567" w:type="dxa"/>
            <w:vAlign w:val="center"/>
          </w:tcPr>
          <w:p w14:paraId="2556F0E3" w14:textId="77777777" w:rsidR="007F3128" w:rsidRPr="00F658A6" w:rsidRDefault="007F3128" w:rsidP="00F608A7">
            <w:pPr>
              <w:jc w:val="left"/>
              <w:rPr>
                <w:sz w:val="16"/>
                <w:szCs w:val="16"/>
              </w:rPr>
            </w:pPr>
            <w:r w:rsidRPr="00F658A6">
              <w:rPr>
                <w:sz w:val="16"/>
                <w:szCs w:val="16"/>
              </w:rPr>
              <w:t>5</w:t>
            </w:r>
          </w:p>
        </w:tc>
        <w:tc>
          <w:tcPr>
            <w:tcW w:w="4927" w:type="dxa"/>
            <w:vAlign w:val="center"/>
          </w:tcPr>
          <w:p w14:paraId="1363ED90" w14:textId="77777777" w:rsidR="007F3128" w:rsidRPr="00F658A6" w:rsidRDefault="007F3128" w:rsidP="00F608A7">
            <w:pPr>
              <w:tabs>
                <w:tab w:val="left" w:pos="1277"/>
              </w:tabs>
              <w:jc w:val="left"/>
              <w:rPr>
                <w:sz w:val="16"/>
                <w:szCs w:val="16"/>
              </w:rPr>
            </w:pPr>
            <w:r w:rsidRPr="00F658A6">
              <w:rPr>
                <w:sz w:val="16"/>
                <w:szCs w:val="16"/>
              </w:rPr>
              <w:t>Olivia Aguilar Ambrosio de Barillas (Abuela)</w:t>
            </w:r>
          </w:p>
        </w:tc>
      </w:tr>
      <w:tr w:rsidR="007F3128" w:rsidRPr="00F658A6" w14:paraId="5851CA5D" w14:textId="77777777" w:rsidTr="00F608A7">
        <w:tc>
          <w:tcPr>
            <w:tcW w:w="560" w:type="dxa"/>
            <w:gridSpan w:val="2"/>
            <w:vMerge/>
            <w:vAlign w:val="center"/>
          </w:tcPr>
          <w:p w14:paraId="61F29BE5" w14:textId="77777777" w:rsidR="007F3128" w:rsidRPr="00F658A6" w:rsidRDefault="007F3128" w:rsidP="00F608A7">
            <w:pPr>
              <w:jc w:val="left"/>
              <w:rPr>
                <w:sz w:val="16"/>
                <w:szCs w:val="16"/>
              </w:rPr>
            </w:pPr>
          </w:p>
        </w:tc>
        <w:tc>
          <w:tcPr>
            <w:tcW w:w="2950" w:type="dxa"/>
            <w:vMerge/>
            <w:vAlign w:val="center"/>
          </w:tcPr>
          <w:p w14:paraId="33538A84" w14:textId="77777777" w:rsidR="007F3128" w:rsidRPr="00F658A6" w:rsidRDefault="007F3128" w:rsidP="00F608A7">
            <w:pPr>
              <w:jc w:val="left"/>
              <w:rPr>
                <w:sz w:val="16"/>
                <w:szCs w:val="16"/>
              </w:rPr>
            </w:pPr>
          </w:p>
        </w:tc>
        <w:tc>
          <w:tcPr>
            <w:tcW w:w="567" w:type="dxa"/>
            <w:vAlign w:val="center"/>
          </w:tcPr>
          <w:p w14:paraId="26F5BA21" w14:textId="77777777" w:rsidR="007F3128" w:rsidRPr="00F658A6" w:rsidRDefault="007F3128" w:rsidP="00F608A7">
            <w:pPr>
              <w:jc w:val="left"/>
              <w:rPr>
                <w:sz w:val="16"/>
                <w:szCs w:val="16"/>
              </w:rPr>
            </w:pPr>
            <w:r w:rsidRPr="00F658A6">
              <w:rPr>
                <w:sz w:val="16"/>
                <w:szCs w:val="16"/>
              </w:rPr>
              <w:t>6</w:t>
            </w:r>
          </w:p>
        </w:tc>
        <w:tc>
          <w:tcPr>
            <w:tcW w:w="4927" w:type="dxa"/>
            <w:vAlign w:val="center"/>
          </w:tcPr>
          <w:p w14:paraId="3BF2451A" w14:textId="77777777" w:rsidR="007F3128" w:rsidRPr="00F658A6" w:rsidRDefault="007F3128" w:rsidP="00F608A7">
            <w:pPr>
              <w:tabs>
                <w:tab w:val="left" w:pos="1277"/>
              </w:tabs>
              <w:jc w:val="left"/>
              <w:rPr>
                <w:sz w:val="16"/>
                <w:szCs w:val="16"/>
              </w:rPr>
            </w:pPr>
            <w:r w:rsidRPr="00F658A6">
              <w:rPr>
                <w:sz w:val="16"/>
                <w:szCs w:val="16"/>
              </w:rPr>
              <w:t>Balbino Barillas Barreno (Abuelo)</w:t>
            </w:r>
          </w:p>
        </w:tc>
      </w:tr>
      <w:tr w:rsidR="007F3128" w:rsidRPr="00F658A6" w14:paraId="791EBEFA" w14:textId="77777777" w:rsidTr="00F608A7">
        <w:tc>
          <w:tcPr>
            <w:tcW w:w="560" w:type="dxa"/>
            <w:gridSpan w:val="2"/>
            <w:vMerge/>
            <w:vAlign w:val="center"/>
          </w:tcPr>
          <w:p w14:paraId="54CD3C68" w14:textId="77777777" w:rsidR="007F3128" w:rsidRPr="00F658A6" w:rsidRDefault="007F3128" w:rsidP="00F608A7">
            <w:pPr>
              <w:jc w:val="left"/>
              <w:rPr>
                <w:sz w:val="16"/>
                <w:szCs w:val="16"/>
              </w:rPr>
            </w:pPr>
          </w:p>
        </w:tc>
        <w:tc>
          <w:tcPr>
            <w:tcW w:w="2950" w:type="dxa"/>
            <w:vMerge/>
            <w:vAlign w:val="center"/>
          </w:tcPr>
          <w:p w14:paraId="60934DD4" w14:textId="77777777" w:rsidR="007F3128" w:rsidRPr="00F658A6" w:rsidRDefault="007F3128" w:rsidP="00F608A7">
            <w:pPr>
              <w:jc w:val="left"/>
              <w:rPr>
                <w:sz w:val="16"/>
                <w:szCs w:val="16"/>
              </w:rPr>
            </w:pPr>
          </w:p>
        </w:tc>
        <w:tc>
          <w:tcPr>
            <w:tcW w:w="567" w:type="dxa"/>
            <w:vAlign w:val="center"/>
          </w:tcPr>
          <w:p w14:paraId="0E1D9503" w14:textId="77777777" w:rsidR="007F3128" w:rsidRPr="00F658A6" w:rsidRDefault="007F3128" w:rsidP="00F608A7">
            <w:pPr>
              <w:jc w:val="left"/>
              <w:rPr>
                <w:sz w:val="16"/>
                <w:szCs w:val="16"/>
              </w:rPr>
            </w:pPr>
            <w:r w:rsidRPr="00F658A6">
              <w:rPr>
                <w:sz w:val="16"/>
                <w:szCs w:val="16"/>
              </w:rPr>
              <w:t>7</w:t>
            </w:r>
          </w:p>
        </w:tc>
        <w:tc>
          <w:tcPr>
            <w:tcW w:w="4927" w:type="dxa"/>
            <w:vAlign w:val="center"/>
          </w:tcPr>
          <w:p w14:paraId="1FEA4326" w14:textId="77777777" w:rsidR="007F3128" w:rsidRPr="00F658A6" w:rsidRDefault="007F3128" w:rsidP="00F608A7">
            <w:pPr>
              <w:tabs>
                <w:tab w:val="left" w:pos="1277"/>
              </w:tabs>
              <w:jc w:val="left"/>
              <w:rPr>
                <w:sz w:val="16"/>
                <w:szCs w:val="16"/>
              </w:rPr>
            </w:pPr>
            <w:r w:rsidRPr="00F658A6">
              <w:rPr>
                <w:sz w:val="16"/>
                <w:szCs w:val="16"/>
              </w:rPr>
              <w:t>Héctor Barillas (Tío)</w:t>
            </w:r>
          </w:p>
        </w:tc>
      </w:tr>
      <w:tr w:rsidR="007F3128" w:rsidRPr="00F658A6" w14:paraId="00668C4C" w14:textId="77777777" w:rsidTr="00F608A7">
        <w:tc>
          <w:tcPr>
            <w:tcW w:w="560" w:type="dxa"/>
            <w:gridSpan w:val="2"/>
            <w:vAlign w:val="center"/>
          </w:tcPr>
          <w:p w14:paraId="2B91632D" w14:textId="77777777" w:rsidR="007F3128" w:rsidRPr="00F658A6" w:rsidRDefault="007F3128" w:rsidP="00F608A7">
            <w:pPr>
              <w:jc w:val="left"/>
              <w:rPr>
                <w:sz w:val="16"/>
                <w:szCs w:val="16"/>
              </w:rPr>
            </w:pPr>
            <w:r w:rsidRPr="00F658A6">
              <w:rPr>
                <w:sz w:val="16"/>
                <w:szCs w:val="16"/>
              </w:rPr>
              <w:t>49</w:t>
            </w:r>
          </w:p>
        </w:tc>
        <w:tc>
          <w:tcPr>
            <w:tcW w:w="2950" w:type="dxa"/>
            <w:vAlign w:val="center"/>
          </w:tcPr>
          <w:p w14:paraId="03966D79" w14:textId="6CA062D2" w:rsidR="007F3128" w:rsidRPr="00F658A6" w:rsidRDefault="007F3128" w:rsidP="00F608A7">
            <w:pPr>
              <w:jc w:val="left"/>
              <w:rPr>
                <w:sz w:val="16"/>
                <w:szCs w:val="16"/>
              </w:rPr>
            </w:pPr>
            <w:r w:rsidRPr="00F658A6">
              <w:rPr>
                <w:sz w:val="16"/>
                <w:szCs w:val="16"/>
              </w:rPr>
              <w:t>Sandra Lisbeth Zepeda Herrera</w:t>
            </w:r>
          </w:p>
        </w:tc>
        <w:tc>
          <w:tcPr>
            <w:tcW w:w="567" w:type="dxa"/>
            <w:vAlign w:val="center"/>
          </w:tcPr>
          <w:p w14:paraId="3CF2704E" w14:textId="47904E18" w:rsidR="007F3128" w:rsidRPr="00F658A6" w:rsidRDefault="007F3128" w:rsidP="00F608A7">
            <w:pPr>
              <w:jc w:val="left"/>
              <w:rPr>
                <w:sz w:val="16"/>
                <w:szCs w:val="16"/>
              </w:rPr>
            </w:pPr>
          </w:p>
        </w:tc>
        <w:tc>
          <w:tcPr>
            <w:tcW w:w="4927" w:type="dxa"/>
            <w:vAlign w:val="center"/>
          </w:tcPr>
          <w:p w14:paraId="3BCB46C3" w14:textId="3968C670" w:rsidR="007F3128" w:rsidRPr="00F658A6" w:rsidRDefault="00FF6F4D" w:rsidP="00F608A7">
            <w:pPr>
              <w:tabs>
                <w:tab w:val="left" w:pos="1002"/>
              </w:tabs>
              <w:jc w:val="left"/>
              <w:rPr>
                <w:sz w:val="16"/>
                <w:szCs w:val="16"/>
              </w:rPr>
            </w:pPr>
            <w:r w:rsidRPr="00F658A6">
              <w:rPr>
                <w:sz w:val="16"/>
                <w:szCs w:val="16"/>
              </w:rPr>
              <w:t>No hay informaci</w:t>
            </w:r>
            <w:r w:rsidR="009C1A30" w:rsidRPr="00F658A6">
              <w:rPr>
                <w:sz w:val="16"/>
                <w:szCs w:val="16"/>
              </w:rPr>
              <w:t>ón disponible</w:t>
            </w:r>
          </w:p>
        </w:tc>
      </w:tr>
    </w:tbl>
    <w:p w14:paraId="51DC9A4D" w14:textId="268D902C" w:rsidR="00C571EC" w:rsidRPr="0068359D" w:rsidRDefault="00F608A7" w:rsidP="009932B2">
      <w:pPr>
        <w:jc w:val="center"/>
        <w:rPr>
          <w:sz w:val="16"/>
          <w:szCs w:val="16"/>
        </w:rPr>
      </w:pPr>
      <w:r>
        <w:rPr>
          <w:sz w:val="16"/>
          <w:szCs w:val="16"/>
        </w:rPr>
        <w:br w:type="textWrapping" w:clear="all"/>
      </w:r>
    </w:p>
    <w:p w14:paraId="53AB7C20" w14:textId="17186194" w:rsidR="00C571EC" w:rsidRDefault="00C571EC" w:rsidP="009932B2">
      <w:pPr>
        <w:spacing w:after="200" w:line="276" w:lineRule="auto"/>
        <w:jc w:val="center"/>
        <w:rPr>
          <w:rFonts w:cs="Vrinda"/>
          <w:lang w:bidi="en-US"/>
        </w:rPr>
      </w:pPr>
      <w:r>
        <w:rPr>
          <w:rFonts w:cs="Vrinda"/>
          <w:lang w:bidi="en-US"/>
        </w:rPr>
        <w:br w:type="page"/>
      </w:r>
    </w:p>
    <w:tbl>
      <w:tblPr>
        <w:tblStyle w:val="Tablaconcuadrcula"/>
        <w:tblW w:w="0" w:type="auto"/>
        <w:tblLayout w:type="fixed"/>
        <w:tblLook w:val="04A0" w:firstRow="1" w:lastRow="0" w:firstColumn="1" w:lastColumn="0" w:noHBand="0" w:noVBand="1"/>
      </w:tblPr>
      <w:tblGrid>
        <w:gridCol w:w="560"/>
        <w:gridCol w:w="3092"/>
        <w:gridCol w:w="567"/>
        <w:gridCol w:w="4785"/>
      </w:tblGrid>
      <w:tr w:rsidR="000D2D79" w:rsidRPr="0068359D" w14:paraId="42D91F17" w14:textId="77777777" w:rsidTr="009932B2">
        <w:tc>
          <w:tcPr>
            <w:tcW w:w="9004" w:type="dxa"/>
            <w:gridSpan w:val="4"/>
            <w:vAlign w:val="center"/>
          </w:tcPr>
          <w:p w14:paraId="048E9F4C" w14:textId="77777777" w:rsidR="000D2D79" w:rsidRDefault="00F658A6" w:rsidP="009932B2">
            <w:pPr>
              <w:pStyle w:val="Ttulo1"/>
              <w:spacing w:after="0"/>
              <w:outlineLvl w:val="0"/>
            </w:pPr>
            <w:bookmarkStart w:id="150" w:name="_Toc520238596"/>
            <w:bookmarkStart w:id="151" w:name="_Toc527466508"/>
            <w:r>
              <w:lastRenderedPageBreak/>
              <w:t>ANEXO 2</w:t>
            </w:r>
            <w:r w:rsidR="000D2D79" w:rsidRPr="0068359D">
              <w:t xml:space="preserve">. </w:t>
            </w:r>
            <w:bookmarkEnd w:id="150"/>
            <w:r w:rsidR="00986BEA">
              <w:t xml:space="preserve">LISTADO DE </w:t>
            </w:r>
            <w:r w:rsidR="000D2D79">
              <w:t>Víctimas y sus familiares</w:t>
            </w:r>
            <w:bookmarkEnd w:id="151"/>
          </w:p>
          <w:p w14:paraId="3E259530" w14:textId="17A81ED3" w:rsidR="000303A4" w:rsidRPr="000303A4" w:rsidRDefault="000303A4" w:rsidP="009932B2">
            <w:pPr>
              <w:jc w:val="center"/>
              <w:rPr>
                <w:lang w:val="es-CR" w:eastAsia="es-ES"/>
              </w:rPr>
            </w:pPr>
          </w:p>
        </w:tc>
      </w:tr>
      <w:tr w:rsidR="000D2D79" w:rsidRPr="0068359D" w14:paraId="4398EEDD" w14:textId="77777777" w:rsidTr="009932B2">
        <w:tc>
          <w:tcPr>
            <w:tcW w:w="9004" w:type="dxa"/>
            <w:gridSpan w:val="4"/>
            <w:vAlign w:val="center"/>
          </w:tcPr>
          <w:p w14:paraId="1E8A883B" w14:textId="77777777" w:rsidR="000D2D79" w:rsidRPr="000303A4" w:rsidRDefault="000D2D79" w:rsidP="009932B2">
            <w:pPr>
              <w:jc w:val="center"/>
              <w:rPr>
                <w:b/>
                <w:sz w:val="16"/>
                <w:szCs w:val="16"/>
              </w:rPr>
            </w:pPr>
            <w:r w:rsidRPr="000303A4">
              <w:rPr>
                <w:b/>
                <w:sz w:val="16"/>
                <w:szCs w:val="16"/>
              </w:rPr>
              <w:t>A. VÍCTIMAS FALLECIDAS</w:t>
            </w:r>
          </w:p>
        </w:tc>
      </w:tr>
      <w:tr w:rsidR="000D2D79" w:rsidRPr="0068359D" w14:paraId="4223D5C4" w14:textId="77777777" w:rsidTr="009932B2">
        <w:tc>
          <w:tcPr>
            <w:tcW w:w="560" w:type="dxa"/>
            <w:vAlign w:val="center"/>
          </w:tcPr>
          <w:p w14:paraId="5D106D4C" w14:textId="77777777" w:rsidR="000D2D79" w:rsidRPr="000303A4" w:rsidRDefault="000D2D79" w:rsidP="009932B2">
            <w:pPr>
              <w:jc w:val="center"/>
              <w:rPr>
                <w:b/>
                <w:sz w:val="16"/>
                <w:szCs w:val="16"/>
              </w:rPr>
            </w:pPr>
            <w:r w:rsidRPr="000303A4">
              <w:rPr>
                <w:b/>
                <w:sz w:val="16"/>
                <w:szCs w:val="16"/>
              </w:rPr>
              <w:t>N°</w:t>
            </w:r>
          </w:p>
        </w:tc>
        <w:tc>
          <w:tcPr>
            <w:tcW w:w="3092" w:type="dxa"/>
            <w:vAlign w:val="center"/>
          </w:tcPr>
          <w:p w14:paraId="5A3DF4B8" w14:textId="31C6BC5D" w:rsidR="000D2D79" w:rsidRPr="000303A4" w:rsidRDefault="000D2D79" w:rsidP="00074CB7">
            <w:pPr>
              <w:jc w:val="center"/>
              <w:rPr>
                <w:b/>
                <w:sz w:val="16"/>
                <w:szCs w:val="16"/>
              </w:rPr>
            </w:pPr>
            <w:r w:rsidRPr="000303A4">
              <w:rPr>
                <w:b/>
                <w:sz w:val="16"/>
                <w:szCs w:val="16"/>
              </w:rPr>
              <w:t>VÍCTIMA</w:t>
            </w:r>
            <w:r w:rsidR="00D35892" w:rsidRPr="000303A4">
              <w:rPr>
                <w:b/>
                <w:sz w:val="16"/>
                <w:szCs w:val="16"/>
              </w:rPr>
              <w:t>S</w:t>
            </w:r>
            <w:r w:rsidR="00EF718A">
              <w:rPr>
                <w:b/>
                <w:sz w:val="16"/>
                <w:szCs w:val="16"/>
              </w:rPr>
              <w:t xml:space="preserve"> </w:t>
            </w:r>
          </w:p>
        </w:tc>
        <w:tc>
          <w:tcPr>
            <w:tcW w:w="567" w:type="dxa"/>
            <w:vAlign w:val="center"/>
          </w:tcPr>
          <w:p w14:paraId="15E21734" w14:textId="77777777" w:rsidR="000D2D79" w:rsidRPr="000303A4" w:rsidRDefault="000D2D79" w:rsidP="009932B2">
            <w:pPr>
              <w:jc w:val="center"/>
              <w:rPr>
                <w:b/>
                <w:sz w:val="16"/>
                <w:szCs w:val="16"/>
              </w:rPr>
            </w:pPr>
            <w:r w:rsidRPr="000303A4">
              <w:rPr>
                <w:b/>
                <w:sz w:val="16"/>
                <w:szCs w:val="16"/>
              </w:rPr>
              <w:t>N°</w:t>
            </w:r>
          </w:p>
        </w:tc>
        <w:tc>
          <w:tcPr>
            <w:tcW w:w="4785" w:type="dxa"/>
            <w:vAlign w:val="center"/>
          </w:tcPr>
          <w:p w14:paraId="1DA0EFFF" w14:textId="73FF8519" w:rsidR="000D2D79" w:rsidRPr="000303A4" w:rsidRDefault="00801BAD" w:rsidP="009932B2">
            <w:pPr>
              <w:jc w:val="center"/>
              <w:rPr>
                <w:b/>
                <w:sz w:val="16"/>
                <w:szCs w:val="16"/>
              </w:rPr>
            </w:pPr>
            <w:r w:rsidRPr="000303A4">
              <w:rPr>
                <w:b/>
                <w:sz w:val="16"/>
                <w:szCs w:val="16"/>
              </w:rPr>
              <w:t>FAMILIARES</w:t>
            </w:r>
          </w:p>
        </w:tc>
      </w:tr>
      <w:tr w:rsidR="000D2D79" w:rsidRPr="0068359D" w14:paraId="49755112" w14:textId="77777777" w:rsidTr="009932B2">
        <w:tc>
          <w:tcPr>
            <w:tcW w:w="560" w:type="dxa"/>
            <w:vMerge w:val="restart"/>
            <w:vAlign w:val="center"/>
          </w:tcPr>
          <w:p w14:paraId="73CC88A8" w14:textId="77777777" w:rsidR="000D2D79" w:rsidRPr="000303A4" w:rsidRDefault="000D2D79" w:rsidP="003D3071">
            <w:pPr>
              <w:jc w:val="center"/>
              <w:rPr>
                <w:sz w:val="16"/>
                <w:szCs w:val="16"/>
              </w:rPr>
            </w:pPr>
            <w:r w:rsidRPr="000303A4">
              <w:rPr>
                <w:sz w:val="16"/>
                <w:szCs w:val="16"/>
              </w:rPr>
              <w:t>1</w:t>
            </w:r>
          </w:p>
        </w:tc>
        <w:tc>
          <w:tcPr>
            <w:tcW w:w="3092" w:type="dxa"/>
            <w:vMerge w:val="restart"/>
            <w:vAlign w:val="center"/>
          </w:tcPr>
          <w:p w14:paraId="08A387AD" w14:textId="77777777" w:rsidR="000D2D79" w:rsidRPr="000303A4" w:rsidRDefault="000D2D79" w:rsidP="00F23970">
            <w:pPr>
              <w:jc w:val="left"/>
              <w:rPr>
                <w:sz w:val="16"/>
                <w:szCs w:val="16"/>
              </w:rPr>
            </w:pPr>
            <w:r w:rsidRPr="000303A4">
              <w:rPr>
                <w:sz w:val="16"/>
                <w:szCs w:val="16"/>
              </w:rPr>
              <w:t>Facundo Gómez Reyes</w:t>
            </w:r>
          </w:p>
        </w:tc>
        <w:tc>
          <w:tcPr>
            <w:tcW w:w="567" w:type="dxa"/>
            <w:vAlign w:val="center"/>
          </w:tcPr>
          <w:p w14:paraId="0498A7E1" w14:textId="77777777" w:rsidR="000D2D79" w:rsidRPr="000303A4" w:rsidRDefault="000D2D79" w:rsidP="003D3071">
            <w:pPr>
              <w:jc w:val="center"/>
              <w:rPr>
                <w:sz w:val="16"/>
                <w:szCs w:val="16"/>
              </w:rPr>
            </w:pPr>
            <w:r w:rsidRPr="000303A4">
              <w:rPr>
                <w:sz w:val="16"/>
                <w:szCs w:val="16"/>
              </w:rPr>
              <w:t>1</w:t>
            </w:r>
          </w:p>
        </w:tc>
        <w:tc>
          <w:tcPr>
            <w:tcW w:w="4785" w:type="dxa"/>
            <w:vAlign w:val="center"/>
          </w:tcPr>
          <w:p w14:paraId="6F6D26C5" w14:textId="77777777" w:rsidR="000D2D79" w:rsidRPr="000303A4" w:rsidRDefault="000D2D79" w:rsidP="00F23970">
            <w:pPr>
              <w:jc w:val="left"/>
              <w:rPr>
                <w:sz w:val="16"/>
                <w:szCs w:val="16"/>
              </w:rPr>
            </w:pPr>
            <w:r w:rsidRPr="000303A4">
              <w:rPr>
                <w:sz w:val="16"/>
                <w:szCs w:val="16"/>
              </w:rPr>
              <w:t>María Elena Morales Villafuerte (Compañera)</w:t>
            </w:r>
          </w:p>
        </w:tc>
      </w:tr>
      <w:tr w:rsidR="000D2D79" w:rsidRPr="0068359D" w14:paraId="55A77CFE" w14:textId="77777777" w:rsidTr="009932B2">
        <w:tc>
          <w:tcPr>
            <w:tcW w:w="560" w:type="dxa"/>
            <w:vMerge/>
            <w:vAlign w:val="center"/>
          </w:tcPr>
          <w:p w14:paraId="34B402F8" w14:textId="77777777" w:rsidR="000D2D79" w:rsidRPr="000303A4" w:rsidRDefault="000D2D79" w:rsidP="003D3071">
            <w:pPr>
              <w:jc w:val="center"/>
              <w:rPr>
                <w:sz w:val="16"/>
                <w:szCs w:val="16"/>
              </w:rPr>
            </w:pPr>
          </w:p>
        </w:tc>
        <w:tc>
          <w:tcPr>
            <w:tcW w:w="3092" w:type="dxa"/>
            <w:vMerge/>
            <w:vAlign w:val="center"/>
          </w:tcPr>
          <w:p w14:paraId="78E2BF5A" w14:textId="77777777" w:rsidR="000D2D79" w:rsidRPr="000303A4" w:rsidRDefault="000D2D79" w:rsidP="00F23970">
            <w:pPr>
              <w:jc w:val="left"/>
              <w:rPr>
                <w:sz w:val="16"/>
                <w:szCs w:val="16"/>
              </w:rPr>
            </w:pPr>
          </w:p>
        </w:tc>
        <w:tc>
          <w:tcPr>
            <w:tcW w:w="567" w:type="dxa"/>
            <w:vAlign w:val="center"/>
          </w:tcPr>
          <w:p w14:paraId="2DD3E90A" w14:textId="77777777" w:rsidR="000D2D79" w:rsidRPr="000303A4" w:rsidRDefault="000D2D79" w:rsidP="003D3071">
            <w:pPr>
              <w:jc w:val="center"/>
              <w:rPr>
                <w:sz w:val="16"/>
                <w:szCs w:val="16"/>
              </w:rPr>
            </w:pPr>
            <w:r w:rsidRPr="000303A4">
              <w:rPr>
                <w:sz w:val="16"/>
                <w:szCs w:val="16"/>
              </w:rPr>
              <w:t>2</w:t>
            </w:r>
          </w:p>
        </w:tc>
        <w:tc>
          <w:tcPr>
            <w:tcW w:w="4785" w:type="dxa"/>
            <w:vAlign w:val="center"/>
          </w:tcPr>
          <w:p w14:paraId="359FFC86" w14:textId="0ACAA6E6" w:rsidR="000D2D79" w:rsidRPr="000303A4" w:rsidRDefault="000D2D79" w:rsidP="00F23970">
            <w:pPr>
              <w:jc w:val="left"/>
              <w:rPr>
                <w:sz w:val="16"/>
                <w:szCs w:val="16"/>
              </w:rPr>
            </w:pPr>
            <w:r w:rsidRPr="000303A4">
              <w:rPr>
                <w:sz w:val="16"/>
                <w:szCs w:val="16"/>
              </w:rPr>
              <w:t>Brandon David</w:t>
            </w:r>
            <w:r w:rsidR="00F608A7">
              <w:rPr>
                <w:sz w:val="16"/>
                <w:szCs w:val="16"/>
              </w:rPr>
              <w:t xml:space="preserve"> Adalberto</w:t>
            </w:r>
            <w:r w:rsidRPr="000303A4">
              <w:rPr>
                <w:sz w:val="16"/>
                <w:szCs w:val="16"/>
              </w:rPr>
              <w:t xml:space="preserve"> Gómez Morales (Hijo)</w:t>
            </w:r>
          </w:p>
        </w:tc>
      </w:tr>
      <w:tr w:rsidR="000D2D79" w:rsidRPr="0068359D" w14:paraId="07F98DFF" w14:textId="77777777" w:rsidTr="009932B2">
        <w:tc>
          <w:tcPr>
            <w:tcW w:w="560" w:type="dxa"/>
            <w:vAlign w:val="center"/>
          </w:tcPr>
          <w:p w14:paraId="1572EDB9" w14:textId="77777777" w:rsidR="000D2D79" w:rsidRPr="000303A4" w:rsidRDefault="000D2D79" w:rsidP="003D3071">
            <w:pPr>
              <w:jc w:val="center"/>
              <w:rPr>
                <w:sz w:val="16"/>
                <w:szCs w:val="16"/>
              </w:rPr>
            </w:pPr>
            <w:r w:rsidRPr="000303A4">
              <w:rPr>
                <w:sz w:val="16"/>
                <w:szCs w:val="16"/>
              </w:rPr>
              <w:t>2</w:t>
            </w:r>
          </w:p>
        </w:tc>
        <w:tc>
          <w:tcPr>
            <w:tcW w:w="3092" w:type="dxa"/>
            <w:vAlign w:val="center"/>
          </w:tcPr>
          <w:p w14:paraId="751696B0" w14:textId="77777777" w:rsidR="000D2D79" w:rsidRPr="000303A4" w:rsidRDefault="000D2D79" w:rsidP="00F23970">
            <w:pPr>
              <w:jc w:val="left"/>
              <w:rPr>
                <w:sz w:val="16"/>
                <w:szCs w:val="16"/>
              </w:rPr>
            </w:pPr>
            <w:r w:rsidRPr="000303A4">
              <w:rPr>
                <w:sz w:val="16"/>
                <w:szCs w:val="16"/>
              </w:rPr>
              <w:t>Reina López Mujica</w:t>
            </w:r>
          </w:p>
        </w:tc>
        <w:tc>
          <w:tcPr>
            <w:tcW w:w="567" w:type="dxa"/>
            <w:vAlign w:val="center"/>
          </w:tcPr>
          <w:p w14:paraId="7E9FDEE3" w14:textId="77777777" w:rsidR="000D2D79" w:rsidRPr="000303A4" w:rsidRDefault="000D2D79" w:rsidP="003D3071">
            <w:pPr>
              <w:jc w:val="center"/>
              <w:rPr>
                <w:sz w:val="16"/>
                <w:szCs w:val="16"/>
              </w:rPr>
            </w:pPr>
          </w:p>
        </w:tc>
        <w:tc>
          <w:tcPr>
            <w:tcW w:w="4785" w:type="dxa"/>
            <w:vAlign w:val="center"/>
          </w:tcPr>
          <w:p w14:paraId="56369B88" w14:textId="77777777" w:rsidR="000D2D79" w:rsidRPr="000303A4" w:rsidRDefault="000D2D79" w:rsidP="00F23970">
            <w:pPr>
              <w:jc w:val="left"/>
              <w:rPr>
                <w:sz w:val="16"/>
                <w:szCs w:val="16"/>
              </w:rPr>
            </w:pPr>
          </w:p>
        </w:tc>
      </w:tr>
      <w:tr w:rsidR="000D2D79" w:rsidRPr="0068359D" w14:paraId="1AB246BA" w14:textId="77777777" w:rsidTr="009932B2">
        <w:tc>
          <w:tcPr>
            <w:tcW w:w="560" w:type="dxa"/>
            <w:vMerge w:val="restart"/>
            <w:vAlign w:val="center"/>
          </w:tcPr>
          <w:p w14:paraId="0BC91E19" w14:textId="77777777" w:rsidR="000D2D79" w:rsidRPr="000303A4" w:rsidRDefault="000D2D79" w:rsidP="003D3071">
            <w:pPr>
              <w:jc w:val="center"/>
              <w:rPr>
                <w:sz w:val="16"/>
                <w:szCs w:val="16"/>
              </w:rPr>
            </w:pPr>
            <w:r w:rsidRPr="000303A4">
              <w:rPr>
                <w:sz w:val="16"/>
                <w:szCs w:val="16"/>
              </w:rPr>
              <w:t>3</w:t>
            </w:r>
          </w:p>
        </w:tc>
        <w:tc>
          <w:tcPr>
            <w:tcW w:w="3092" w:type="dxa"/>
            <w:vMerge w:val="restart"/>
            <w:vAlign w:val="center"/>
          </w:tcPr>
          <w:p w14:paraId="3D9449DF" w14:textId="77777777" w:rsidR="000D2D79" w:rsidRPr="000303A4" w:rsidRDefault="000D2D79" w:rsidP="00F23970">
            <w:pPr>
              <w:jc w:val="left"/>
              <w:rPr>
                <w:sz w:val="16"/>
                <w:szCs w:val="16"/>
              </w:rPr>
            </w:pPr>
            <w:r w:rsidRPr="000303A4">
              <w:rPr>
                <w:sz w:val="16"/>
                <w:szCs w:val="16"/>
              </w:rPr>
              <w:t>Ismar Ramírez Chajón</w:t>
            </w:r>
          </w:p>
        </w:tc>
        <w:tc>
          <w:tcPr>
            <w:tcW w:w="567" w:type="dxa"/>
            <w:vAlign w:val="center"/>
          </w:tcPr>
          <w:p w14:paraId="7CE2D0F7" w14:textId="2F778488" w:rsidR="000D2D79" w:rsidRPr="000303A4" w:rsidRDefault="00FB476A" w:rsidP="003D3071">
            <w:pPr>
              <w:jc w:val="center"/>
              <w:rPr>
                <w:sz w:val="16"/>
                <w:szCs w:val="16"/>
              </w:rPr>
            </w:pPr>
            <w:r>
              <w:rPr>
                <w:sz w:val="16"/>
                <w:szCs w:val="16"/>
              </w:rPr>
              <w:t>3</w:t>
            </w:r>
          </w:p>
        </w:tc>
        <w:tc>
          <w:tcPr>
            <w:tcW w:w="4785" w:type="dxa"/>
            <w:vAlign w:val="center"/>
          </w:tcPr>
          <w:p w14:paraId="24779595" w14:textId="77777777" w:rsidR="000D2D79" w:rsidRPr="000303A4" w:rsidRDefault="000D2D79" w:rsidP="00F23970">
            <w:pPr>
              <w:jc w:val="left"/>
              <w:rPr>
                <w:sz w:val="16"/>
                <w:szCs w:val="16"/>
              </w:rPr>
            </w:pPr>
            <w:r w:rsidRPr="000303A4">
              <w:rPr>
                <w:sz w:val="16"/>
                <w:szCs w:val="16"/>
              </w:rPr>
              <w:t>María de Jesús Chajón de León (Madre)</w:t>
            </w:r>
          </w:p>
        </w:tc>
      </w:tr>
      <w:tr w:rsidR="000D2D79" w:rsidRPr="0068359D" w14:paraId="0F0C70F8" w14:textId="77777777" w:rsidTr="009932B2">
        <w:tc>
          <w:tcPr>
            <w:tcW w:w="560" w:type="dxa"/>
            <w:vMerge/>
            <w:vAlign w:val="center"/>
          </w:tcPr>
          <w:p w14:paraId="44501FFE" w14:textId="77777777" w:rsidR="000D2D79" w:rsidRPr="000303A4" w:rsidRDefault="000D2D79" w:rsidP="003D3071">
            <w:pPr>
              <w:jc w:val="center"/>
              <w:rPr>
                <w:sz w:val="16"/>
                <w:szCs w:val="16"/>
              </w:rPr>
            </w:pPr>
          </w:p>
        </w:tc>
        <w:tc>
          <w:tcPr>
            <w:tcW w:w="3092" w:type="dxa"/>
            <w:vMerge/>
            <w:vAlign w:val="center"/>
          </w:tcPr>
          <w:p w14:paraId="50E8259E" w14:textId="77777777" w:rsidR="000D2D79" w:rsidRPr="000303A4" w:rsidRDefault="000D2D79" w:rsidP="00F23970">
            <w:pPr>
              <w:jc w:val="left"/>
              <w:rPr>
                <w:sz w:val="16"/>
                <w:szCs w:val="16"/>
              </w:rPr>
            </w:pPr>
          </w:p>
        </w:tc>
        <w:tc>
          <w:tcPr>
            <w:tcW w:w="567" w:type="dxa"/>
            <w:vAlign w:val="center"/>
          </w:tcPr>
          <w:p w14:paraId="74F81023" w14:textId="61CDDA36" w:rsidR="000D2D79" w:rsidRPr="000303A4" w:rsidRDefault="00FB476A" w:rsidP="003D3071">
            <w:pPr>
              <w:jc w:val="center"/>
              <w:rPr>
                <w:sz w:val="16"/>
                <w:szCs w:val="16"/>
              </w:rPr>
            </w:pPr>
            <w:r>
              <w:rPr>
                <w:sz w:val="16"/>
                <w:szCs w:val="16"/>
              </w:rPr>
              <w:t>4</w:t>
            </w:r>
          </w:p>
        </w:tc>
        <w:tc>
          <w:tcPr>
            <w:tcW w:w="4785" w:type="dxa"/>
            <w:vAlign w:val="center"/>
          </w:tcPr>
          <w:p w14:paraId="6B900493" w14:textId="7C7C6FFB" w:rsidR="000D2D79" w:rsidRPr="000303A4" w:rsidRDefault="000D2D79" w:rsidP="00F23970">
            <w:pPr>
              <w:jc w:val="left"/>
              <w:rPr>
                <w:sz w:val="16"/>
                <w:szCs w:val="16"/>
              </w:rPr>
            </w:pPr>
            <w:r w:rsidRPr="000303A4">
              <w:rPr>
                <w:sz w:val="16"/>
                <w:szCs w:val="16"/>
              </w:rPr>
              <w:t>Carlos Fer</w:t>
            </w:r>
            <w:r w:rsidR="00E01D6E">
              <w:rPr>
                <w:sz w:val="16"/>
                <w:szCs w:val="16"/>
              </w:rPr>
              <w:t>nando Coc</w:t>
            </w:r>
            <w:r w:rsidRPr="000303A4">
              <w:rPr>
                <w:sz w:val="16"/>
                <w:szCs w:val="16"/>
              </w:rPr>
              <w:t xml:space="preserve"> Chajón (Hermano)</w:t>
            </w:r>
          </w:p>
        </w:tc>
      </w:tr>
      <w:tr w:rsidR="000D2D79" w:rsidRPr="0068359D" w14:paraId="32F4D207" w14:textId="77777777" w:rsidTr="009932B2">
        <w:tc>
          <w:tcPr>
            <w:tcW w:w="560" w:type="dxa"/>
            <w:vAlign w:val="center"/>
          </w:tcPr>
          <w:p w14:paraId="6B568D6B" w14:textId="77777777" w:rsidR="000D2D79" w:rsidRPr="000303A4" w:rsidRDefault="000D2D79" w:rsidP="003D3071">
            <w:pPr>
              <w:jc w:val="center"/>
              <w:rPr>
                <w:sz w:val="16"/>
                <w:szCs w:val="16"/>
              </w:rPr>
            </w:pPr>
            <w:r w:rsidRPr="000303A4">
              <w:rPr>
                <w:sz w:val="16"/>
                <w:szCs w:val="16"/>
              </w:rPr>
              <w:t>4</w:t>
            </w:r>
          </w:p>
        </w:tc>
        <w:tc>
          <w:tcPr>
            <w:tcW w:w="3092" w:type="dxa"/>
            <w:vAlign w:val="center"/>
          </w:tcPr>
          <w:p w14:paraId="727C2BF8" w14:textId="77777777" w:rsidR="000D2D79" w:rsidRPr="000303A4" w:rsidRDefault="000D2D79" w:rsidP="00F23970">
            <w:pPr>
              <w:jc w:val="left"/>
              <w:rPr>
                <w:sz w:val="16"/>
                <w:szCs w:val="16"/>
              </w:rPr>
            </w:pPr>
            <w:r w:rsidRPr="000303A4">
              <w:rPr>
                <w:sz w:val="16"/>
                <w:szCs w:val="16"/>
              </w:rPr>
              <w:t>Petrona López Robledo</w:t>
            </w:r>
          </w:p>
        </w:tc>
        <w:tc>
          <w:tcPr>
            <w:tcW w:w="567" w:type="dxa"/>
            <w:vAlign w:val="center"/>
          </w:tcPr>
          <w:p w14:paraId="20AFAABA" w14:textId="77777777" w:rsidR="000D2D79" w:rsidRPr="000303A4" w:rsidRDefault="000D2D79" w:rsidP="003D3071">
            <w:pPr>
              <w:jc w:val="center"/>
              <w:rPr>
                <w:sz w:val="16"/>
                <w:szCs w:val="16"/>
              </w:rPr>
            </w:pPr>
          </w:p>
        </w:tc>
        <w:tc>
          <w:tcPr>
            <w:tcW w:w="4785" w:type="dxa"/>
            <w:vAlign w:val="center"/>
          </w:tcPr>
          <w:p w14:paraId="0E356F20" w14:textId="77777777" w:rsidR="000D2D79" w:rsidRPr="000303A4" w:rsidRDefault="000D2D79" w:rsidP="00F23970">
            <w:pPr>
              <w:jc w:val="left"/>
              <w:rPr>
                <w:sz w:val="16"/>
                <w:szCs w:val="16"/>
              </w:rPr>
            </w:pPr>
          </w:p>
        </w:tc>
      </w:tr>
      <w:tr w:rsidR="000D2D79" w:rsidRPr="0068359D" w14:paraId="73962C1C" w14:textId="77777777" w:rsidTr="009932B2">
        <w:tc>
          <w:tcPr>
            <w:tcW w:w="560" w:type="dxa"/>
            <w:vAlign w:val="center"/>
          </w:tcPr>
          <w:p w14:paraId="752A213E" w14:textId="77777777" w:rsidR="000D2D79" w:rsidRPr="000303A4" w:rsidRDefault="000D2D79" w:rsidP="003D3071">
            <w:pPr>
              <w:jc w:val="center"/>
              <w:rPr>
                <w:sz w:val="16"/>
                <w:szCs w:val="16"/>
              </w:rPr>
            </w:pPr>
            <w:r w:rsidRPr="000303A4">
              <w:rPr>
                <w:sz w:val="16"/>
                <w:szCs w:val="16"/>
              </w:rPr>
              <w:t>5</w:t>
            </w:r>
          </w:p>
        </w:tc>
        <w:tc>
          <w:tcPr>
            <w:tcW w:w="3092" w:type="dxa"/>
            <w:vAlign w:val="center"/>
          </w:tcPr>
          <w:p w14:paraId="6C4A4B65" w14:textId="77777777" w:rsidR="000D2D79" w:rsidRPr="000303A4" w:rsidRDefault="000D2D79" w:rsidP="00F23970">
            <w:pPr>
              <w:jc w:val="left"/>
              <w:rPr>
                <w:sz w:val="16"/>
                <w:szCs w:val="16"/>
              </w:rPr>
            </w:pPr>
            <w:r w:rsidRPr="000303A4">
              <w:rPr>
                <w:sz w:val="16"/>
                <w:szCs w:val="16"/>
              </w:rPr>
              <w:t>Rita Mariana Dubón Orozco</w:t>
            </w:r>
          </w:p>
        </w:tc>
        <w:tc>
          <w:tcPr>
            <w:tcW w:w="567" w:type="dxa"/>
            <w:vAlign w:val="center"/>
          </w:tcPr>
          <w:p w14:paraId="793B55E7" w14:textId="509EFED7" w:rsidR="000D2D79" w:rsidRPr="000303A4" w:rsidRDefault="005C4A7F" w:rsidP="003D3071">
            <w:pPr>
              <w:jc w:val="center"/>
              <w:rPr>
                <w:sz w:val="16"/>
                <w:szCs w:val="16"/>
              </w:rPr>
            </w:pPr>
            <w:r>
              <w:rPr>
                <w:sz w:val="16"/>
                <w:szCs w:val="16"/>
              </w:rPr>
              <w:t>5</w:t>
            </w:r>
          </w:p>
        </w:tc>
        <w:tc>
          <w:tcPr>
            <w:tcW w:w="4785" w:type="dxa"/>
            <w:vAlign w:val="center"/>
          </w:tcPr>
          <w:p w14:paraId="745B74A1" w14:textId="1D7AAF7D" w:rsidR="000D2D79" w:rsidRPr="000303A4" w:rsidRDefault="00E01D6E" w:rsidP="00F23970">
            <w:pPr>
              <w:jc w:val="left"/>
              <w:rPr>
                <w:sz w:val="16"/>
                <w:szCs w:val="16"/>
              </w:rPr>
            </w:pPr>
            <w:r>
              <w:rPr>
                <w:sz w:val="16"/>
                <w:szCs w:val="16"/>
              </w:rPr>
              <w:t>Luz Imelda Lucas</w:t>
            </w:r>
            <w:r w:rsidR="00F608A7">
              <w:rPr>
                <w:sz w:val="16"/>
                <w:szCs w:val="16"/>
              </w:rPr>
              <w:t xml:space="preserve"> de</w:t>
            </w:r>
            <w:r>
              <w:rPr>
                <w:sz w:val="16"/>
                <w:szCs w:val="16"/>
              </w:rPr>
              <w:t xml:space="preserve"> León</w:t>
            </w:r>
          </w:p>
        </w:tc>
      </w:tr>
      <w:tr w:rsidR="000D2D79" w:rsidRPr="0068359D" w14:paraId="2220F721" w14:textId="77777777" w:rsidTr="009932B2">
        <w:tc>
          <w:tcPr>
            <w:tcW w:w="560" w:type="dxa"/>
            <w:vAlign w:val="center"/>
          </w:tcPr>
          <w:p w14:paraId="63273677" w14:textId="77777777" w:rsidR="000D2D79" w:rsidRPr="000303A4" w:rsidRDefault="000D2D79" w:rsidP="003D3071">
            <w:pPr>
              <w:jc w:val="center"/>
              <w:rPr>
                <w:sz w:val="16"/>
                <w:szCs w:val="16"/>
              </w:rPr>
            </w:pPr>
            <w:r w:rsidRPr="000303A4">
              <w:rPr>
                <w:sz w:val="16"/>
                <w:szCs w:val="16"/>
              </w:rPr>
              <w:t>6</w:t>
            </w:r>
          </w:p>
        </w:tc>
        <w:tc>
          <w:tcPr>
            <w:tcW w:w="3092" w:type="dxa"/>
            <w:vAlign w:val="center"/>
          </w:tcPr>
          <w:p w14:paraId="72615CA7" w14:textId="63C87D45" w:rsidR="000D2D79" w:rsidRPr="000303A4" w:rsidRDefault="00F608A7" w:rsidP="00F23970">
            <w:pPr>
              <w:jc w:val="left"/>
              <w:rPr>
                <w:sz w:val="16"/>
                <w:szCs w:val="16"/>
              </w:rPr>
            </w:pPr>
            <w:r>
              <w:rPr>
                <w:sz w:val="16"/>
                <w:szCs w:val="16"/>
              </w:rPr>
              <w:t>Luis Edwin Cruz Gramajo</w:t>
            </w:r>
          </w:p>
        </w:tc>
        <w:tc>
          <w:tcPr>
            <w:tcW w:w="567" w:type="dxa"/>
            <w:vAlign w:val="center"/>
          </w:tcPr>
          <w:p w14:paraId="1C2C6250" w14:textId="77777777" w:rsidR="000D2D79" w:rsidRPr="000303A4" w:rsidRDefault="000D2D79" w:rsidP="003D3071">
            <w:pPr>
              <w:jc w:val="center"/>
              <w:rPr>
                <w:sz w:val="16"/>
                <w:szCs w:val="16"/>
              </w:rPr>
            </w:pPr>
          </w:p>
        </w:tc>
        <w:tc>
          <w:tcPr>
            <w:tcW w:w="4785" w:type="dxa"/>
            <w:vAlign w:val="center"/>
          </w:tcPr>
          <w:p w14:paraId="6DC46343" w14:textId="77777777" w:rsidR="000D2D79" w:rsidRPr="000303A4" w:rsidRDefault="000D2D79" w:rsidP="00F23970">
            <w:pPr>
              <w:jc w:val="left"/>
              <w:rPr>
                <w:sz w:val="16"/>
                <w:szCs w:val="16"/>
              </w:rPr>
            </w:pPr>
          </w:p>
        </w:tc>
      </w:tr>
      <w:tr w:rsidR="007F18B8" w:rsidRPr="0068359D" w14:paraId="0139F28D" w14:textId="77777777" w:rsidTr="009932B2">
        <w:tc>
          <w:tcPr>
            <w:tcW w:w="560" w:type="dxa"/>
            <w:vMerge w:val="restart"/>
            <w:vAlign w:val="center"/>
          </w:tcPr>
          <w:p w14:paraId="5593CC90" w14:textId="518CBB4D" w:rsidR="007F18B8" w:rsidRPr="000303A4" w:rsidRDefault="007F18B8" w:rsidP="003D3071">
            <w:pPr>
              <w:jc w:val="center"/>
              <w:rPr>
                <w:sz w:val="16"/>
                <w:szCs w:val="16"/>
              </w:rPr>
            </w:pPr>
            <w:r>
              <w:rPr>
                <w:sz w:val="16"/>
                <w:szCs w:val="16"/>
              </w:rPr>
              <w:t>7</w:t>
            </w:r>
          </w:p>
        </w:tc>
        <w:tc>
          <w:tcPr>
            <w:tcW w:w="3092" w:type="dxa"/>
            <w:vMerge w:val="restart"/>
            <w:vAlign w:val="center"/>
          </w:tcPr>
          <w:p w14:paraId="221B9492" w14:textId="6A06CC8A" w:rsidR="007F18B8" w:rsidRPr="000303A4" w:rsidRDefault="007F18B8" w:rsidP="00F608A7">
            <w:pPr>
              <w:jc w:val="left"/>
              <w:rPr>
                <w:sz w:val="16"/>
                <w:szCs w:val="16"/>
              </w:rPr>
            </w:pPr>
            <w:r>
              <w:rPr>
                <w:sz w:val="16"/>
                <w:szCs w:val="16"/>
              </w:rPr>
              <w:t>María Blanca Va</w:t>
            </w:r>
            <w:r w:rsidR="00F608A7">
              <w:rPr>
                <w:sz w:val="16"/>
                <w:szCs w:val="16"/>
              </w:rPr>
              <w:t>í</w:t>
            </w:r>
            <w:r>
              <w:rPr>
                <w:sz w:val="16"/>
                <w:szCs w:val="16"/>
              </w:rPr>
              <w:t>l López</w:t>
            </w:r>
          </w:p>
        </w:tc>
        <w:tc>
          <w:tcPr>
            <w:tcW w:w="567" w:type="dxa"/>
            <w:vAlign w:val="center"/>
          </w:tcPr>
          <w:p w14:paraId="171F59DE" w14:textId="5EC48A4E" w:rsidR="007F18B8" w:rsidRPr="000303A4" w:rsidRDefault="005C4A7F" w:rsidP="003D3071">
            <w:pPr>
              <w:jc w:val="center"/>
              <w:rPr>
                <w:sz w:val="16"/>
                <w:szCs w:val="16"/>
              </w:rPr>
            </w:pPr>
            <w:r>
              <w:rPr>
                <w:sz w:val="16"/>
                <w:szCs w:val="16"/>
              </w:rPr>
              <w:t>6</w:t>
            </w:r>
          </w:p>
        </w:tc>
        <w:tc>
          <w:tcPr>
            <w:tcW w:w="4785" w:type="dxa"/>
            <w:vAlign w:val="center"/>
          </w:tcPr>
          <w:p w14:paraId="28C74F4D" w14:textId="3931B557" w:rsidR="007F18B8" w:rsidRPr="000303A4" w:rsidRDefault="00F608A7" w:rsidP="00F23970">
            <w:pPr>
              <w:jc w:val="left"/>
              <w:rPr>
                <w:sz w:val="16"/>
                <w:szCs w:val="16"/>
              </w:rPr>
            </w:pPr>
            <w:r>
              <w:rPr>
                <w:sz w:val="16"/>
                <w:szCs w:val="16"/>
              </w:rPr>
              <w:t>Lexana Rosbetty Pérez Vaíl</w:t>
            </w:r>
          </w:p>
        </w:tc>
      </w:tr>
      <w:tr w:rsidR="007F18B8" w:rsidRPr="0068359D" w14:paraId="49740A46" w14:textId="77777777" w:rsidTr="009932B2">
        <w:tc>
          <w:tcPr>
            <w:tcW w:w="560" w:type="dxa"/>
            <w:vMerge/>
            <w:vAlign w:val="center"/>
          </w:tcPr>
          <w:p w14:paraId="0D81BB9F" w14:textId="77777777" w:rsidR="007F18B8" w:rsidRPr="000303A4" w:rsidRDefault="007F18B8" w:rsidP="003D3071">
            <w:pPr>
              <w:jc w:val="center"/>
              <w:rPr>
                <w:sz w:val="16"/>
                <w:szCs w:val="16"/>
              </w:rPr>
            </w:pPr>
          </w:p>
        </w:tc>
        <w:tc>
          <w:tcPr>
            <w:tcW w:w="3092" w:type="dxa"/>
            <w:vMerge/>
            <w:vAlign w:val="center"/>
          </w:tcPr>
          <w:p w14:paraId="45077317" w14:textId="77777777" w:rsidR="007F18B8" w:rsidRPr="000303A4" w:rsidRDefault="007F18B8" w:rsidP="00F23970">
            <w:pPr>
              <w:jc w:val="left"/>
              <w:rPr>
                <w:sz w:val="16"/>
                <w:szCs w:val="16"/>
              </w:rPr>
            </w:pPr>
          </w:p>
        </w:tc>
        <w:tc>
          <w:tcPr>
            <w:tcW w:w="567" w:type="dxa"/>
            <w:vAlign w:val="center"/>
          </w:tcPr>
          <w:p w14:paraId="49D71943" w14:textId="10C5BF59" w:rsidR="007F18B8" w:rsidRPr="000303A4" w:rsidRDefault="005C4A7F" w:rsidP="003D3071">
            <w:pPr>
              <w:jc w:val="center"/>
              <w:rPr>
                <w:sz w:val="16"/>
                <w:szCs w:val="16"/>
              </w:rPr>
            </w:pPr>
            <w:r>
              <w:rPr>
                <w:sz w:val="16"/>
                <w:szCs w:val="16"/>
              </w:rPr>
              <w:t>7</w:t>
            </w:r>
          </w:p>
        </w:tc>
        <w:tc>
          <w:tcPr>
            <w:tcW w:w="4785" w:type="dxa"/>
            <w:vAlign w:val="center"/>
          </w:tcPr>
          <w:p w14:paraId="5BF10C5C" w14:textId="5F970C4D" w:rsidR="007F18B8" w:rsidRPr="000303A4" w:rsidRDefault="00F608A7" w:rsidP="00F23970">
            <w:pPr>
              <w:jc w:val="left"/>
              <w:rPr>
                <w:sz w:val="16"/>
                <w:szCs w:val="16"/>
              </w:rPr>
            </w:pPr>
            <w:r>
              <w:rPr>
                <w:sz w:val="16"/>
                <w:szCs w:val="16"/>
              </w:rPr>
              <w:t>Antonio Vaíl</w:t>
            </w:r>
            <w:r w:rsidR="007F18B8">
              <w:rPr>
                <w:sz w:val="16"/>
                <w:szCs w:val="16"/>
              </w:rPr>
              <w:t xml:space="preserve"> Molina</w:t>
            </w:r>
          </w:p>
        </w:tc>
      </w:tr>
      <w:tr w:rsidR="000D2D79" w:rsidRPr="0068359D" w14:paraId="3B030290" w14:textId="77777777" w:rsidTr="009932B2">
        <w:tc>
          <w:tcPr>
            <w:tcW w:w="560" w:type="dxa"/>
            <w:vMerge w:val="restart"/>
            <w:vAlign w:val="center"/>
          </w:tcPr>
          <w:p w14:paraId="65B57524" w14:textId="39C83D68" w:rsidR="000D2D79" w:rsidRPr="000303A4" w:rsidRDefault="00E01D6E" w:rsidP="003D3071">
            <w:pPr>
              <w:jc w:val="center"/>
              <w:rPr>
                <w:sz w:val="16"/>
                <w:szCs w:val="16"/>
              </w:rPr>
            </w:pPr>
            <w:r>
              <w:rPr>
                <w:sz w:val="16"/>
                <w:szCs w:val="16"/>
              </w:rPr>
              <w:t>8</w:t>
            </w:r>
          </w:p>
        </w:tc>
        <w:tc>
          <w:tcPr>
            <w:tcW w:w="3092" w:type="dxa"/>
            <w:vMerge w:val="restart"/>
            <w:vAlign w:val="center"/>
          </w:tcPr>
          <w:p w14:paraId="7D5BE334" w14:textId="5A0C08B9" w:rsidR="000D2D79" w:rsidRPr="000303A4" w:rsidRDefault="00F608A7" w:rsidP="00767761">
            <w:pPr>
              <w:jc w:val="left"/>
              <w:rPr>
                <w:sz w:val="16"/>
                <w:szCs w:val="16"/>
              </w:rPr>
            </w:pPr>
            <w:r>
              <w:rPr>
                <w:sz w:val="16"/>
                <w:szCs w:val="16"/>
              </w:rPr>
              <w:t>Guadalupe He</w:t>
            </w:r>
            <w:r w:rsidR="000D2D79" w:rsidRPr="000303A4">
              <w:rPr>
                <w:sz w:val="16"/>
                <w:szCs w:val="16"/>
              </w:rPr>
              <w:t>rminia Cayax</w:t>
            </w:r>
            <w:r w:rsidR="00767761">
              <w:rPr>
                <w:sz w:val="16"/>
                <w:szCs w:val="16"/>
              </w:rPr>
              <w:t>o</w:t>
            </w:r>
            <w:r w:rsidR="000D2D79" w:rsidRPr="000303A4">
              <w:rPr>
                <w:sz w:val="16"/>
                <w:szCs w:val="16"/>
              </w:rPr>
              <w:t>n García</w:t>
            </w:r>
          </w:p>
        </w:tc>
        <w:tc>
          <w:tcPr>
            <w:tcW w:w="567" w:type="dxa"/>
            <w:vAlign w:val="center"/>
          </w:tcPr>
          <w:p w14:paraId="49284F21" w14:textId="7DE37459" w:rsidR="000D2D79" w:rsidRPr="000303A4" w:rsidRDefault="005C4A7F" w:rsidP="003D3071">
            <w:pPr>
              <w:jc w:val="center"/>
              <w:rPr>
                <w:sz w:val="16"/>
                <w:szCs w:val="16"/>
              </w:rPr>
            </w:pPr>
            <w:r>
              <w:rPr>
                <w:sz w:val="16"/>
                <w:szCs w:val="16"/>
              </w:rPr>
              <w:t>8</w:t>
            </w:r>
          </w:p>
        </w:tc>
        <w:tc>
          <w:tcPr>
            <w:tcW w:w="4785" w:type="dxa"/>
            <w:shd w:val="clear" w:color="auto" w:fill="auto"/>
            <w:vAlign w:val="center"/>
          </w:tcPr>
          <w:p w14:paraId="2A708DF7" w14:textId="4725FA9B" w:rsidR="000D2D79" w:rsidRPr="000303A4" w:rsidRDefault="00F608A7" w:rsidP="00F23970">
            <w:pPr>
              <w:jc w:val="left"/>
              <w:rPr>
                <w:sz w:val="16"/>
                <w:szCs w:val="16"/>
              </w:rPr>
            </w:pPr>
            <w:r>
              <w:rPr>
                <w:sz w:val="16"/>
                <w:szCs w:val="16"/>
              </w:rPr>
              <w:t>Sandra Judith Pérez Cayaxo</w:t>
            </w:r>
            <w:r w:rsidR="000D2D79" w:rsidRPr="000303A4">
              <w:rPr>
                <w:sz w:val="16"/>
                <w:szCs w:val="16"/>
              </w:rPr>
              <w:t>n (Hija)</w:t>
            </w:r>
          </w:p>
        </w:tc>
      </w:tr>
      <w:tr w:rsidR="000D2D79" w:rsidRPr="0068359D" w14:paraId="2A5F4A27" w14:textId="77777777" w:rsidTr="009932B2">
        <w:tc>
          <w:tcPr>
            <w:tcW w:w="560" w:type="dxa"/>
            <w:vMerge/>
            <w:vAlign w:val="center"/>
          </w:tcPr>
          <w:p w14:paraId="7D86333D" w14:textId="77777777" w:rsidR="000D2D79" w:rsidRPr="000303A4" w:rsidRDefault="000D2D79" w:rsidP="003D3071">
            <w:pPr>
              <w:jc w:val="center"/>
              <w:rPr>
                <w:sz w:val="16"/>
                <w:szCs w:val="16"/>
              </w:rPr>
            </w:pPr>
          </w:p>
        </w:tc>
        <w:tc>
          <w:tcPr>
            <w:tcW w:w="3092" w:type="dxa"/>
            <w:vMerge/>
            <w:vAlign w:val="center"/>
          </w:tcPr>
          <w:p w14:paraId="20689EB4" w14:textId="77777777" w:rsidR="000D2D79" w:rsidRPr="000303A4" w:rsidRDefault="000D2D79" w:rsidP="00F23970">
            <w:pPr>
              <w:jc w:val="left"/>
              <w:rPr>
                <w:sz w:val="16"/>
                <w:szCs w:val="16"/>
              </w:rPr>
            </w:pPr>
          </w:p>
        </w:tc>
        <w:tc>
          <w:tcPr>
            <w:tcW w:w="567" w:type="dxa"/>
            <w:vAlign w:val="center"/>
          </w:tcPr>
          <w:p w14:paraId="689D1650" w14:textId="2A9A0393" w:rsidR="000D2D79" w:rsidRPr="000303A4" w:rsidRDefault="005C4A7F" w:rsidP="003D3071">
            <w:pPr>
              <w:jc w:val="center"/>
              <w:rPr>
                <w:sz w:val="16"/>
                <w:szCs w:val="16"/>
              </w:rPr>
            </w:pPr>
            <w:r>
              <w:rPr>
                <w:sz w:val="16"/>
                <w:szCs w:val="16"/>
              </w:rPr>
              <w:t>9</w:t>
            </w:r>
          </w:p>
        </w:tc>
        <w:tc>
          <w:tcPr>
            <w:tcW w:w="4785" w:type="dxa"/>
            <w:shd w:val="clear" w:color="auto" w:fill="auto"/>
            <w:vAlign w:val="center"/>
          </w:tcPr>
          <w:p w14:paraId="6D6DDA5E" w14:textId="16272AB0" w:rsidR="000D2D79" w:rsidRPr="000303A4" w:rsidRDefault="00F608A7" w:rsidP="00F23970">
            <w:pPr>
              <w:jc w:val="left"/>
              <w:rPr>
                <w:sz w:val="16"/>
                <w:szCs w:val="16"/>
              </w:rPr>
            </w:pPr>
            <w:r>
              <w:rPr>
                <w:sz w:val="16"/>
                <w:szCs w:val="16"/>
              </w:rPr>
              <w:t>Guadalupe Pérez Cayaxo</w:t>
            </w:r>
            <w:r w:rsidR="000D2D79" w:rsidRPr="000303A4">
              <w:rPr>
                <w:sz w:val="16"/>
                <w:szCs w:val="16"/>
              </w:rPr>
              <w:t>n (Hija)</w:t>
            </w:r>
          </w:p>
        </w:tc>
      </w:tr>
      <w:tr w:rsidR="000D2D79" w:rsidRPr="0068359D" w14:paraId="68172572" w14:textId="77777777" w:rsidTr="009932B2">
        <w:tc>
          <w:tcPr>
            <w:tcW w:w="560" w:type="dxa"/>
            <w:vMerge/>
            <w:vAlign w:val="center"/>
          </w:tcPr>
          <w:p w14:paraId="24AC7357" w14:textId="77777777" w:rsidR="000D2D79" w:rsidRPr="000303A4" w:rsidRDefault="000D2D79" w:rsidP="003D3071">
            <w:pPr>
              <w:jc w:val="center"/>
              <w:rPr>
                <w:sz w:val="16"/>
                <w:szCs w:val="16"/>
              </w:rPr>
            </w:pPr>
          </w:p>
        </w:tc>
        <w:tc>
          <w:tcPr>
            <w:tcW w:w="3092" w:type="dxa"/>
            <w:vMerge/>
            <w:vAlign w:val="center"/>
          </w:tcPr>
          <w:p w14:paraId="06D19ACA" w14:textId="77777777" w:rsidR="000D2D79" w:rsidRPr="000303A4" w:rsidRDefault="000D2D79" w:rsidP="00F23970">
            <w:pPr>
              <w:jc w:val="left"/>
              <w:rPr>
                <w:sz w:val="16"/>
                <w:szCs w:val="16"/>
              </w:rPr>
            </w:pPr>
          </w:p>
        </w:tc>
        <w:tc>
          <w:tcPr>
            <w:tcW w:w="567" w:type="dxa"/>
            <w:vAlign w:val="center"/>
          </w:tcPr>
          <w:p w14:paraId="322BE41E" w14:textId="0368CC75" w:rsidR="000D2D79" w:rsidRPr="000303A4" w:rsidRDefault="005C4A7F" w:rsidP="003D3071">
            <w:pPr>
              <w:jc w:val="center"/>
              <w:rPr>
                <w:sz w:val="16"/>
                <w:szCs w:val="16"/>
              </w:rPr>
            </w:pPr>
            <w:r>
              <w:rPr>
                <w:sz w:val="16"/>
                <w:szCs w:val="16"/>
              </w:rPr>
              <w:t>10</w:t>
            </w:r>
          </w:p>
        </w:tc>
        <w:tc>
          <w:tcPr>
            <w:tcW w:w="4785" w:type="dxa"/>
            <w:shd w:val="clear" w:color="auto" w:fill="auto"/>
            <w:vAlign w:val="center"/>
          </w:tcPr>
          <w:p w14:paraId="58DB173B" w14:textId="2BED65FE" w:rsidR="000D2D79" w:rsidRPr="000303A4" w:rsidRDefault="000D2D79" w:rsidP="00F23970">
            <w:pPr>
              <w:jc w:val="left"/>
              <w:rPr>
                <w:sz w:val="16"/>
                <w:szCs w:val="16"/>
              </w:rPr>
            </w:pPr>
            <w:r w:rsidRPr="000303A4">
              <w:rPr>
                <w:sz w:val="16"/>
                <w:szCs w:val="16"/>
              </w:rPr>
              <w:t>Yensi</w:t>
            </w:r>
            <w:r w:rsidR="00E01D6E">
              <w:rPr>
                <w:sz w:val="16"/>
                <w:szCs w:val="16"/>
              </w:rPr>
              <w:t xml:space="preserve"> Nohemí</w:t>
            </w:r>
            <w:r w:rsidR="00F608A7">
              <w:rPr>
                <w:sz w:val="16"/>
                <w:szCs w:val="16"/>
              </w:rPr>
              <w:t xml:space="preserve"> Pérez Cayaxo</w:t>
            </w:r>
            <w:r w:rsidRPr="000303A4">
              <w:rPr>
                <w:sz w:val="16"/>
                <w:szCs w:val="16"/>
              </w:rPr>
              <w:t>n (Hija)</w:t>
            </w:r>
          </w:p>
        </w:tc>
      </w:tr>
      <w:tr w:rsidR="000D2D79" w:rsidRPr="0068359D" w14:paraId="4B818A5F" w14:textId="77777777" w:rsidTr="009932B2">
        <w:tc>
          <w:tcPr>
            <w:tcW w:w="560" w:type="dxa"/>
            <w:vMerge/>
            <w:vAlign w:val="center"/>
          </w:tcPr>
          <w:p w14:paraId="5B047FA6" w14:textId="77777777" w:rsidR="000D2D79" w:rsidRPr="000303A4" w:rsidRDefault="000D2D79" w:rsidP="003D3071">
            <w:pPr>
              <w:jc w:val="center"/>
              <w:rPr>
                <w:sz w:val="16"/>
                <w:szCs w:val="16"/>
              </w:rPr>
            </w:pPr>
          </w:p>
        </w:tc>
        <w:tc>
          <w:tcPr>
            <w:tcW w:w="3092" w:type="dxa"/>
            <w:vMerge/>
            <w:vAlign w:val="center"/>
          </w:tcPr>
          <w:p w14:paraId="56A1D919" w14:textId="77777777" w:rsidR="000D2D79" w:rsidRPr="000303A4" w:rsidRDefault="000D2D79" w:rsidP="00F23970">
            <w:pPr>
              <w:jc w:val="left"/>
              <w:rPr>
                <w:sz w:val="16"/>
                <w:szCs w:val="16"/>
              </w:rPr>
            </w:pPr>
          </w:p>
        </w:tc>
        <w:tc>
          <w:tcPr>
            <w:tcW w:w="567" w:type="dxa"/>
            <w:vAlign w:val="center"/>
          </w:tcPr>
          <w:p w14:paraId="1A126D19" w14:textId="26EF5FB2" w:rsidR="000D2D79" w:rsidRPr="000303A4" w:rsidRDefault="005C4A7F" w:rsidP="003D3071">
            <w:pPr>
              <w:jc w:val="center"/>
              <w:rPr>
                <w:sz w:val="16"/>
                <w:szCs w:val="16"/>
              </w:rPr>
            </w:pPr>
            <w:r>
              <w:rPr>
                <w:sz w:val="16"/>
                <w:szCs w:val="16"/>
              </w:rPr>
              <w:t>11</w:t>
            </w:r>
          </w:p>
        </w:tc>
        <w:tc>
          <w:tcPr>
            <w:tcW w:w="4785" w:type="dxa"/>
            <w:shd w:val="clear" w:color="auto" w:fill="auto"/>
            <w:vAlign w:val="center"/>
          </w:tcPr>
          <w:p w14:paraId="4FF029D4" w14:textId="77777777" w:rsidR="000D2D79" w:rsidRPr="000303A4" w:rsidRDefault="000D2D79" w:rsidP="00F23970">
            <w:pPr>
              <w:jc w:val="left"/>
              <w:rPr>
                <w:sz w:val="16"/>
                <w:szCs w:val="16"/>
              </w:rPr>
            </w:pPr>
            <w:r w:rsidRPr="000303A4">
              <w:rPr>
                <w:sz w:val="16"/>
                <w:szCs w:val="16"/>
              </w:rPr>
              <w:t>Cruz García Ramos (Madre)</w:t>
            </w:r>
          </w:p>
        </w:tc>
      </w:tr>
      <w:tr w:rsidR="000D2D79" w:rsidRPr="0068359D" w14:paraId="35B2979D" w14:textId="77777777" w:rsidTr="009932B2">
        <w:tc>
          <w:tcPr>
            <w:tcW w:w="560" w:type="dxa"/>
            <w:vAlign w:val="center"/>
          </w:tcPr>
          <w:p w14:paraId="43A64EFB" w14:textId="63F754A3" w:rsidR="000D2D79" w:rsidRPr="000303A4" w:rsidRDefault="00E01D6E" w:rsidP="003D3071">
            <w:pPr>
              <w:jc w:val="center"/>
              <w:rPr>
                <w:sz w:val="16"/>
                <w:szCs w:val="16"/>
              </w:rPr>
            </w:pPr>
            <w:r>
              <w:rPr>
                <w:sz w:val="16"/>
                <w:szCs w:val="16"/>
              </w:rPr>
              <w:t>9</w:t>
            </w:r>
          </w:p>
        </w:tc>
        <w:tc>
          <w:tcPr>
            <w:tcW w:w="3092" w:type="dxa"/>
            <w:vAlign w:val="center"/>
          </w:tcPr>
          <w:p w14:paraId="5E30BF4F" w14:textId="77777777" w:rsidR="000D2D79" w:rsidRPr="000303A4" w:rsidRDefault="000D2D79" w:rsidP="00F23970">
            <w:pPr>
              <w:jc w:val="left"/>
              <w:rPr>
                <w:sz w:val="16"/>
                <w:szCs w:val="16"/>
              </w:rPr>
            </w:pPr>
            <w:r w:rsidRPr="000303A4">
              <w:rPr>
                <w:sz w:val="16"/>
                <w:szCs w:val="16"/>
              </w:rPr>
              <w:t>José Rubén Delgado López</w:t>
            </w:r>
          </w:p>
        </w:tc>
        <w:tc>
          <w:tcPr>
            <w:tcW w:w="567" w:type="dxa"/>
            <w:vAlign w:val="center"/>
          </w:tcPr>
          <w:p w14:paraId="0F282885" w14:textId="697619D9" w:rsidR="000D2D79" w:rsidRPr="000303A4" w:rsidRDefault="005C4A7F" w:rsidP="003D3071">
            <w:pPr>
              <w:jc w:val="center"/>
              <w:rPr>
                <w:sz w:val="16"/>
                <w:szCs w:val="16"/>
              </w:rPr>
            </w:pPr>
            <w:r>
              <w:rPr>
                <w:sz w:val="16"/>
                <w:szCs w:val="16"/>
              </w:rPr>
              <w:t>12</w:t>
            </w:r>
          </w:p>
        </w:tc>
        <w:tc>
          <w:tcPr>
            <w:tcW w:w="4785" w:type="dxa"/>
            <w:vAlign w:val="center"/>
          </w:tcPr>
          <w:p w14:paraId="12A74299" w14:textId="77777777" w:rsidR="000D2D79" w:rsidRPr="000303A4" w:rsidRDefault="000D2D79" w:rsidP="00F23970">
            <w:pPr>
              <w:jc w:val="left"/>
              <w:rPr>
                <w:sz w:val="16"/>
                <w:szCs w:val="16"/>
              </w:rPr>
            </w:pPr>
            <w:r w:rsidRPr="000303A4">
              <w:rPr>
                <w:sz w:val="16"/>
                <w:szCs w:val="16"/>
              </w:rPr>
              <w:t>Antonio Miranda Méndez (Hermano)</w:t>
            </w:r>
          </w:p>
        </w:tc>
      </w:tr>
      <w:tr w:rsidR="000D2D79" w:rsidRPr="0068359D" w14:paraId="6E668031" w14:textId="77777777" w:rsidTr="009932B2">
        <w:trPr>
          <w:trHeight w:val="61"/>
        </w:trPr>
        <w:tc>
          <w:tcPr>
            <w:tcW w:w="560" w:type="dxa"/>
            <w:vMerge w:val="restart"/>
            <w:vAlign w:val="center"/>
          </w:tcPr>
          <w:p w14:paraId="1F6F2613" w14:textId="4646BC7E" w:rsidR="000D2D79" w:rsidRPr="000303A4" w:rsidRDefault="00E01D6E" w:rsidP="003D3071">
            <w:pPr>
              <w:jc w:val="center"/>
              <w:rPr>
                <w:sz w:val="16"/>
                <w:szCs w:val="16"/>
              </w:rPr>
            </w:pPr>
            <w:r>
              <w:rPr>
                <w:sz w:val="16"/>
                <w:szCs w:val="16"/>
              </w:rPr>
              <w:t>10</w:t>
            </w:r>
          </w:p>
        </w:tc>
        <w:tc>
          <w:tcPr>
            <w:tcW w:w="3092" w:type="dxa"/>
            <w:vMerge w:val="restart"/>
            <w:vAlign w:val="center"/>
          </w:tcPr>
          <w:p w14:paraId="061457AF" w14:textId="783B2FEA" w:rsidR="000D2D79" w:rsidRPr="000303A4" w:rsidRDefault="00F608A7" w:rsidP="00F23970">
            <w:pPr>
              <w:jc w:val="left"/>
              <w:rPr>
                <w:sz w:val="16"/>
                <w:szCs w:val="16"/>
              </w:rPr>
            </w:pPr>
            <w:r>
              <w:rPr>
                <w:sz w:val="16"/>
                <w:szCs w:val="16"/>
              </w:rPr>
              <w:t>Elsa Miriam Estrada Ruí</w:t>
            </w:r>
            <w:r w:rsidR="000D2D79" w:rsidRPr="000303A4">
              <w:rPr>
                <w:sz w:val="16"/>
                <w:szCs w:val="16"/>
              </w:rPr>
              <w:t>z</w:t>
            </w:r>
          </w:p>
        </w:tc>
        <w:tc>
          <w:tcPr>
            <w:tcW w:w="567" w:type="dxa"/>
            <w:vAlign w:val="center"/>
          </w:tcPr>
          <w:p w14:paraId="55749191" w14:textId="30F79E65" w:rsidR="000D2D79" w:rsidRPr="000303A4" w:rsidRDefault="005C4A7F" w:rsidP="003D3071">
            <w:pPr>
              <w:jc w:val="center"/>
              <w:rPr>
                <w:sz w:val="16"/>
                <w:szCs w:val="16"/>
              </w:rPr>
            </w:pPr>
            <w:r>
              <w:rPr>
                <w:sz w:val="16"/>
                <w:szCs w:val="16"/>
              </w:rPr>
              <w:t>13</w:t>
            </w:r>
          </w:p>
        </w:tc>
        <w:tc>
          <w:tcPr>
            <w:tcW w:w="4785" w:type="dxa"/>
            <w:vAlign w:val="center"/>
          </w:tcPr>
          <w:p w14:paraId="74013BF8" w14:textId="6A14D76D" w:rsidR="000D2D79" w:rsidRPr="000303A4" w:rsidRDefault="000D2D79" w:rsidP="00F23970">
            <w:pPr>
              <w:jc w:val="left"/>
              <w:rPr>
                <w:sz w:val="16"/>
                <w:szCs w:val="16"/>
              </w:rPr>
            </w:pPr>
            <w:r w:rsidRPr="000303A4">
              <w:rPr>
                <w:sz w:val="16"/>
                <w:szCs w:val="16"/>
              </w:rPr>
              <w:t>Luis Alberto Hernández Estrada (</w:t>
            </w:r>
            <w:r w:rsidR="00E01D6E">
              <w:rPr>
                <w:sz w:val="16"/>
                <w:szCs w:val="16"/>
              </w:rPr>
              <w:t>Hijo</w:t>
            </w:r>
            <w:r w:rsidRPr="000303A4">
              <w:rPr>
                <w:sz w:val="16"/>
                <w:szCs w:val="16"/>
              </w:rPr>
              <w:t>)</w:t>
            </w:r>
          </w:p>
        </w:tc>
      </w:tr>
      <w:tr w:rsidR="000D2D79" w:rsidRPr="0068359D" w14:paraId="1C54DCCD" w14:textId="77777777" w:rsidTr="009932B2">
        <w:tc>
          <w:tcPr>
            <w:tcW w:w="560" w:type="dxa"/>
            <w:vMerge/>
            <w:vAlign w:val="center"/>
          </w:tcPr>
          <w:p w14:paraId="6D50D59A" w14:textId="77777777" w:rsidR="000D2D79" w:rsidRPr="000303A4" w:rsidRDefault="000D2D79" w:rsidP="003D3071">
            <w:pPr>
              <w:jc w:val="center"/>
              <w:rPr>
                <w:sz w:val="16"/>
                <w:szCs w:val="16"/>
              </w:rPr>
            </w:pPr>
          </w:p>
        </w:tc>
        <w:tc>
          <w:tcPr>
            <w:tcW w:w="3092" w:type="dxa"/>
            <w:vMerge/>
            <w:vAlign w:val="center"/>
          </w:tcPr>
          <w:p w14:paraId="511F743F" w14:textId="77777777" w:rsidR="000D2D79" w:rsidRPr="000303A4" w:rsidRDefault="000D2D79" w:rsidP="00F23970">
            <w:pPr>
              <w:jc w:val="left"/>
              <w:rPr>
                <w:sz w:val="16"/>
                <w:szCs w:val="16"/>
              </w:rPr>
            </w:pPr>
          </w:p>
        </w:tc>
        <w:tc>
          <w:tcPr>
            <w:tcW w:w="567" w:type="dxa"/>
            <w:vAlign w:val="center"/>
          </w:tcPr>
          <w:p w14:paraId="3EBB861B" w14:textId="29CBBDF1" w:rsidR="000D2D79" w:rsidRPr="000303A4" w:rsidRDefault="005C4A7F" w:rsidP="003D3071">
            <w:pPr>
              <w:jc w:val="center"/>
              <w:rPr>
                <w:sz w:val="16"/>
                <w:szCs w:val="16"/>
              </w:rPr>
            </w:pPr>
            <w:r>
              <w:rPr>
                <w:sz w:val="16"/>
                <w:szCs w:val="16"/>
              </w:rPr>
              <w:t>14</w:t>
            </w:r>
          </w:p>
        </w:tc>
        <w:tc>
          <w:tcPr>
            <w:tcW w:w="4785" w:type="dxa"/>
            <w:vAlign w:val="center"/>
          </w:tcPr>
          <w:p w14:paraId="3B147EE5" w14:textId="74924AAA" w:rsidR="000D2D79" w:rsidRPr="000303A4" w:rsidRDefault="000D2D79" w:rsidP="00F23970">
            <w:pPr>
              <w:jc w:val="left"/>
              <w:rPr>
                <w:sz w:val="16"/>
                <w:szCs w:val="16"/>
              </w:rPr>
            </w:pPr>
            <w:r w:rsidRPr="000303A4">
              <w:rPr>
                <w:sz w:val="16"/>
                <w:szCs w:val="16"/>
              </w:rPr>
              <w:t>Estuardo Edison Hernández Estrada (</w:t>
            </w:r>
            <w:r w:rsidR="00E01D6E">
              <w:rPr>
                <w:sz w:val="16"/>
                <w:szCs w:val="16"/>
              </w:rPr>
              <w:t>Hijo</w:t>
            </w:r>
            <w:r w:rsidRPr="000303A4">
              <w:rPr>
                <w:sz w:val="16"/>
                <w:szCs w:val="16"/>
              </w:rPr>
              <w:t>)</w:t>
            </w:r>
          </w:p>
        </w:tc>
      </w:tr>
      <w:tr w:rsidR="000D2D79" w:rsidRPr="0068359D" w14:paraId="66DFB26E" w14:textId="77777777" w:rsidTr="009932B2">
        <w:tc>
          <w:tcPr>
            <w:tcW w:w="560" w:type="dxa"/>
            <w:vMerge/>
            <w:vAlign w:val="center"/>
          </w:tcPr>
          <w:p w14:paraId="7EA7747E" w14:textId="77777777" w:rsidR="000D2D79" w:rsidRPr="000303A4" w:rsidRDefault="000D2D79" w:rsidP="003D3071">
            <w:pPr>
              <w:jc w:val="center"/>
              <w:rPr>
                <w:sz w:val="16"/>
                <w:szCs w:val="16"/>
              </w:rPr>
            </w:pPr>
          </w:p>
        </w:tc>
        <w:tc>
          <w:tcPr>
            <w:tcW w:w="3092" w:type="dxa"/>
            <w:vMerge/>
            <w:vAlign w:val="center"/>
          </w:tcPr>
          <w:p w14:paraId="792D05AC" w14:textId="77777777" w:rsidR="000D2D79" w:rsidRPr="000303A4" w:rsidRDefault="000D2D79" w:rsidP="00F23970">
            <w:pPr>
              <w:jc w:val="left"/>
              <w:rPr>
                <w:sz w:val="16"/>
                <w:szCs w:val="16"/>
              </w:rPr>
            </w:pPr>
          </w:p>
        </w:tc>
        <w:tc>
          <w:tcPr>
            <w:tcW w:w="567" w:type="dxa"/>
            <w:vAlign w:val="center"/>
          </w:tcPr>
          <w:p w14:paraId="4F3F9A15" w14:textId="6810A7D3" w:rsidR="000D2D79" w:rsidRPr="000303A4" w:rsidRDefault="005C4A7F" w:rsidP="003D3071">
            <w:pPr>
              <w:jc w:val="center"/>
              <w:rPr>
                <w:sz w:val="16"/>
                <w:szCs w:val="16"/>
              </w:rPr>
            </w:pPr>
            <w:r>
              <w:rPr>
                <w:sz w:val="16"/>
                <w:szCs w:val="16"/>
              </w:rPr>
              <w:t>15</w:t>
            </w:r>
          </w:p>
        </w:tc>
        <w:tc>
          <w:tcPr>
            <w:tcW w:w="4785" w:type="dxa"/>
            <w:vAlign w:val="center"/>
          </w:tcPr>
          <w:p w14:paraId="5607088B" w14:textId="3780F530" w:rsidR="000D2D79" w:rsidRPr="000303A4" w:rsidRDefault="000D2D79" w:rsidP="00F23970">
            <w:pPr>
              <w:jc w:val="left"/>
              <w:rPr>
                <w:sz w:val="16"/>
                <w:szCs w:val="16"/>
              </w:rPr>
            </w:pPr>
            <w:r w:rsidRPr="000303A4">
              <w:rPr>
                <w:sz w:val="16"/>
                <w:szCs w:val="16"/>
              </w:rPr>
              <w:t>Osma Vinicio Hernández Estrada (</w:t>
            </w:r>
            <w:r w:rsidR="00E01D6E">
              <w:rPr>
                <w:sz w:val="16"/>
                <w:szCs w:val="16"/>
              </w:rPr>
              <w:t>Hijo</w:t>
            </w:r>
            <w:r w:rsidRPr="000303A4">
              <w:rPr>
                <w:sz w:val="16"/>
                <w:szCs w:val="16"/>
              </w:rPr>
              <w:t>)</w:t>
            </w:r>
          </w:p>
        </w:tc>
      </w:tr>
      <w:tr w:rsidR="000D2D79" w:rsidRPr="0068359D" w14:paraId="5F014C89" w14:textId="77777777" w:rsidTr="009932B2">
        <w:tc>
          <w:tcPr>
            <w:tcW w:w="560" w:type="dxa"/>
            <w:vMerge/>
            <w:vAlign w:val="center"/>
          </w:tcPr>
          <w:p w14:paraId="2ECD226B" w14:textId="77777777" w:rsidR="000D2D79" w:rsidRPr="000303A4" w:rsidRDefault="000D2D79" w:rsidP="003D3071">
            <w:pPr>
              <w:jc w:val="center"/>
              <w:rPr>
                <w:sz w:val="16"/>
                <w:szCs w:val="16"/>
              </w:rPr>
            </w:pPr>
          </w:p>
        </w:tc>
        <w:tc>
          <w:tcPr>
            <w:tcW w:w="3092" w:type="dxa"/>
            <w:vMerge/>
            <w:vAlign w:val="center"/>
          </w:tcPr>
          <w:p w14:paraId="0EAE3166" w14:textId="77777777" w:rsidR="000D2D79" w:rsidRPr="000303A4" w:rsidRDefault="000D2D79" w:rsidP="00F23970">
            <w:pPr>
              <w:jc w:val="left"/>
              <w:rPr>
                <w:sz w:val="16"/>
                <w:szCs w:val="16"/>
              </w:rPr>
            </w:pPr>
          </w:p>
        </w:tc>
        <w:tc>
          <w:tcPr>
            <w:tcW w:w="567" w:type="dxa"/>
            <w:vAlign w:val="center"/>
          </w:tcPr>
          <w:p w14:paraId="4BA9D751" w14:textId="25793FD9" w:rsidR="000D2D79" w:rsidRPr="000303A4" w:rsidRDefault="005C4A7F" w:rsidP="003D3071">
            <w:pPr>
              <w:jc w:val="center"/>
              <w:rPr>
                <w:sz w:val="16"/>
                <w:szCs w:val="16"/>
              </w:rPr>
            </w:pPr>
            <w:r>
              <w:rPr>
                <w:sz w:val="16"/>
                <w:szCs w:val="16"/>
              </w:rPr>
              <w:t>16</w:t>
            </w:r>
          </w:p>
        </w:tc>
        <w:tc>
          <w:tcPr>
            <w:tcW w:w="4785" w:type="dxa"/>
            <w:vAlign w:val="center"/>
          </w:tcPr>
          <w:p w14:paraId="4DB62048" w14:textId="00A63A74" w:rsidR="000D2D79" w:rsidRPr="000303A4" w:rsidRDefault="000D2D79" w:rsidP="00F23970">
            <w:pPr>
              <w:jc w:val="left"/>
              <w:rPr>
                <w:sz w:val="16"/>
                <w:szCs w:val="16"/>
              </w:rPr>
            </w:pPr>
            <w:r w:rsidRPr="000303A4">
              <w:rPr>
                <w:sz w:val="16"/>
                <w:szCs w:val="16"/>
              </w:rPr>
              <w:t>Karen Herlinda Hernández Estrada (</w:t>
            </w:r>
            <w:r w:rsidR="00E01D6E">
              <w:rPr>
                <w:sz w:val="16"/>
                <w:szCs w:val="16"/>
              </w:rPr>
              <w:t>Hija</w:t>
            </w:r>
            <w:r w:rsidRPr="000303A4">
              <w:rPr>
                <w:sz w:val="16"/>
                <w:szCs w:val="16"/>
              </w:rPr>
              <w:t>)</w:t>
            </w:r>
          </w:p>
        </w:tc>
      </w:tr>
      <w:tr w:rsidR="000D2D79" w:rsidRPr="0068359D" w14:paraId="7352F769" w14:textId="77777777" w:rsidTr="009932B2">
        <w:tc>
          <w:tcPr>
            <w:tcW w:w="560" w:type="dxa"/>
            <w:vMerge/>
            <w:vAlign w:val="center"/>
          </w:tcPr>
          <w:p w14:paraId="4FE21091" w14:textId="77777777" w:rsidR="000D2D79" w:rsidRPr="000303A4" w:rsidRDefault="000D2D79" w:rsidP="003D3071">
            <w:pPr>
              <w:jc w:val="center"/>
              <w:rPr>
                <w:sz w:val="16"/>
                <w:szCs w:val="16"/>
              </w:rPr>
            </w:pPr>
          </w:p>
        </w:tc>
        <w:tc>
          <w:tcPr>
            <w:tcW w:w="3092" w:type="dxa"/>
            <w:vMerge/>
            <w:vAlign w:val="center"/>
          </w:tcPr>
          <w:p w14:paraId="2EA25AA0" w14:textId="77777777" w:rsidR="000D2D79" w:rsidRPr="000303A4" w:rsidRDefault="000D2D79" w:rsidP="00F23970">
            <w:pPr>
              <w:jc w:val="left"/>
              <w:rPr>
                <w:sz w:val="16"/>
                <w:szCs w:val="16"/>
              </w:rPr>
            </w:pPr>
          </w:p>
        </w:tc>
        <w:tc>
          <w:tcPr>
            <w:tcW w:w="567" w:type="dxa"/>
            <w:vAlign w:val="center"/>
          </w:tcPr>
          <w:p w14:paraId="257B7EB3" w14:textId="1CFCAF08" w:rsidR="000D2D79" w:rsidRPr="000303A4" w:rsidRDefault="005C4A7F" w:rsidP="003D3071">
            <w:pPr>
              <w:jc w:val="center"/>
              <w:rPr>
                <w:sz w:val="16"/>
                <w:szCs w:val="16"/>
              </w:rPr>
            </w:pPr>
            <w:r>
              <w:rPr>
                <w:sz w:val="16"/>
                <w:szCs w:val="16"/>
              </w:rPr>
              <w:t>17</w:t>
            </w:r>
          </w:p>
        </w:tc>
        <w:tc>
          <w:tcPr>
            <w:tcW w:w="4785" w:type="dxa"/>
            <w:vAlign w:val="center"/>
          </w:tcPr>
          <w:p w14:paraId="0DB852F3" w14:textId="5B2AA4C0" w:rsidR="000D2D79" w:rsidRPr="000303A4" w:rsidRDefault="000D2D79" w:rsidP="00F23970">
            <w:pPr>
              <w:jc w:val="left"/>
              <w:rPr>
                <w:sz w:val="16"/>
                <w:szCs w:val="16"/>
              </w:rPr>
            </w:pPr>
            <w:r w:rsidRPr="000303A4">
              <w:rPr>
                <w:sz w:val="16"/>
                <w:szCs w:val="16"/>
              </w:rPr>
              <w:t>Miriam Lisbeth Hernández Estrada (</w:t>
            </w:r>
            <w:r w:rsidR="00E01D6E">
              <w:rPr>
                <w:sz w:val="16"/>
                <w:szCs w:val="16"/>
              </w:rPr>
              <w:t>Hija)</w:t>
            </w:r>
          </w:p>
        </w:tc>
      </w:tr>
      <w:tr w:rsidR="000D2D79" w:rsidRPr="0068359D" w14:paraId="28452E55" w14:textId="77777777" w:rsidTr="009932B2">
        <w:tc>
          <w:tcPr>
            <w:tcW w:w="560" w:type="dxa"/>
            <w:vAlign w:val="center"/>
          </w:tcPr>
          <w:p w14:paraId="50EA6DC1" w14:textId="5801C9D7" w:rsidR="000D2D79" w:rsidRPr="000303A4" w:rsidRDefault="00E01D6E" w:rsidP="003D3071">
            <w:pPr>
              <w:jc w:val="center"/>
              <w:rPr>
                <w:sz w:val="16"/>
                <w:szCs w:val="16"/>
              </w:rPr>
            </w:pPr>
            <w:r>
              <w:rPr>
                <w:sz w:val="16"/>
                <w:szCs w:val="16"/>
              </w:rPr>
              <w:t>11</w:t>
            </w:r>
          </w:p>
        </w:tc>
        <w:tc>
          <w:tcPr>
            <w:tcW w:w="3092" w:type="dxa"/>
            <w:vAlign w:val="center"/>
          </w:tcPr>
          <w:p w14:paraId="4C8173A2" w14:textId="77777777" w:rsidR="000D2D79" w:rsidRPr="000303A4" w:rsidRDefault="000D2D79" w:rsidP="00F23970">
            <w:pPr>
              <w:jc w:val="left"/>
              <w:rPr>
                <w:sz w:val="16"/>
                <w:szCs w:val="16"/>
              </w:rPr>
            </w:pPr>
            <w:r w:rsidRPr="000303A4">
              <w:rPr>
                <w:sz w:val="16"/>
                <w:szCs w:val="16"/>
              </w:rPr>
              <w:t>Alberto Quiché Cuxeva</w:t>
            </w:r>
          </w:p>
        </w:tc>
        <w:tc>
          <w:tcPr>
            <w:tcW w:w="567" w:type="dxa"/>
            <w:vAlign w:val="center"/>
          </w:tcPr>
          <w:p w14:paraId="1D3DE49F" w14:textId="77777777" w:rsidR="000D2D79" w:rsidRPr="000303A4" w:rsidRDefault="000D2D79" w:rsidP="003D3071">
            <w:pPr>
              <w:jc w:val="center"/>
              <w:rPr>
                <w:sz w:val="16"/>
                <w:szCs w:val="16"/>
              </w:rPr>
            </w:pPr>
          </w:p>
        </w:tc>
        <w:tc>
          <w:tcPr>
            <w:tcW w:w="4785" w:type="dxa"/>
            <w:vAlign w:val="center"/>
          </w:tcPr>
          <w:p w14:paraId="6A786846" w14:textId="77777777" w:rsidR="000D2D79" w:rsidRPr="000303A4" w:rsidRDefault="000D2D79" w:rsidP="00F23970">
            <w:pPr>
              <w:jc w:val="left"/>
              <w:rPr>
                <w:sz w:val="16"/>
                <w:szCs w:val="16"/>
              </w:rPr>
            </w:pPr>
          </w:p>
        </w:tc>
      </w:tr>
      <w:tr w:rsidR="000D2D79" w:rsidRPr="0068359D" w14:paraId="0838E84C" w14:textId="77777777" w:rsidTr="009932B2">
        <w:tc>
          <w:tcPr>
            <w:tcW w:w="560" w:type="dxa"/>
            <w:vAlign w:val="center"/>
          </w:tcPr>
          <w:p w14:paraId="010F31BF" w14:textId="0FC7B239" w:rsidR="000D2D79" w:rsidRPr="000303A4" w:rsidRDefault="00E01D6E" w:rsidP="003D3071">
            <w:pPr>
              <w:jc w:val="center"/>
              <w:rPr>
                <w:sz w:val="16"/>
                <w:szCs w:val="16"/>
              </w:rPr>
            </w:pPr>
            <w:r>
              <w:rPr>
                <w:sz w:val="16"/>
                <w:szCs w:val="16"/>
              </w:rPr>
              <w:t>12</w:t>
            </w:r>
          </w:p>
        </w:tc>
        <w:tc>
          <w:tcPr>
            <w:tcW w:w="3092" w:type="dxa"/>
            <w:vAlign w:val="center"/>
          </w:tcPr>
          <w:p w14:paraId="3EF42F13" w14:textId="2BDAB78F" w:rsidR="000D2D79" w:rsidRPr="000303A4" w:rsidRDefault="000D2D79" w:rsidP="00F608A7">
            <w:pPr>
              <w:jc w:val="left"/>
              <w:rPr>
                <w:sz w:val="16"/>
                <w:szCs w:val="16"/>
              </w:rPr>
            </w:pPr>
            <w:r w:rsidRPr="000303A4">
              <w:rPr>
                <w:sz w:val="16"/>
                <w:szCs w:val="16"/>
              </w:rPr>
              <w:t xml:space="preserve">Silvia Mirtala </w:t>
            </w:r>
            <w:r w:rsidR="00F608A7">
              <w:rPr>
                <w:sz w:val="16"/>
                <w:szCs w:val="16"/>
              </w:rPr>
              <w:t>A</w:t>
            </w:r>
            <w:r w:rsidRPr="000303A4">
              <w:rPr>
                <w:sz w:val="16"/>
                <w:szCs w:val="16"/>
              </w:rPr>
              <w:t>lvarez Villatoro</w:t>
            </w:r>
          </w:p>
        </w:tc>
        <w:tc>
          <w:tcPr>
            <w:tcW w:w="567" w:type="dxa"/>
            <w:vAlign w:val="center"/>
          </w:tcPr>
          <w:p w14:paraId="38BEB8B5" w14:textId="77777777" w:rsidR="000D2D79" w:rsidRPr="000303A4" w:rsidRDefault="000D2D79" w:rsidP="003D3071">
            <w:pPr>
              <w:jc w:val="center"/>
              <w:rPr>
                <w:sz w:val="16"/>
                <w:szCs w:val="16"/>
              </w:rPr>
            </w:pPr>
          </w:p>
        </w:tc>
        <w:tc>
          <w:tcPr>
            <w:tcW w:w="4785" w:type="dxa"/>
            <w:vAlign w:val="center"/>
          </w:tcPr>
          <w:p w14:paraId="07C0BDAA" w14:textId="77777777" w:rsidR="000D2D79" w:rsidRPr="000303A4" w:rsidRDefault="000D2D79" w:rsidP="00F23970">
            <w:pPr>
              <w:jc w:val="left"/>
              <w:rPr>
                <w:sz w:val="16"/>
                <w:szCs w:val="16"/>
              </w:rPr>
            </w:pPr>
          </w:p>
        </w:tc>
      </w:tr>
      <w:tr w:rsidR="000D2D79" w:rsidRPr="0068359D" w14:paraId="385B5701" w14:textId="77777777" w:rsidTr="009932B2">
        <w:tc>
          <w:tcPr>
            <w:tcW w:w="560" w:type="dxa"/>
            <w:vAlign w:val="center"/>
          </w:tcPr>
          <w:p w14:paraId="0A344E4E" w14:textId="3AC692A4" w:rsidR="000D2D79" w:rsidRPr="000303A4" w:rsidRDefault="00E01D6E" w:rsidP="003D3071">
            <w:pPr>
              <w:jc w:val="center"/>
              <w:rPr>
                <w:sz w:val="16"/>
                <w:szCs w:val="16"/>
              </w:rPr>
            </w:pPr>
            <w:r>
              <w:rPr>
                <w:sz w:val="16"/>
                <w:szCs w:val="16"/>
              </w:rPr>
              <w:t>13</w:t>
            </w:r>
          </w:p>
        </w:tc>
        <w:tc>
          <w:tcPr>
            <w:tcW w:w="3092" w:type="dxa"/>
            <w:vAlign w:val="center"/>
          </w:tcPr>
          <w:p w14:paraId="13ACBDA3" w14:textId="77777777" w:rsidR="000D2D79" w:rsidRPr="000303A4" w:rsidRDefault="000D2D79" w:rsidP="00F23970">
            <w:pPr>
              <w:jc w:val="left"/>
              <w:rPr>
                <w:sz w:val="16"/>
                <w:szCs w:val="16"/>
              </w:rPr>
            </w:pPr>
            <w:r w:rsidRPr="000303A4">
              <w:rPr>
                <w:sz w:val="16"/>
                <w:szCs w:val="16"/>
              </w:rPr>
              <w:t>Juana Aguilar</w:t>
            </w:r>
          </w:p>
        </w:tc>
        <w:tc>
          <w:tcPr>
            <w:tcW w:w="567" w:type="dxa"/>
            <w:vAlign w:val="center"/>
          </w:tcPr>
          <w:p w14:paraId="64F3CBA3" w14:textId="77777777" w:rsidR="000D2D79" w:rsidRPr="000303A4" w:rsidRDefault="000D2D79" w:rsidP="003D3071">
            <w:pPr>
              <w:jc w:val="center"/>
              <w:rPr>
                <w:sz w:val="16"/>
                <w:szCs w:val="16"/>
              </w:rPr>
            </w:pPr>
          </w:p>
        </w:tc>
        <w:tc>
          <w:tcPr>
            <w:tcW w:w="4785" w:type="dxa"/>
            <w:vAlign w:val="center"/>
          </w:tcPr>
          <w:p w14:paraId="77D8199B" w14:textId="77777777" w:rsidR="000D2D79" w:rsidRPr="000303A4" w:rsidRDefault="000D2D79" w:rsidP="00F23970">
            <w:pPr>
              <w:jc w:val="left"/>
              <w:rPr>
                <w:sz w:val="16"/>
                <w:szCs w:val="16"/>
              </w:rPr>
            </w:pPr>
          </w:p>
        </w:tc>
      </w:tr>
      <w:tr w:rsidR="00E01D6E" w:rsidRPr="0068359D" w14:paraId="7E0E12BD" w14:textId="77777777" w:rsidTr="009932B2">
        <w:tc>
          <w:tcPr>
            <w:tcW w:w="560" w:type="dxa"/>
            <w:vAlign w:val="center"/>
          </w:tcPr>
          <w:p w14:paraId="0327CA5D" w14:textId="334B58E8" w:rsidR="00E01D6E" w:rsidRDefault="00E01D6E" w:rsidP="003D3071">
            <w:pPr>
              <w:jc w:val="center"/>
              <w:rPr>
                <w:sz w:val="16"/>
                <w:szCs w:val="16"/>
              </w:rPr>
            </w:pPr>
            <w:r>
              <w:rPr>
                <w:sz w:val="16"/>
                <w:szCs w:val="16"/>
              </w:rPr>
              <w:t>14</w:t>
            </w:r>
          </w:p>
        </w:tc>
        <w:tc>
          <w:tcPr>
            <w:tcW w:w="3092" w:type="dxa"/>
            <w:vAlign w:val="center"/>
          </w:tcPr>
          <w:p w14:paraId="288AFE12" w14:textId="2BFE9EDD" w:rsidR="00E01D6E" w:rsidRPr="000303A4" w:rsidRDefault="00767761" w:rsidP="00F23970">
            <w:pPr>
              <w:jc w:val="left"/>
              <w:rPr>
                <w:sz w:val="16"/>
                <w:szCs w:val="16"/>
              </w:rPr>
            </w:pPr>
            <w:r>
              <w:rPr>
                <w:sz w:val="16"/>
                <w:szCs w:val="16"/>
              </w:rPr>
              <w:t>Melvin Yovani A</w:t>
            </w:r>
            <w:r w:rsidR="00F608A7">
              <w:rPr>
                <w:sz w:val="16"/>
                <w:szCs w:val="16"/>
              </w:rPr>
              <w:t>j</w:t>
            </w:r>
            <w:r>
              <w:rPr>
                <w:sz w:val="16"/>
                <w:szCs w:val="16"/>
              </w:rPr>
              <w:t>t</w:t>
            </w:r>
            <w:r w:rsidR="00F608A7">
              <w:rPr>
                <w:sz w:val="16"/>
                <w:szCs w:val="16"/>
              </w:rPr>
              <w:t>u</w:t>
            </w:r>
            <w:r w:rsidR="00E01D6E" w:rsidRPr="000303A4">
              <w:rPr>
                <w:sz w:val="16"/>
                <w:szCs w:val="16"/>
              </w:rPr>
              <w:t>n Escobar</w:t>
            </w:r>
          </w:p>
        </w:tc>
        <w:tc>
          <w:tcPr>
            <w:tcW w:w="567" w:type="dxa"/>
            <w:vAlign w:val="center"/>
          </w:tcPr>
          <w:p w14:paraId="7741B96D" w14:textId="77777777" w:rsidR="00E01D6E" w:rsidRPr="000303A4" w:rsidRDefault="00E01D6E" w:rsidP="003D3071">
            <w:pPr>
              <w:jc w:val="center"/>
              <w:rPr>
                <w:sz w:val="16"/>
                <w:szCs w:val="16"/>
              </w:rPr>
            </w:pPr>
          </w:p>
        </w:tc>
        <w:tc>
          <w:tcPr>
            <w:tcW w:w="4785" w:type="dxa"/>
            <w:vAlign w:val="center"/>
          </w:tcPr>
          <w:p w14:paraId="2F7386FB" w14:textId="77777777" w:rsidR="00E01D6E" w:rsidRPr="000303A4" w:rsidRDefault="00E01D6E" w:rsidP="00F23970">
            <w:pPr>
              <w:jc w:val="left"/>
              <w:rPr>
                <w:sz w:val="16"/>
                <w:szCs w:val="16"/>
              </w:rPr>
            </w:pPr>
          </w:p>
        </w:tc>
      </w:tr>
      <w:tr w:rsidR="00E01D6E" w:rsidRPr="0068359D" w14:paraId="34E89F2B" w14:textId="77777777" w:rsidTr="009932B2">
        <w:tc>
          <w:tcPr>
            <w:tcW w:w="560" w:type="dxa"/>
            <w:vAlign w:val="center"/>
          </w:tcPr>
          <w:p w14:paraId="23259968" w14:textId="19B0036C" w:rsidR="00E01D6E" w:rsidRPr="000303A4" w:rsidRDefault="00E01D6E" w:rsidP="003D3071">
            <w:pPr>
              <w:jc w:val="center"/>
              <w:rPr>
                <w:sz w:val="16"/>
                <w:szCs w:val="16"/>
              </w:rPr>
            </w:pPr>
            <w:r>
              <w:rPr>
                <w:sz w:val="16"/>
                <w:szCs w:val="16"/>
              </w:rPr>
              <w:t>15</w:t>
            </w:r>
          </w:p>
        </w:tc>
        <w:tc>
          <w:tcPr>
            <w:tcW w:w="3092" w:type="dxa"/>
            <w:vAlign w:val="center"/>
          </w:tcPr>
          <w:p w14:paraId="747AEEAA" w14:textId="5EDC0360" w:rsidR="00E01D6E" w:rsidRPr="000303A4" w:rsidRDefault="00E01D6E" w:rsidP="00F23970">
            <w:pPr>
              <w:jc w:val="left"/>
              <w:rPr>
                <w:sz w:val="16"/>
                <w:szCs w:val="16"/>
              </w:rPr>
            </w:pPr>
            <w:r w:rsidRPr="000303A4">
              <w:rPr>
                <w:sz w:val="16"/>
                <w:szCs w:val="16"/>
              </w:rPr>
              <w:t>José Cupertino Ramírez</w:t>
            </w:r>
          </w:p>
        </w:tc>
        <w:tc>
          <w:tcPr>
            <w:tcW w:w="567" w:type="dxa"/>
            <w:vAlign w:val="center"/>
          </w:tcPr>
          <w:p w14:paraId="2B22DF54" w14:textId="7B6BCE54" w:rsidR="00E01D6E" w:rsidRPr="000303A4" w:rsidRDefault="005C4A7F" w:rsidP="003D3071">
            <w:pPr>
              <w:jc w:val="center"/>
              <w:rPr>
                <w:sz w:val="16"/>
                <w:szCs w:val="16"/>
              </w:rPr>
            </w:pPr>
            <w:r>
              <w:rPr>
                <w:sz w:val="16"/>
                <w:szCs w:val="16"/>
              </w:rPr>
              <w:t>18</w:t>
            </w:r>
          </w:p>
        </w:tc>
        <w:tc>
          <w:tcPr>
            <w:tcW w:w="4785" w:type="dxa"/>
            <w:vAlign w:val="center"/>
          </w:tcPr>
          <w:p w14:paraId="73DE5ED2" w14:textId="397A6A0B" w:rsidR="00E01D6E" w:rsidRPr="000303A4" w:rsidRDefault="00E01D6E" w:rsidP="00F23970">
            <w:pPr>
              <w:jc w:val="left"/>
              <w:rPr>
                <w:sz w:val="16"/>
                <w:szCs w:val="16"/>
              </w:rPr>
            </w:pPr>
            <w:r w:rsidRPr="000303A4">
              <w:rPr>
                <w:sz w:val="16"/>
                <w:szCs w:val="16"/>
              </w:rPr>
              <w:t xml:space="preserve">Victoria Ramírez </w:t>
            </w:r>
            <w:r>
              <w:rPr>
                <w:sz w:val="16"/>
                <w:szCs w:val="16"/>
              </w:rPr>
              <w:t>Ramos</w:t>
            </w:r>
            <w:r w:rsidRPr="000303A4">
              <w:rPr>
                <w:sz w:val="16"/>
                <w:szCs w:val="16"/>
              </w:rPr>
              <w:t xml:space="preserve"> (Prima hermana)</w:t>
            </w:r>
          </w:p>
        </w:tc>
      </w:tr>
      <w:tr w:rsidR="00E01D6E" w:rsidRPr="0068359D" w14:paraId="444A85E9" w14:textId="77777777" w:rsidTr="009932B2">
        <w:tc>
          <w:tcPr>
            <w:tcW w:w="9004" w:type="dxa"/>
            <w:gridSpan w:val="4"/>
            <w:vAlign w:val="center"/>
          </w:tcPr>
          <w:p w14:paraId="2F3FF945" w14:textId="77777777" w:rsidR="00E01D6E" w:rsidRPr="000303A4" w:rsidRDefault="00E01D6E" w:rsidP="003D3071">
            <w:pPr>
              <w:jc w:val="center"/>
              <w:rPr>
                <w:sz w:val="16"/>
                <w:szCs w:val="16"/>
              </w:rPr>
            </w:pPr>
            <w:r w:rsidRPr="000303A4">
              <w:rPr>
                <w:b/>
                <w:sz w:val="16"/>
                <w:szCs w:val="16"/>
              </w:rPr>
              <w:t>B. VÍCTIMAS CON VIDA</w:t>
            </w:r>
          </w:p>
        </w:tc>
      </w:tr>
      <w:tr w:rsidR="00074CB7" w:rsidRPr="0068359D" w14:paraId="7AAA0AA0" w14:textId="77777777" w:rsidTr="003D3071">
        <w:tc>
          <w:tcPr>
            <w:tcW w:w="560" w:type="dxa"/>
            <w:vAlign w:val="center"/>
          </w:tcPr>
          <w:p w14:paraId="1A9C79C7" w14:textId="77777777" w:rsidR="00074CB7" w:rsidRPr="000303A4" w:rsidRDefault="00074CB7" w:rsidP="003D3071">
            <w:pPr>
              <w:jc w:val="center"/>
              <w:rPr>
                <w:sz w:val="16"/>
                <w:szCs w:val="16"/>
              </w:rPr>
            </w:pPr>
          </w:p>
        </w:tc>
        <w:tc>
          <w:tcPr>
            <w:tcW w:w="3092" w:type="dxa"/>
            <w:vAlign w:val="center"/>
          </w:tcPr>
          <w:p w14:paraId="7FF88122" w14:textId="3B010A2F" w:rsidR="00074CB7" w:rsidRPr="000303A4" w:rsidRDefault="00074CB7" w:rsidP="00074CB7">
            <w:pPr>
              <w:jc w:val="center"/>
              <w:rPr>
                <w:sz w:val="16"/>
                <w:szCs w:val="16"/>
              </w:rPr>
            </w:pPr>
            <w:r w:rsidRPr="000303A4">
              <w:rPr>
                <w:b/>
                <w:sz w:val="16"/>
                <w:szCs w:val="16"/>
              </w:rPr>
              <w:t>VÍCTIMAS</w:t>
            </w:r>
          </w:p>
        </w:tc>
        <w:tc>
          <w:tcPr>
            <w:tcW w:w="567" w:type="dxa"/>
            <w:vAlign w:val="center"/>
          </w:tcPr>
          <w:p w14:paraId="7B7EFE3E" w14:textId="77777777" w:rsidR="00074CB7" w:rsidRPr="000303A4" w:rsidRDefault="00074CB7" w:rsidP="003D3071">
            <w:pPr>
              <w:jc w:val="center"/>
              <w:rPr>
                <w:sz w:val="16"/>
                <w:szCs w:val="16"/>
              </w:rPr>
            </w:pPr>
          </w:p>
        </w:tc>
        <w:tc>
          <w:tcPr>
            <w:tcW w:w="4785" w:type="dxa"/>
            <w:vAlign w:val="center"/>
          </w:tcPr>
          <w:p w14:paraId="51EC8B55" w14:textId="18AD905B" w:rsidR="00074CB7" w:rsidRPr="000303A4" w:rsidRDefault="00074CB7" w:rsidP="00074CB7">
            <w:pPr>
              <w:jc w:val="center"/>
              <w:rPr>
                <w:sz w:val="16"/>
                <w:szCs w:val="16"/>
              </w:rPr>
            </w:pPr>
            <w:r w:rsidRPr="000303A4">
              <w:rPr>
                <w:b/>
                <w:sz w:val="16"/>
                <w:szCs w:val="16"/>
              </w:rPr>
              <w:t>FAMILIARES</w:t>
            </w:r>
          </w:p>
        </w:tc>
      </w:tr>
      <w:tr w:rsidR="00E01D6E" w:rsidRPr="0068359D" w14:paraId="516F339B" w14:textId="77777777" w:rsidTr="003D3071">
        <w:tc>
          <w:tcPr>
            <w:tcW w:w="560" w:type="dxa"/>
            <w:vAlign w:val="center"/>
          </w:tcPr>
          <w:p w14:paraId="7A001E2C" w14:textId="77777777" w:rsidR="00E01D6E" w:rsidRPr="000303A4" w:rsidRDefault="00E01D6E" w:rsidP="003D3071">
            <w:pPr>
              <w:jc w:val="center"/>
              <w:rPr>
                <w:sz w:val="16"/>
                <w:szCs w:val="16"/>
              </w:rPr>
            </w:pPr>
            <w:r w:rsidRPr="000303A4">
              <w:rPr>
                <w:sz w:val="16"/>
                <w:szCs w:val="16"/>
              </w:rPr>
              <w:t>16</w:t>
            </w:r>
          </w:p>
        </w:tc>
        <w:tc>
          <w:tcPr>
            <w:tcW w:w="3092" w:type="dxa"/>
            <w:vAlign w:val="center"/>
          </w:tcPr>
          <w:p w14:paraId="719278B7" w14:textId="77777777" w:rsidR="00E01D6E" w:rsidRPr="000303A4" w:rsidRDefault="00E01D6E" w:rsidP="00F23970">
            <w:pPr>
              <w:jc w:val="left"/>
              <w:rPr>
                <w:sz w:val="16"/>
                <w:szCs w:val="16"/>
              </w:rPr>
            </w:pPr>
            <w:r w:rsidRPr="000303A4">
              <w:rPr>
                <w:sz w:val="16"/>
                <w:szCs w:val="16"/>
              </w:rPr>
              <w:t>Sebastián Emilio Dueñas</w:t>
            </w:r>
          </w:p>
        </w:tc>
        <w:tc>
          <w:tcPr>
            <w:tcW w:w="567" w:type="dxa"/>
            <w:vAlign w:val="center"/>
          </w:tcPr>
          <w:p w14:paraId="1B2DF28D" w14:textId="217730D0" w:rsidR="00E01D6E" w:rsidRPr="000303A4" w:rsidRDefault="00E01D6E" w:rsidP="003D3071">
            <w:pPr>
              <w:jc w:val="center"/>
              <w:rPr>
                <w:sz w:val="16"/>
                <w:szCs w:val="16"/>
              </w:rPr>
            </w:pPr>
          </w:p>
        </w:tc>
        <w:tc>
          <w:tcPr>
            <w:tcW w:w="4785" w:type="dxa"/>
            <w:vAlign w:val="center"/>
          </w:tcPr>
          <w:p w14:paraId="4CBEDE9E" w14:textId="0471C47D" w:rsidR="00E01D6E" w:rsidRPr="000303A4" w:rsidRDefault="00E01D6E" w:rsidP="00F23970">
            <w:pPr>
              <w:jc w:val="left"/>
              <w:rPr>
                <w:sz w:val="16"/>
                <w:szCs w:val="16"/>
              </w:rPr>
            </w:pPr>
          </w:p>
        </w:tc>
      </w:tr>
      <w:tr w:rsidR="00E01D6E" w:rsidRPr="0068359D" w14:paraId="34B8B745" w14:textId="77777777" w:rsidTr="003D3071">
        <w:trPr>
          <w:trHeight w:val="56"/>
        </w:trPr>
        <w:tc>
          <w:tcPr>
            <w:tcW w:w="560" w:type="dxa"/>
            <w:vAlign w:val="center"/>
          </w:tcPr>
          <w:p w14:paraId="6F04D054" w14:textId="77777777" w:rsidR="00E01D6E" w:rsidRPr="000303A4" w:rsidRDefault="00E01D6E" w:rsidP="003D3071">
            <w:pPr>
              <w:jc w:val="center"/>
              <w:rPr>
                <w:sz w:val="16"/>
                <w:szCs w:val="16"/>
              </w:rPr>
            </w:pPr>
            <w:r w:rsidRPr="000303A4">
              <w:rPr>
                <w:sz w:val="16"/>
                <w:szCs w:val="16"/>
              </w:rPr>
              <w:t>17</w:t>
            </w:r>
          </w:p>
        </w:tc>
        <w:tc>
          <w:tcPr>
            <w:tcW w:w="3092" w:type="dxa"/>
            <w:vAlign w:val="center"/>
          </w:tcPr>
          <w:p w14:paraId="26B920E0" w14:textId="77777777" w:rsidR="00E01D6E" w:rsidRPr="000303A4" w:rsidRDefault="00E01D6E" w:rsidP="00F23970">
            <w:pPr>
              <w:jc w:val="left"/>
              <w:rPr>
                <w:sz w:val="16"/>
                <w:szCs w:val="16"/>
              </w:rPr>
            </w:pPr>
            <w:r w:rsidRPr="000303A4">
              <w:rPr>
                <w:sz w:val="16"/>
                <w:szCs w:val="16"/>
              </w:rPr>
              <w:t>Julia Aguilar</w:t>
            </w:r>
          </w:p>
        </w:tc>
        <w:tc>
          <w:tcPr>
            <w:tcW w:w="567" w:type="dxa"/>
            <w:vAlign w:val="center"/>
          </w:tcPr>
          <w:p w14:paraId="272EFCAE" w14:textId="149551D8" w:rsidR="00E01D6E" w:rsidRPr="000303A4" w:rsidRDefault="00E01D6E" w:rsidP="003D3071">
            <w:pPr>
              <w:jc w:val="center"/>
              <w:rPr>
                <w:sz w:val="16"/>
                <w:szCs w:val="16"/>
              </w:rPr>
            </w:pPr>
          </w:p>
        </w:tc>
        <w:tc>
          <w:tcPr>
            <w:tcW w:w="4785" w:type="dxa"/>
            <w:vAlign w:val="center"/>
          </w:tcPr>
          <w:p w14:paraId="50A067BE" w14:textId="5A73DF20" w:rsidR="00E01D6E" w:rsidRPr="000303A4" w:rsidRDefault="00E01D6E" w:rsidP="00F23970">
            <w:pPr>
              <w:jc w:val="left"/>
              <w:rPr>
                <w:sz w:val="16"/>
                <w:szCs w:val="16"/>
              </w:rPr>
            </w:pPr>
          </w:p>
        </w:tc>
      </w:tr>
      <w:tr w:rsidR="00E01D6E" w:rsidRPr="0068359D" w14:paraId="1DE106D7" w14:textId="77777777" w:rsidTr="003D3071">
        <w:tc>
          <w:tcPr>
            <w:tcW w:w="560" w:type="dxa"/>
            <w:vMerge w:val="restart"/>
            <w:vAlign w:val="center"/>
          </w:tcPr>
          <w:p w14:paraId="2D5BA457" w14:textId="77777777" w:rsidR="00E01D6E" w:rsidRPr="000303A4" w:rsidRDefault="00E01D6E" w:rsidP="003D3071">
            <w:pPr>
              <w:jc w:val="center"/>
              <w:rPr>
                <w:sz w:val="16"/>
                <w:szCs w:val="16"/>
              </w:rPr>
            </w:pPr>
            <w:r w:rsidRPr="000303A4">
              <w:rPr>
                <w:sz w:val="16"/>
                <w:szCs w:val="16"/>
              </w:rPr>
              <w:t>18</w:t>
            </w:r>
          </w:p>
        </w:tc>
        <w:tc>
          <w:tcPr>
            <w:tcW w:w="3092" w:type="dxa"/>
            <w:vMerge w:val="restart"/>
            <w:vAlign w:val="center"/>
          </w:tcPr>
          <w:p w14:paraId="2FBC6204" w14:textId="086200DE" w:rsidR="00E01D6E" w:rsidRPr="000303A4" w:rsidRDefault="00CC6C64" w:rsidP="00F23970">
            <w:pPr>
              <w:jc w:val="left"/>
              <w:rPr>
                <w:sz w:val="16"/>
                <w:szCs w:val="16"/>
              </w:rPr>
            </w:pPr>
            <w:r>
              <w:rPr>
                <w:sz w:val="16"/>
                <w:szCs w:val="16"/>
              </w:rPr>
              <w:t>Felipe Tebalan Ordo</w:t>
            </w:r>
            <w:r w:rsidR="00E01D6E" w:rsidRPr="000303A4">
              <w:rPr>
                <w:sz w:val="16"/>
                <w:szCs w:val="16"/>
              </w:rPr>
              <w:t>ñez</w:t>
            </w:r>
          </w:p>
        </w:tc>
        <w:tc>
          <w:tcPr>
            <w:tcW w:w="567" w:type="dxa"/>
            <w:vAlign w:val="center"/>
          </w:tcPr>
          <w:p w14:paraId="69090712" w14:textId="7138F797" w:rsidR="00E01D6E" w:rsidRPr="000303A4" w:rsidRDefault="00E3701B" w:rsidP="003D3071">
            <w:pPr>
              <w:jc w:val="center"/>
              <w:rPr>
                <w:sz w:val="16"/>
                <w:szCs w:val="16"/>
              </w:rPr>
            </w:pPr>
            <w:r>
              <w:rPr>
                <w:sz w:val="16"/>
                <w:szCs w:val="16"/>
              </w:rPr>
              <w:t>1</w:t>
            </w:r>
            <w:r w:rsidR="005C4A7F">
              <w:rPr>
                <w:sz w:val="16"/>
                <w:szCs w:val="16"/>
              </w:rPr>
              <w:t>9</w:t>
            </w:r>
          </w:p>
        </w:tc>
        <w:tc>
          <w:tcPr>
            <w:tcW w:w="4785" w:type="dxa"/>
            <w:vAlign w:val="center"/>
          </w:tcPr>
          <w:p w14:paraId="1A6132A8" w14:textId="5A782EC3" w:rsidR="00E01D6E" w:rsidRPr="000303A4" w:rsidRDefault="00CC6C64" w:rsidP="00F23970">
            <w:pPr>
              <w:jc w:val="left"/>
              <w:rPr>
                <w:sz w:val="16"/>
                <w:szCs w:val="16"/>
              </w:rPr>
            </w:pPr>
            <w:r>
              <w:rPr>
                <w:sz w:val="16"/>
                <w:szCs w:val="16"/>
              </w:rPr>
              <w:t>Candelaria Ordo</w:t>
            </w:r>
            <w:r w:rsidR="00767761">
              <w:rPr>
                <w:sz w:val="16"/>
                <w:szCs w:val="16"/>
              </w:rPr>
              <w:t>ñez A</w:t>
            </w:r>
            <w:r w:rsidR="00E01D6E" w:rsidRPr="000303A4">
              <w:rPr>
                <w:sz w:val="16"/>
                <w:szCs w:val="16"/>
              </w:rPr>
              <w:t>lvarez (Hija)</w:t>
            </w:r>
          </w:p>
        </w:tc>
      </w:tr>
      <w:tr w:rsidR="007F18B8" w:rsidRPr="0068359D" w14:paraId="3C0DA9E0" w14:textId="77777777" w:rsidTr="003D3071">
        <w:tc>
          <w:tcPr>
            <w:tcW w:w="560" w:type="dxa"/>
            <w:vMerge/>
            <w:vAlign w:val="center"/>
          </w:tcPr>
          <w:p w14:paraId="450A7024" w14:textId="77777777" w:rsidR="007F18B8" w:rsidRPr="000303A4" w:rsidRDefault="007F18B8" w:rsidP="003D3071">
            <w:pPr>
              <w:jc w:val="center"/>
              <w:rPr>
                <w:sz w:val="16"/>
                <w:szCs w:val="16"/>
              </w:rPr>
            </w:pPr>
          </w:p>
        </w:tc>
        <w:tc>
          <w:tcPr>
            <w:tcW w:w="3092" w:type="dxa"/>
            <w:vMerge/>
            <w:vAlign w:val="center"/>
          </w:tcPr>
          <w:p w14:paraId="3C7CDB96" w14:textId="77777777" w:rsidR="007F18B8" w:rsidRPr="000303A4" w:rsidRDefault="007F18B8" w:rsidP="00F23970">
            <w:pPr>
              <w:jc w:val="left"/>
              <w:rPr>
                <w:sz w:val="16"/>
                <w:szCs w:val="16"/>
              </w:rPr>
            </w:pPr>
          </w:p>
        </w:tc>
        <w:tc>
          <w:tcPr>
            <w:tcW w:w="567" w:type="dxa"/>
            <w:vAlign w:val="center"/>
          </w:tcPr>
          <w:p w14:paraId="1D00E069" w14:textId="28956F24" w:rsidR="007F18B8" w:rsidRPr="000303A4" w:rsidRDefault="005C4A7F" w:rsidP="003D3071">
            <w:pPr>
              <w:jc w:val="center"/>
              <w:rPr>
                <w:sz w:val="16"/>
                <w:szCs w:val="16"/>
              </w:rPr>
            </w:pPr>
            <w:r>
              <w:rPr>
                <w:sz w:val="16"/>
                <w:szCs w:val="16"/>
              </w:rPr>
              <w:t>20</w:t>
            </w:r>
          </w:p>
        </w:tc>
        <w:tc>
          <w:tcPr>
            <w:tcW w:w="4785" w:type="dxa"/>
            <w:vAlign w:val="center"/>
          </w:tcPr>
          <w:p w14:paraId="45ADEA98" w14:textId="5653C449" w:rsidR="007F18B8" w:rsidRPr="000303A4" w:rsidRDefault="00CC6C64" w:rsidP="00F23970">
            <w:pPr>
              <w:jc w:val="left"/>
              <w:rPr>
                <w:sz w:val="16"/>
                <w:szCs w:val="16"/>
              </w:rPr>
            </w:pPr>
            <w:r>
              <w:rPr>
                <w:sz w:val="16"/>
                <w:szCs w:val="16"/>
              </w:rPr>
              <w:t>Argentina Ordo</w:t>
            </w:r>
            <w:r w:rsidR="00767761">
              <w:rPr>
                <w:sz w:val="16"/>
                <w:szCs w:val="16"/>
              </w:rPr>
              <w:t>ñez A</w:t>
            </w:r>
            <w:r w:rsidR="007F18B8" w:rsidRPr="000303A4">
              <w:rPr>
                <w:sz w:val="16"/>
                <w:szCs w:val="16"/>
              </w:rPr>
              <w:t>lvarez (Hija)</w:t>
            </w:r>
          </w:p>
        </w:tc>
      </w:tr>
      <w:tr w:rsidR="007F18B8" w:rsidRPr="0068359D" w14:paraId="7C8EC4C2" w14:textId="77777777" w:rsidTr="003D3071">
        <w:tc>
          <w:tcPr>
            <w:tcW w:w="560" w:type="dxa"/>
            <w:vMerge/>
            <w:vAlign w:val="center"/>
          </w:tcPr>
          <w:p w14:paraId="1415890D" w14:textId="77777777" w:rsidR="007F18B8" w:rsidRPr="000303A4" w:rsidRDefault="007F18B8" w:rsidP="003D3071">
            <w:pPr>
              <w:jc w:val="center"/>
              <w:rPr>
                <w:sz w:val="16"/>
                <w:szCs w:val="16"/>
              </w:rPr>
            </w:pPr>
          </w:p>
        </w:tc>
        <w:tc>
          <w:tcPr>
            <w:tcW w:w="3092" w:type="dxa"/>
            <w:vMerge/>
            <w:vAlign w:val="center"/>
          </w:tcPr>
          <w:p w14:paraId="19377A69" w14:textId="77777777" w:rsidR="007F18B8" w:rsidRPr="000303A4" w:rsidRDefault="007F18B8" w:rsidP="00F23970">
            <w:pPr>
              <w:jc w:val="left"/>
              <w:rPr>
                <w:sz w:val="16"/>
                <w:szCs w:val="16"/>
              </w:rPr>
            </w:pPr>
          </w:p>
        </w:tc>
        <w:tc>
          <w:tcPr>
            <w:tcW w:w="567" w:type="dxa"/>
            <w:vAlign w:val="center"/>
          </w:tcPr>
          <w:p w14:paraId="005FDAF3" w14:textId="09699679" w:rsidR="007F18B8" w:rsidRPr="000303A4" w:rsidRDefault="005C4A7F" w:rsidP="003D3071">
            <w:pPr>
              <w:jc w:val="center"/>
              <w:rPr>
                <w:sz w:val="16"/>
                <w:szCs w:val="16"/>
              </w:rPr>
            </w:pPr>
            <w:r>
              <w:rPr>
                <w:sz w:val="16"/>
                <w:szCs w:val="16"/>
              </w:rPr>
              <w:t>21</w:t>
            </w:r>
          </w:p>
        </w:tc>
        <w:tc>
          <w:tcPr>
            <w:tcW w:w="4785" w:type="dxa"/>
            <w:vAlign w:val="center"/>
          </w:tcPr>
          <w:p w14:paraId="785F56B8" w14:textId="3B07ADF7" w:rsidR="007F18B8" w:rsidRPr="000303A4" w:rsidRDefault="00CC6C64" w:rsidP="00F23970">
            <w:pPr>
              <w:jc w:val="left"/>
              <w:rPr>
                <w:sz w:val="16"/>
                <w:szCs w:val="16"/>
              </w:rPr>
            </w:pPr>
            <w:r>
              <w:rPr>
                <w:sz w:val="16"/>
                <w:szCs w:val="16"/>
              </w:rPr>
              <w:t>Honoria Ordo</w:t>
            </w:r>
            <w:r w:rsidR="00767761">
              <w:rPr>
                <w:sz w:val="16"/>
                <w:szCs w:val="16"/>
              </w:rPr>
              <w:t>ñez A</w:t>
            </w:r>
            <w:r w:rsidR="007F18B8" w:rsidRPr="000303A4">
              <w:rPr>
                <w:sz w:val="16"/>
                <w:szCs w:val="16"/>
              </w:rPr>
              <w:t>lvarez (Hija)</w:t>
            </w:r>
          </w:p>
        </w:tc>
      </w:tr>
      <w:tr w:rsidR="007F18B8" w:rsidRPr="0068359D" w14:paraId="0C128D7E" w14:textId="77777777" w:rsidTr="003D3071">
        <w:tc>
          <w:tcPr>
            <w:tcW w:w="560" w:type="dxa"/>
            <w:vMerge/>
            <w:vAlign w:val="center"/>
          </w:tcPr>
          <w:p w14:paraId="40B7270E" w14:textId="77777777" w:rsidR="007F18B8" w:rsidRPr="000303A4" w:rsidRDefault="007F18B8" w:rsidP="003D3071">
            <w:pPr>
              <w:jc w:val="center"/>
              <w:rPr>
                <w:sz w:val="16"/>
                <w:szCs w:val="16"/>
              </w:rPr>
            </w:pPr>
          </w:p>
        </w:tc>
        <w:tc>
          <w:tcPr>
            <w:tcW w:w="3092" w:type="dxa"/>
            <w:vMerge/>
            <w:vAlign w:val="center"/>
          </w:tcPr>
          <w:p w14:paraId="4D621F7F" w14:textId="77777777" w:rsidR="007F18B8" w:rsidRPr="000303A4" w:rsidRDefault="007F18B8" w:rsidP="00F23970">
            <w:pPr>
              <w:jc w:val="left"/>
              <w:rPr>
                <w:sz w:val="16"/>
                <w:szCs w:val="16"/>
              </w:rPr>
            </w:pPr>
          </w:p>
        </w:tc>
        <w:tc>
          <w:tcPr>
            <w:tcW w:w="567" w:type="dxa"/>
            <w:vAlign w:val="center"/>
          </w:tcPr>
          <w:p w14:paraId="485F3C0E" w14:textId="4B263466" w:rsidR="007F18B8" w:rsidRPr="000303A4" w:rsidRDefault="0009273C" w:rsidP="003D3071">
            <w:pPr>
              <w:jc w:val="center"/>
              <w:rPr>
                <w:sz w:val="16"/>
                <w:szCs w:val="16"/>
              </w:rPr>
            </w:pPr>
            <w:r w:rsidRPr="0009273C">
              <w:rPr>
                <w:sz w:val="16"/>
                <w:szCs w:val="16"/>
              </w:rPr>
              <w:t>2</w:t>
            </w:r>
            <w:r w:rsidR="005C4A7F">
              <w:rPr>
                <w:sz w:val="16"/>
                <w:szCs w:val="16"/>
              </w:rPr>
              <w:t>2</w:t>
            </w:r>
          </w:p>
        </w:tc>
        <w:tc>
          <w:tcPr>
            <w:tcW w:w="4785" w:type="dxa"/>
            <w:vAlign w:val="center"/>
          </w:tcPr>
          <w:p w14:paraId="088FB4AA" w14:textId="41EF2A2E" w:rsidR="007F18B8" w:rsidRPr="000303A4" w:rsidRDefault="00CC6C64" w:rsidP="00F23970">
            <w:pPr>
              <w:jc w:val="left"/>
              <w:rPr>
                <w:sz w:val="16"/>
                <w:szCs w:val="16"/>
              </w:rPr>
            </w:pPr>
            <w:r>
              <w:rPr>
                <w:sz w:val="16"/>
                <w:szCs w:val="16"/>
              </w:rPr>
              <w:t>Cecilia Ordo</w:t>
            </w:r>
            <w:r w:rsidR="007F18B8" w:rsidRPr="00F658A6">
              <w:rPr>
                <w:sz w:val="16"/>
                <w:szCs w:val="16"/>
              </w:rPr>
              <w:t>ñez Alvarez (Hija)</w:t>
            </w:r>
          </w:p>
        </w:tc>
      </w:tr>
      <w:tr w:rsidR="007F18B8" w:rsidRPr="0068359D" w14:paraId="19100476" w14:textId="77777777" w:rsidTr="003D3071">
        <w:tc>
          <w:tcPr>
            <w:tcW w:w="560" w:type="dxa"/>
            <w:vMerge/>
            <w:vAlign w:val="center"/>
          </w:tcPr>
          <w:p w14:paraId="5E1FAC96" w14:textId="77777777" w:rsidR="007F18B8" w:rsidRPr="000303A4" w:rsidRDefault="007F18B8" w:rsidP="003D3071">
            <w:pPr>
              <w:jc w:val="center"/>
              <w:rPr>
                <w:sz w:val="16"/>
                <w:szCs w:val="16"/>
              </w:rPr>
            </w:pPr>
          </w:p>
        </w:tc>
        <w:tc>
          <w:tcPr>
            <w:tcW w:w="3092" w:type="dxa"/>
            <w:vMerge/>
            <w:vAlign w:val="center"/>
          </w:tcPr>
          <w:p w14:paraId="002CD0A3" w14:textId="77777777" w:rsidR="007F18B8" w:rsidRPr="000303A4" w:rsidRDefault="007F18B8" w:rsidP="00F23970">
            <w:pPr>
              <w:jc w:val="left"/>
              <w:rPr>
                <w:sz w:val="16"/>
                <w:szCs w:val="16"/>
              </w:rPr>
            </w:pPr>
          </w:p>
        </w:tc>
        <w:tc>
          <w:tcPr>
            <w:tcW w:w="567" w:type="dxa"/>
            <w:vAlign w:val="center"/>
          </w:tcPr>
          <w:p w14:paraId="524C9E08" w14:textId="25C48F1C" w:rsidR="007F18B8" w:rsidRPr="000303A4" w:rsidRDefault="0009273C" w:rsidP="003D3071">
            <w:pPr>
              <w:jc w:val="center"/>
              <w:rPr>
                <w:sz w:val="16"/>
                <w:szCs w:val="16"/>
              </w:rPr>
            </w:pPr>
            <w:r>
              <w:rPr>
                <w:sz w:val="16"/>
                <w:szCs w:val="16"/>
              </w:rPr>
              <w:t>2</w:t>
            </w:r>
            <w:r w:rsidR="005C4A7F">
              <w:rPr>
                <w:sz w:val="16"/>
                <w:szCs w:val="16"/>
              </w:rPr>
              <w:t>3</w:t>
            </w:r>
          </w:p>
        </w:tc>
        <w:tc>
          <w:tcPr>
            <w:tcW w:w="4785" w:type="dxa"/>
            <w:vAlign w:val="center"/>
          </w:tcPr>
          <w:p w14:paraId="6057882D" w14:textId="4B0480D0" w:rsidR="007F18B8" w:rsidRPr="000303A4" w:rsidRDefault="00CC6C64" w:rsidP="00F23970">
            <w:pPr>
              <w:jc w:val="left"/>
              <w:rPr>
                <w:sz w:val="16"/>
                <w:szCs w:val="16"/>
              </w:rPr>
            </w:pPr>
            <w:r>
              <w:rPr>
                <w:sz w:val="16"/>
                <w:szCs w:val="16"/>
              </w:rPr>
              <w:t>Daria Ordo</w:t>
            </w:r>
            <w:r w:rsidR="007F18B8" w:rsidRPr="00F658A6">
              <w:rPr>
                <w:sz w:val="16"/>
                <w:szCs w:val="16"/>
              </w:rPr>
              <w:t>ñez Alvarez (Hija)</w:t>
            </w:r>
          </w:p>
        </w:tc>
      </w:tr>
      <w:tr w:rsidR="007F18B8" w:rsidRPr="0068359D" w14:paraId="26F94721" w14:textId="77777777" w:rsidTr="003D3071">
        <w:tc>
          <w:tcPr>
            <w:tcW w:w="560" w:type="dxa"/>
            <w:vMerge/>
            <w:vAlign w:val="center"/>
          </w:tcPr>
          <w:p w14:paraId="6C5D017D" w14:textId="77777777" w:rsidR="007F18B8" w:rsidRPr="000303A4" w:rsidRDefault="007F18B8" w:rsidP="003D3071">
            <w:pPr>
              <w:jc w:val="center"/>
              <w:rPr>
                <w:sz w:val="16"/>
                <w:szCs w:val="16"/>
              </w:rPr>
            </w:pPr>
          </w:p>
        </w:tc>
        <w:tc>
          <w:tcPr>
            <w:tcW w:w="3092" w:type="dxa"/>
            <w:vMerge/>
            <w:vAlign w:val="center"/>
          </w:tcPr>
          <w:p w14:paraId="470F0A00" w14:textId="77777777" w:rsidR="007F18B8" w:rsidRPr="000303A4" w:rsidRDefault="007F18B8" w:rsidP="00F23970">
            <w:pPr>
              <w:jc w:val="left"/>
              <w:rPr>
                <w:sz w:val="16"/>
                <w:szCs w:val="16"/>
              </w:rPr>
            </w:pPr>
          </w:p>
        </w:tc>
        <w:tc>
          <w:tcPr>
            <w:tcW w:w="567" w:type="dxa"/>
            <w:vAlign w:val="center"/>
          </w:tcPr>
          <w:p w14:paraId="26FF89ED" w14:textId="6DA60AFE" w:rsidR="007F18B8" w:rsidRPr="000303A4" w:rsidRDefault="0009273C" w:rsidP="003D3071">
            <w:pPr>
              <w:jc w:val="center"/>
              <w:rPr>
                <w:sz w:val="16"/>
                <w:szCs w:val="16"/>
              </w:rPr>
            </w:pPr>
            <w:r>
              <w:rPr>
                <w:sz w:val="16"/>
                <w:szCs w:val="16"/>
              </w:rPr>
              <w:t>2</w:t>
            </w:r>
            <w:r w:rsidR="005C4A7F">
              <w:rPr>
                <w:sz w:val="16"/>
                <w:szCs w:val="16"/>
              </w:rPr>
              <w:t>4</w:t>
            </w:r>
          </w:p>
        </w:tc>
        <w:tc>
          <w:tcPr>
            <w:tcW w:w="4785" w:type="dxa"/>
            <w:vAlign w:val="center"/>
          </w:tcPr>
          <w:p w14:paraId="345B2077" w14:textId="351F1DE0" w:rsidR="007F18B8" w:rsidRPr="000303A4" w:rsidRDefault="00CC6C64" w:rsidP="00F23970">
            <w:pPr>
              <w:jc w:val="left"/>
              <w:rPr>
                <w:sz w:val="16"/>
                <w:szCs w:val="16"/>
              </w:rPr>
            </w:pPr>
            <w:r>
              <w:rPr>
                <w:sz w:val="16"/>
                <w:szCs w:val="16"/>
              </w:rPr>
              <w:t>Juan Carlos Ordo</w:t>
            </w:r>
            <w:r w:rsidR="007F18B8" w:rsidRPr="00F658A6">
              <w:rPr>
                <w:sz w:val="16"/>
                <w:szCs w:val="16"/>
              </w:rPr>
              <w:t>ñez Alvarez (Hijo)</w:t>
            </w:r>
          </w:p>
        </w:tc>
      </w:tr>
      <w:tr w:rsidR="007F18B8" w:rsidRPr="0068359D" w14:paraId="70139A36" w14:textId="77777777" w:rsidTr="003D3071">
        <w:tc>
          <w:tcPr>
            <w:tcW w:w="560" w:type="dxa"/>
            <w:vAlign w:val="center"/>
          </w:tcPr>
          <w:p w14:paraId="39AEC7B0" w14:textId="77777777" w:rsidR="007F18B8" w:rsidRPr="000303A4" w:rsidRDefault="007F18B8" w:rsidP="003D3071">
            <w:pPr>
              <w:jc w:val="center"/>
              <w:rPr>
                <w:sz w:val="16"/>
                <w:szCs w:val="16"/>
              </w:rPr>
            </w:pPr>
            <w:r w:rsidRPr="000303A4">
              <w:rPr>
                <w:sz w:val="16"/>
                <w:szCs w:val="16"/>
              </w:rPr>
              <w:t>19</w:t>
            </w:r>
          </w:p>
        </w:tc>
        <w:tc>
          <w:tcPr>
            <w:tcW w:w="3092" w:type="dxa"/>
            <w:vAlign w:val="center"/>
          </w:tcPr>
          <w:p w14:paraId="012F800F" w14:textId="710F7949" w:rsidR="007F18B8" w:rsidRPr="000303A4" w:rsidRDefault="00CC6C64" w:rsidP="00F23970">
            <w:pPr>
              <w:jc w:val="left"/>
              <w:rPr>
                <w:sz w:val="16"/>
                <w:szCs w:val="16"/>
              </w:rPr>
            </w:pPr>
            <w:r>
              <w:rPr>
                <w:sz w:val="16"/>
                <w:szCs w:val="16"/>
              </w:rPr>
              <w:t>Martina Candelaria A</w:t>
            </w:r>
            <w:r w:rsidR="007F18B8" w:rsidRPr="000303A4">
              <w:rPr>
                <w:sz w:val="16"/>
                <w:szCs w:val="16"/>
              </w:rPr>
              <w:t>lvarez Estrada</w:t>
            </w:r>
          </w:p>
        </w:tc>
        <w:tc>
          <w:tcPr>
            <w:tcW w:w="567" w:type="dxa"/>
            <w:vAlign w:val="center"/>
          </w:tcPr>
          <w:p w14:paraId="1650801D" w14:textId="27E3294E" w:rsidR="007F18B8" w:rsidRPr="000303A4" w:rsidRDefault="007F18B8" w:rsidP="003D3071">
            <w:pPr>
              <w:jc w:val="center"/>
              <w:rPr>
                <w:sz w:val="16"/>
                <w:szCs w:val="16"/>
              </w:rPr>
            </w:pPr>
          </w:p>
        </w:tc>
        <w:tc>
          <w:tcPr>
            <w:tcW w:w="4785" w:type="dxa"/>
            <w:vAlign w:val="center"/>
          </w:tcPr>
          <w:p w14:paraId="294FA903" w14:textId="7EB613C5" w:rsidR="007F18B8" w:rsidRPr="000303A4" w:rsidRDefault="007F18B8" w:rsidP="00F23970">
            <w:pPr>
              <w:jc w:val="left"/>
              <w:rPr>
                <w:sz w:val="16"/>
                <w:szCs w:val="16"/>
              </w:rPr>
            </w:pPr>
          </w:p>
        </w:tc>
      </w:tr>
      <w:tr w:rsidR="00FB476A" w:rsidRPr="0068359D" w14:paraId="16B832CB" w14:textId="77777777" w:rsidTr="003D3071">
        <w:tc>
          <w:tcPr>
            <w:tcW w:w="560" w:type="dxa"/>
            <w:vAlign w:val="center"/>
          </w:tcPr>
          <w:p w14:paraId="3AE51226" w14:textId="77777777" w:rsidR="00FB476A" w:rsidRPr="000303A4" w:rsidRDefault="00FB476A" w:rsidP="003D3071">
            <w:pPr>
              <w:jc w:val="center"/>
              <w:rPr>
                <w:sz w:val="16"/>
                <w:szCs w:val="16"/>
              </w:rPr>
            </w:pPr>
            <w:r w:rsidRPr="000303A4">
              <w:rPr>
                <w:sz w:val="16"/>
                <w:szCs w:val="16"/>
              </w:rPr>
              <w:t>20</w:t>
            </w:r>
          </w:p>
        </w:tc>
        <w:tc>
          <w:tcPr>
            <w:tcW w:w="3092" w:type="dxa"/>
            <w:vAlign w:val="center"/>
          </w:tcPr>
          <w:p w14:paraId="00F600BE" w14:textId="0D0C0F2F" w:rsidR="00FB476A" w:rsidRPr="000303A4" w:rsidRDefault="00FB476A" w:rsidP="00F23970">
            <w:pPr>
              <w:jc w:val="left"/>
              <w:rPr>
                <w:sz w:val="16"/>
                <w:szCs w:val="16"/>
              </w:rPr>
            </w:pPr>
            <w:r w:rsidRPr="000303A4">
              <w:rPr>
                <w:sz w:val="16"/>
                <w:szCs w:val="16"/>
              </w:rPr>
              <w:t>Luis Rubén Isab</w:t>
            </w:r>
            <w:r>
              <w:rPr>
                <w:sz w:val="16"/>
                <w:szCs w:val="16"/>
              </w:rPr>
              <w:t>el A</w:t>
            </w:r>
            <w:r w:rsidRPr="000303A4">
              <w:rPr>
                <w:sz w:val="16"/>
                <w:szCs w:val="16"/>
              </w:rPr>
              <w:t>lvarez Flores</w:t>
            </w:r>
          </w:p>
        </w:tc>
        <w:tc>
          <w:tcPr>
            <w:tcW w:w="567" w:type="dxa"/>
            <w:vAlign w:val="center"/>
          </w:tcPr>
          <w:p w14:paraId="788730B1" w14:textId="3EE0A3ED" w:rsidR="00FB476A" w:rsidRPr="000303A4" w:rsidRDefault="00FB476A" w:rsidP="003D3071">
            <w:pPr>
              <w:jc w:val="center"/>
              <w:rPr>
                <w:sz w:val="16"/>
                <w:szCs w:val="16"/>
              </w:rPr>
            </w:pPr>
          </w:p>
        </w:tc>
        <w:tc>
          <w:tcPr>
            <w:tcW w:w="4785" w:type="dxa"/>
            <w:vAlign w:val="center"/>
          </w:tcPr>
          <w:p w14:paraId="7563F4EE" w14:textId="77777777" w:rsidR="00FB476A" w:rsidRPr="000303A4" w:rsidRDefault="00FB476A" w:rsidP="00F23970">
            <w:pPr>
              <w:tabs>
                <w:tab w:val="left" w:pos="1277"/>
              </w:tabs>
              <w:jc w:val="left"/>
              <w:rPr>
                <w:sz w:val="16"/>
                <w:szCs w:val="16"/>
              </w:rPr>
            </w:pPr>
          </w:p>
        </w:tc>
      </w:tr>
      <w:tr w:rsidR="00FB476A" w:rsidRPr="0068359D" w14:paraId="33555591" w14:textId="77777777" w:rsidTr="003D3071">
        <w:tc>
          <w:tcPr>
            <w:tcW w:w="560" w:type="dxa"/>
            <w:vAlign w:val="center"/>
          </w:tcPr>
          <w:p w14:paraId="3381519D" w14:textId="77777777" w:rsidR="00FB476A" w:rsidRPr="000303A4" w:rsidRDefault="00FB476A" w:rsidP="003D3071">
            <w:pPr>
              <w:jc w:val="center"/>
              <w:rPr>
                <w:sz w:val="16"/>
                <w:szCs w:val="16"/>
              </w:rPr>
            </w:pPr>
            <w:r w:rsidRPr="000303A4">
              <w:rPr>
                <w:sz w:val="16"/>
                <w:szCs w:val="16"/>
              </w:rPr>
              <w:t>21</w:t>
            </w:r>
          </w:p>
        </w:tc>
        <w:tc>
          <w:tcPr>
            <w:tcW w:w="3092" w:type="dxa"/>
            <w:vAlign w:val="center"/>
          </w:tcPr>
          <w:p w14:paraId="0324D2E6" w14:textId="77777777" w:rsidR="00FB476A" w:rsidRPr="000303A4" w:rsidRDefault="00FB476A" w:rsidP="00F23970">
            <w:pPr>
              <w:jc w:val="left"/>
              <w:rPr>
                <w:sz w:val="16"/>
                <w:szCs w:val="16"/>
              </w:rPr>
            </w:pPr>
            <w:r w:rsidRPr="000303A4">
              <w:rPr>
                <w:sz w:val="16"/>
                <w:szCs w:val="16"/>
              </w:rPr>
              <w:t>Ingrid Janeth Barillas Martínez</w:t>
            </w:r>
          </w:p>
        </w:tc>
        <w:tc>
          <w:tcPr>
            <w:tcW w:w="567" w:type="dxa"/>
            <w:vAlign w:val="center"/>
          </w:tcPr>
          <w:p w14:paraId="36BB7362" w14:textId="77777777" w:rsidR="00FB476A" w:rsidRPr="000303A4" w:rsidRDefault="00FB476A" w:rsidP="003D3071">
            <w:pPr>
              <w:jc w:val="center"/>
              <w:rPr>
                <w:sz w:val="16"/>
                <w:szCs w:val="16"/>
              </w:rPr>
            </w:pPr>
          </w:p>
        </w:tc>
        <w:tc>
          <w:tcPr>
            <w:tcW w:w="4785" w:type="dxa"/>
            <w:vAlign w:val="center"/>
          </w:tcPr>
          <w:p w14:paraId="5046486D" w14:textId="77777777" w:rsidR="00FB476A" w:rsidRPr="000303A4" w:rsidRDefault="00FB476A" w:rsidP="00F23970">
            <w:pPr>
              <w:jc w:val="left"/>
              <w:rPr>
                <w:sz w:val="16"/>
                <w:szCs w:val="16"/>
              </w:rPr>
            </w:pPr>
          </w:p>
        </w:tc>
      </w:tr>
      <w:tr w:rsidR="00FB476A" w:rsidRPr="0068359D" w14:paraId="5BB79F08" w14:textId="77777777" w:rsidTr="003D3071">
        <w:tc>
          <w:tcPr>
            <w:tcW w:w="560" w:type="dxa"/>
            <w:vMerge w:val="restart"/>
            <w:vAlign w:val="center"/>
          </w:tcPr>
          <w:p w14:paraId="6BC05897" w14:textId="77777777" w:rsidR="00FB476A" w:rsidRPr="000303A4" w:rsidRDefault="00FB476A" w:rsidP="003D3071">
            <w:pPr>
              <w:jc w:val="center"/>
              <w:rPr>
                <w:sz w:val="16"/>
                <w:szCs w:val="16"/>
              </w:rPr>
            </w:pPr>
            <w:r w:rsidRPr="000303A4">
              <w:rPr>
                <w:sz w:val="16"/>
                <w:szCs w:val="16"/>
              </w:rPr>
              <w:t>22</w:t>
            </w:r>
          </w:p>
        </w:tc>
        <w:tc>
          <w:tcPr>
            <w:tcW w:w="3092" w:type="dxa"/>
            <w:vMerge w:val="restart"/>
            <w:vAlign w:val="center"/>
          </w:tcPr>
          <w:p w14:paraId="4D138C8B" w14:textId="77777777" w:rsidR="00FB476A" w:rsidRPr="000303A4" w:rsidRDefault="00FB476A" w:rsidP="00F23970">
            <w:pPr>
              <w:jc w:val="left"/>
              <w:rPr>
                <w:sz w:val="16"/>
                <w:szCs w:val="16"/>
              </w:rPr>
            </w:pPr>
            <w:r w:rsidRPr="000303A4">
              <w:rPr>
                <w:sz w:val="16"/>
                <w:szCs w:val="16"/>
              </w:rPr>
              <w:t>Saira Elisa Barrios</w:t>
            </w:r>
          </w:p>
        </w:tc>
        <w:tc>
          <w:tcPr>
            <w:tcW w:w="567" w:type="dxa"/>
            <w:vAlign w:val="center"/>
          </w:tcPr>
          <w:p w14:paraId="02039BB9" w14:textId="31EBC521" w:rsidR="00FB476A" w:rsidRPr="000303A4" w:rsidRDefault="0009273C" w:rsidP="003D3071">
            <w:pPr>
              <w:jc w:val="center"/>
              <w:rPr>
                <w:sz w:val="16"/>
                <w:szCs w:val="16"/>
              </w:rPr>
            </w:pPr>
            <w:r>
              <w:rPr>
                <w:sz w:val="16"/>
                <w:szCs w:val="16"/>
              </w:rPr>
              <w:t>2</w:t>
            </w:r>
            <w:r w:rsidR="005C4A7F">
              <w:rPr>
                <w:sz w:val="16"/>
                <w:szCs w:val="16"/>
              </w:rPr>
              <w:t>5</w:t>
            </w:r>
          </w:p>
        </w:tc>
        <w:tc>
          <w:tcPr>
            <w:tcW w:w="4785" w:type="dxa"/>
            <w:vAlign w:val="center"/>
          </w:tcPr>
          <w:p w14:paraId="5F79B8E9" w14:textId="77777777" w:rsidR="00FB476A" w:rsidRPr="000303A4" w:rsidRDefault="00FB476A" w:rsidP="00F23970">
            <w:pPr>
              <w:jc w:val="left"/>
              <w:rPr>
                <w:sz w:val="16"/>
                <w:szCs w:val="16"/>
              </w:rPr>
            </w:pPr>
            <w:r w:rsidRPr="000303A4">
              <w:rPr>
                <w:sz w:val="16"/>
                <w:szCs w:val="16"/>
              </w:rPr>
              <w:t>Edilma Evelina Barrios (Hija)</w:t>
            </w:r>
          </w:p>
        </w:tc>
      </w:tr>
      <w:tr w:rsidR="00FB476A" w:rsidRPr="0068359D" w14:paraId="06020CE8" w14:textId="77777777" w:rsidTr="003D3071">
        <w:tc>
          <w:tcPr>
            <w:tcW w:w="560" w:type="dxa"/>
            <w:vMerge/>
            <w:vAlign w:val="center"/>
          </w:tcPr>
          <w:p w14:paraId="2E5CE553" w14:textId="77777777" w:rsidR="00FB476A" w:rsidRPr="000303A4" w:rsidRDefault="00FB476A" w:rsidP="003D3071">
            <w:pPr>
              <w:jc w:val="center"/>
              <w:rPr>
                <w:sz w:val="16"/>
                <w:szCs w:val="16"/>
              </w:rPr>
            </w:pPr>
          </w:p>
        </w:tc>
        <w:tc>
          <w:tcPr>
            <w:tcW w:w="3092" w:type="dxa"/>
            <w:vMerge/>
            <w:vAlign w:val="center"/>
          </w:tcPr>
          <w:p w14:paraId="3CD67ED0" w14:textId="77777777" w:rsidR="00FB476A" w:rsidRPr="000303A4" w:rsidRDefault="00FB476A" w:rsidP="00F23970">
            <w:pPr>
              <w:jc w:val="left"/>
              <w:rPr>
                <w:sz w:val="16"/>
                <w:szCs w:val="16"/>
              </w:rPr>
            </w:pPr>
          </w:p>
        </w:tc>
        <w:tc>
          <w:tcPr>
            <w:tcW w:w="567" w:type="dxa"/>
            <w:vAlign w:val="center"/>
          </w:tcPr>
          <w:p w14:paraId="0BCBCD5A" w14:textId="51C16948" w:rsidR="00FB476A" w:rsidRPr="000303A4" w:rsidRDefault="0009273C" w:rsidP="003D3071">
            <w:pPr>
              <w:jc w:val="center"/>
              <w:rPr>
                <w:sz w:val="16"/>
                <w:szCs w:val="16"/>
              </w:rPr>
            </w:pPr>
            <w:r>
              <w:rPr>
                <w:sz w:val="16"/>
                <w:szCs w:val="16"/>
              </w:rPr>
              <w:t>2</w:t>
            </w:r>
            <w:r w:rsidR="005C4A7F">
              <w:rPr>
                <w:sz w:val="16"/>
                <w:szCs w:val="16"/>
              </w:rPr>
              <w:t>6</w:t>
            </w:r>
          </w:p>
        </w:tc>
        <w:tc>
          <w:tcPr>
            <w:tcW w:w="4785" w:type="dxa"/>
            <w:vAlign w:val="center"/>
          </w:tcPr>
          <w:p w14:paraId="2491BCBB" w14:textId="77777777" w:rsidR="00FB476A" w:rsidRPr="000303A4" w:rsidRDefault="00FB476A" w:rsidP="00F23970">
            <w:pPr>
              <w:jc w:val="left"/>
              <w:rPr>
                <w:sz w:val="16"/>
                <w:szCs w:val="16"/>
              </w:rPr>
            </w:pPr>
            <w:r w:rsidRPr="000303A4">
              <w:rPr>
                <w:sz w:val="16"/>
                <w:szCs w:val="16"/>
              </w:rPr>
              <w:t>Darlin Sureima Barrios (Hija)</w:t>
            </w:r>
          </w:p>
        </w:tc>
      </w:tr>
      <w:tr w:rsidR="00FB476A" w:rsidRPr="0068359D" w14:paraId="078435DC" w14:textId="77777777" w:rsidTr="003D3071">
        <w:tc>
          <w:tcPr>
            <w:tcW w:w="560" w:type="dxa"/>
            <w:vMerge/>
            <w:vAlign w:val="center"/>
          </w:tcPr>
          <w:p w14:paraId="17B5D1E3" w14:textId="77777777" w:rsidR="00FB476A" w:rsidRPr="000303A4" w:rsidRDefault="00FB476A" w:rsidP="003D3071">
            <w:pPr>
              <w:jc w:val="center"/>
              <w:rPr>
                <w:sz w:val="16"/>
                <w:szCs w:val="16"/>
              </w:rPr>
            </w:pPr>
          </w:p>
        </w:tc>
        <w:tc>
          <w:tcPr>
            <w:tcW w:w="3092" w:type="dxa"/>
            <w:vMerge/>
            <w:vAlign w:val="center"/>
          </w:tcPr>
          <w:p w14:paraId="3541AE62" w14:textId="77777777" w:rsidR="00FB476A" w:rsidRPr="000303A4" w:rsidRDefault="00FB476A" w:rsidP="00F23970">
            <w:pPr>
              <w:jc w:val="left"/>
              <w:rPr>
                <w:sz w:val="16"/>
                <w:szCs w:val="16"/>
              </w:rPr>
            </w:pPr>
          </w:p>
        </w:tc>
        <w:tc>
          <w:tcPr>
            <w:tcW w:w="567" w:type="dxa"/>
            <w:vAlign w:val="center"/>
          </w:tcPr>
          <w:p w14:paraId="33CBB2EE" w14:textId="4A0AB166" w:rsidR="00FB476A" w:rsidRPr="000303A4" w:rsidRDefault="0009273C" w:rsidP="003D3071">
            <w:pPr>
              <w:jc w:val="center"/>
              <w:rPr>
                <w:sz w:val="16"/>
                <w:szCs w:val="16"/>
              </w:rPr>
            </w:pPr>
            <w:r>
              <w:rPr>
                <w:sz w:val="16"/>
                <w:szCs w:val="16"/>
              </w:rPr>
              <w:t>2</w:t>
            </w:r>
            <w:r w:rsidR="005C4A7F">
              <w:rPr>
                <w:sz w:val="16"/>
                <w:szCs w:val="16"/>
              </w:rPr>
              <w:t>7</w:t>
            </w:r>
          </w:p>
        </w:tc>
        <w:tc>
          <w:tcPr>
            <w:tcW w:w="4785" w:type="dxa"/>
            <w:vAlign w:val="center"/>
          </w:tcPr>
          <w:p w14:paraId="289C1952" w14:textId="77777777" w:rsidR="00FB476A" w:rsidRPr="000303A4" w:rsidRDefault="00FB476A" w:rsidP="00F23970">
            <w:pPr>
              <w:jc w:val="left"/>
              <w:rPr>
                <w:sz w:val="16"/>
                <w:szCs w:val="16"/>
              </w:rPr>
            </w:pPr>
            <w:r w:rsidRPr="000303A4">
              <w:rPr>
                <w:sz w:val="16"/>
                <w:szCs w:val="16"/>
              </w:rPr>
              <w:t>Kendi Liserli Barrios (Hija)</w:t>
            </w:r>
          </w:p>
        </w:tc>
      </w:tr>
      <w:tr w:rsidR="00FB476A" w:rsidRPr="0068359D" w14:paraId="5400F284" w14:textId="77777777" w:rsidTr="003D3071">
        <w:tc>
          <w:tcPr>
            <w:tcW w:w="560" w:type="dxa"/>
            <w:vMerge/>
            <w:vAlign w:val="center"/>
          </w:tcPr>
          <w:p w14:paraId="7612EEF1" w14:textId="77777777" w:rsidR="00FB476A" w:rsidRPr="000303A4" w:rsidRDefault="00FB476A" w:rsidP="003D3071">
            <w:pPr>
              <w:jc w:val="center"/>
              <w:rPr>
                <w:sz w:val="16"/>
                <w:szCs w:val="16"/>
              </w:rPr>
            </w:pPr>
          </w:p>
        </w:tc>
        <w:tc>
          <w:tcPr>
            <w:tcW w:w="3092" w:type="dxa"/>
            <w:vMerge/>
            <w:vAlign w:val="center"/>
          </w:tcPr>
          <w:p w14:paraId="4F659254" w14:textId="77777777" w:rsidR="00FB476A" w:rsidRPr="000303A4" w:rsidRDefault="00FB476A" w:rsidP="00F23970">
            <w:pPr>
              <w:jc w:val="left"/>
              <w:rPr>
                <w:sz w:val="16"/>
                <w:szCs w:val="16"/>
              </w:rPr>
            </w:pPr>
          </w:p>
        </w:tc>
        <w:tc>
          <w:tcPr>
            <w:tcW w:w="567" w:type="dxa"/>
            <w:vAlign w:val="center"/>
          </w:tcPr>
          <w:p w14:paraId="06AB873F" w14:textId="3954410B" w:rsidR="00FB476A" w:rsidRPr="000303A4" w:rsidRDefault="0009273C" w:rsidP="003D3071">
            <w:pPr>
              <w:jc w:val="center"/>
              <w:rPr>
                <w:sz w:val="16"/>
                <w:szCs w:val="16"/>
              </w:rPr>
            </w:pPr>
            <w:r>
              <w:rPr>
                <w:sz w:val="16"/>
                <w:szCs w:val="16"/>
              </w:rPr>
              <w:t>2</w:t>
            </w:r>
            <w:r w:rsidR="005C4A7F">
              <w:rPr>
                <w:sz w:val="16"/>
                <w:szCs w:val="16"/>
              </w:rPr>
              <w:t>8</w:t>
            </w:r>
          </w:p>
        </w:tc>
        <w:tc>
          <w:tcPr>
            <w:tcW w:w="4785" w:type="dxa"/>
            <w:vAlign w:val="center"/>
          </w:tcPr>
          <w:p w14:paraId="7D70307C" w14:textId="77777777" w:rsidR="00FB476A" w:rsidRPr="000303A4" w:rsidRDefault="00FB476A" w:rsidP="00F23970">
            <w:pPr>
              <w:jc w:val="left"/>
              <w:rPr>
                <w:sz w:val="16"/>
                <w:szCs w:val="16"/>
              </w:rPr>
            </w:pPr>
            <w:r w:rsidRPr="000303A4">
              <w:rPr>
                <w:sz w:val="16"/>
                <w:szCs w:val="16"/>
              </w:rPr>
              <w:t>Noret Adali Barrios (Hija)</w:t>
            </w:r>
          </w:p>
        </w:tc>
      </w:tr>
      <w:tr w:rsidR="00FB476A" w:rsidRPr="0068359D" w14:paraId="066C5204" w14:textId="77777777" w:rsidTr="003D3071">
        <w:tc>
          <w:tcPr>
            <w:tcW w:w="560" w:type="dxa"/>
            <w:vAlign w:val="center"/>
          </w:tcPr>
          <w:p w14:paraId="43649A54" w14:textId="77777777" w:rsidR="00FB476A" w:rsidRPr="000303A4" w:rsidRDefault="00FB476A" w:rsidP="003D3071">
            <w:pPr>
              <w:jc w:val="center"/>
              <w:rPr>
                <w:sz w:val="16"/>
                <w:szCs w:val="16"/>
              </w:rPr>
            </w:pPr>
            <w:r w:rsidRPr="000303A4">
              <w:rPr>
                <w:sz w:val="16"/>
                <w:szCs w:val="16"/>
              </w:rPr>
              <w:t>23</w:t>
            </w:r>
          </w:p>
        </w:tc>
        <w:tc>
          <w:tcPr>
            <w:tcW w:w="3092" w:type="dxa"/>
            <w:vAlign w:val="center"/>
          </w:tcPr>
          <w:p w14:paraId="05816355" w14:textId="77777777" w:rsidR="00FB476A" w:rsidRPr="000303A4" w:rsidRDefault="00FB476A" w:rsidP="00F23970">
            <w:pPr>
              <w:jc w:val="left"/>
              <w:rPr>
                <w:sz w:val="16"/>
                <w:szCs w:val="16"/>
              </w:rPr>
            </w:pPr>
            <w:r w:rsidRPr="000303A4">
              <w:rPr>
                <w:sz w:val="16"/>
                <w:szCs w:val="16"/>
              </w:rPr>
              <w:t>Felix de Jesús Cabrera Morales</w:t>
            </w:r>
          </w:p>
        </w:tc>
        <w:tc>
          <w:tcPr>
            <w:tcW w:w="567" w:type="dxa"/>
            <w:vAlign w:val="center"/>
          </w:tcPr>
          <w:p w14:paraId="4FCC6D0C" w14:textId="1A8B6E1D" w:rsidR="00FB476A" w:rsidRPr="000303A4" w:rsidRDefault="00FB476A" w:rsidP="003D3071">
            <w:pPr>
              <w:jc w:val="center"/>
              <w:rPr>
                <w:sz w:val="16"/>
                <w:szCs w:val="16"/>
              </w:rPr>
            </w:pPr>
          </w:p>
        </w:tc>
        <w:tc>
          <w:tcPr>
            <w:tcW w:w="4785" w:type="dxa"/>
            <w:vAlign w:val="center"/>
          </w:tcPr>
          <w:p w14:paraId="708055E6" w14:textId="720C1FE8" w:rsidR="00FB476A" w:rsidRPr="000303A4" w:rsidRDefault="00FB476A" w:rsidP="00F23970">
            <w:pPr>
              <w:tabs>
                <w:tab w:val="left" w:pos="1277"/>
              </w:tabs>
              <w:jc w:val="left"/>
              <w:rPr>
                <w:sz w:val="16"/>
                <w:szCs w:val="16"/>
              </w:rPr>
            </w:pPr>
          </w:p>
        </w:tc>
      </w:tr>
      <w:tr w:rsidR="00FB476A" w:rsidRPr="0068359D" w14:paraId="14525A68" w14:textId="77777777" w:rsidTr="003D3071">
        <w:tc>
          <w:tcPr>
            <w:tcW w:w="560" w:type="dxa"/>
            <w:vAlign w:val="center"/>
          </w:tcPr>
          <w:p w14:paraId="0C6A0833" w14:textId="77777777" w:rsidR="00FB476A" w:rsidRPr="000303A4" w:rsidRDefault="00FB476A" w:rsidP="003D3071">
            <w:pPr>
              <w:jc w:val="center"/>
              <w:rPr>
                <w:sz w:val="16"/>
                <w:szCs w:val="16"/>
              </w:rPr>
            </w:pPr>
            <w:r w:rsidRPr="000303A4">
              <w:rPr>
                <w:sz w:val="16"/>
                <w:szCs w:val="16"/>
              </w:rPr>
              <w:t>24</w:t>
            </w:r>
          </w:p>
        </w:tc>
        <w:tc>
          <w:tcPr>
            <w:tcW w:w="3092" w:type="dxa"/>
            <w:vAlign w:val="center"/>
          </w:tcPr>
          <w:p w14:paraId="5AC94865" w14:textId="2DDE68F4" w:rsidR="00FB476A" w:rsidRPr="000303A4" w:rsidRDefault="00FB476A" w:rsidP="00F23970">
            <w:pPr>
              <w:jc w:val="left"/>
              <w:rPr>
                <w:sz w:val="16"/>
                <w:szCs w:val="16"/>
              </w:rPr>
            </w:pPr>
            <w:r>
              <w:rPr>
                <w:sz w:val="16"/>
                <w:szCs w:val="16"/>
              </w:rPr>
              <w:t>Cé</w:t>
            </w:r>
            <w:r w:rsidRPr="000303A4">
              <w:rPr>
                <w:sz w:val="16"/>
                <w:szCs w:val="16"/>
              </w:rPr>
              <w:t>sar Noé Cancinos Gómez</w:t>
            </w:r>
          </w:p>
        </w:tc>
        <w:tc>
          <w:tcPr>
            <w:tcW w:w="567" w:type="dxa"/>
            <w:vAlign w:val="center"/>
          </w:tcPr>
          <w:p w14:paraId="76EB298C" w14:textId="0D52DF32" w:rsidR="00FB476A" w:rsidRPr="000303A4" w:rsidRDefault="00FB476A" w:rsidP="003D3071">
            <w:pPr>
              <w:jc w:val="center"/>
              <w:rPr>
                <w:sz w:val="16"/>
                <w:szCs w:val="16"/>
              </w:rPr>
            </w:pPr>
          </w:p>
        </w:tc>
        <w:tc>
          <w:tcPr>
            <w:tcW w:w="4785" w:type="dxa"/>
            <w:vAlign w:val="center"/>
          </w:tcPr>
          <w:p w14:paraId="36A5DE6A" w14:textId="2D360B0E" w:rsidR="00FB476A" w:rsidRPr="000303A4" w:rsidRDefault="00FB476A" w:rsidP="00F23970">
            <w:pPr>
              <w:tabs>
                <w:tab w:val="left" w:pos="1277"/>
              </w:tabs>
              <w:jc w:val="left"/>
              <w:rPr>
                <w:sz w:val="16"/>
                <w:szCs w:val="16"/>
              </w:rPr>
            </w:pPr>
          </w:p>
        </w:tc>
      </w:tr>
      <w:tr w:rsidR="00FB476A" w:rsidRPr="0068359D" w14:paraId="6645859A" w14:textId="77777777" w:rsidTr="003D3071">
        <w:tc>
          <w:tcPr>
            <w:tcW w:w="560" w:type="dxa"/>
            <w:vAlign w:val="center"/>
          </w:tcPr>
          <w:p w14:paraId="59653791" w14:textId="77777777" w:rsidR="00FB476A" w:rsidRPr="000303A4" w:rsidRDefault="00FB476A" w:rsidP="003D3071">
            <w:pPr>
              <w:jc w:val="center"/>
              <w:rPr>
                <w:sz w:val="16"/>
                <w:szCs w:val="16"/>
              </w:rPr>
            </w:pPr>
            <w:r w:rsidRPr="000303A4">
              <w:rPr>
                <w:sz w:val="16"/>
                <w:szCs w:val="16"/>
              </w:rPr>
              <w:t>25</w:t>
            </w:r>
          </w:p>
        </w:tc>
        <w:tc>
          <w:tcPr>
            <w:tcW w:w="3092" w:type="dxa"/>
            <w:vAlign w:val="center"/>
          </w:tcPr>
          <w:p w14:paraId="1B11A5D9" w14:textId="77777777" w:rsidR="00FB476A" w:rsidRPr="000303A4" w:rsidRDefault="00FB476A" w:rsidP="00F23970">
            <w:pPr>
              <w:jc w:val="left"/>
              <w:rPr>
                <w:sz w:val="16"/>
                <w:szCs w:val="16"/>
              </w:rPr>
            </w:pPr>
            <w:r w:rsidRPr="000303A4">
              <w:rPr>
                <w:sz w:val="16"/>
                <w:szCs w:val="16"/>
              </w:rPr>
              <w:t>Aracely Cinto</w:t>
            </w:r>
          </w:p>
        </w:tc>
        <w:tc>
          <w:tcPr>
            <w:tcW w:w="567" w:type="dxa"/>
            <w:vAlign w:val="center"/>
          </w:tcPr>
          <w:p w14:paraId="0F142617" w14:textId="4AABC3B8" w:rsidR="00FB476A" w:rsidRPr="000303A4" w:rsidRDefault="0009273C" w:rsidP="003D3071">
            <w:pPr>
              <w:jc w:val="center"/>
              <w:rPr>
                <w:sz w:val="16"/>
                <w:szCs w:val="16"/>
              </w:rPr>
            </w:pPr>
            <w:r>
              <w:rPr>
                <w:sz w:val="16"/>
                <w:szCs w:val="16"/>
              </w:rPr>
              <w:t>2</w:t>
            </w:r>
            <w:r w:rsidR="005C4A7F">
              <w:rPr>
                <w:sz w:val="16"/>
                <w:szCs w:val="16"/>
              </w:rPr>
              <w:t>9</w:t>
            </w:r>
          </w:p>
        </w:tc>
        <w:tc>
          <w:tcPr>
            <w:tcW w:w="4785" w:type="dxa"/>
            <w:vAlign w:val="center"/>
          </w:tcPr>
          <w:p w14:paraId="1305F2EF" w14:textId="0ADB1905" w:rsidR="00FB476A" w:rsidRPr="000303A4" w:rsidRDefault="00FB476A" w:rsidP="00F23970">
            <w:pPr>
              <w:tabs>
                <w:tab w:val="left" w:pos="1277"/>
              </w:tabs>
              <w:jc w:val="left"/>
              <w:rPr>
                <w:sz w:val="16"/>
                <w:szCs w:val="16"/>
              </w:rPr>
            </w:pPr>
            <w:r w:rsidRPr="000303A4">
              <w:rPr>
                <w:sz w:val="16"/>
                <w:szCs w:val="16"/>
              </w:rPr>
              <w:t>Leonel Celestino Mazariegos Cinto (Hijo)</w:t>
            </w:r>
          </w:p>
        </w:tc>
      </w:tr>
      <w:tr w:rsidR="00FB476A" w:rsidRPr="0068359D" w14:paraId="70969CFF" w14:textId="77777777" w:rsidTr="003D3071">
        <w:tc>
          <w:tcPr>
            <w:tcW w:w="560" w:type="dxa"/>
            <w:vAlign w:val="center"/>
          </w:tcPr>
          <w:p w14:paraId="3D086366" w14:textId="77777777" w:rsidR="00FB476A" w:rsidRPr="000303A4" w:rsidRDefault="00FB476A" w:rsidP="003D3071">
            <w:pPr>
              <w:jc w:val="center"/>
              <w:rPr>
                <w:sz w:val="16"/>
                <w:szCs w:val="16"/>
              </w:rPr>
            </w:pPr>
            <w:r w:rsidRPr="000303A4">
              <w:rPr>
                <w:sz w:val="16"/>
                <w:szCs w:val="16"/>
              </w:rPr>
              <w:t>26</w:t>
            </w:r>
          </w:p>
        </w:tc>
        <w:tc>
          <w:tcPr>
            <w:tcW w:w="3092" w:type="dxa"/>
            <w:vAlign w:val="center"/>
          </w:tcPr>
          <w:p w14:paraId="05DA22BD" w14:textId="77777777" w:rsidR="00FB476A" w:rsidRPr="000303A4" w:rsidRDefault="00FB476A" w:rsidP="00F23970">
            <w:pPr>
              <w:jc w:val="left"/>
              <w:rPr>
                <w:sz w:val="16"/>
                <w:szCs w:val="16"/>
              </w:rPr>
            </w:pPr>
            <w:r w:rsidRPr="000303A4">
              <w:rPr>
                <w:sz w:val="16"/>
                <w:szCs w:val="16"/>
              </w:rPr>
              <w:t>Luis Rolando Cuscul Pivaral</w:t>
            </w:r>
          </w:p>
        </w:tc>
        <w:tc>
          <w:tcPr>
            <w:tcW w:w="567" w:type="dxa"/>
            <w:vAlign w:val="center"/>
          </w:tcPr>
          <w:p w14:paraId="1C73689B" w14:textId="77777777" w:rsidR="00FB476A" w:rsidRPr="000303A4" w:rsidRDefault="00FB476A" w:rsidP="003D3071">
            <w:pPr>
              <w:jc w:val="center"/>
              <w:rPr>
                <w:sz w:val="16"/>
                <w:szCs w:val="16"/>
              </w:rPr>
            </w:pPr>
          </w:p>
        </w:tc>
        <w:tc>
          <w:tcPr>
            <w:tcW w:w="4785" w:type="dxa"/>
            <w:vAlign w:val="center"/>
          </w:tcPr>
          <w:p w14:paraId="1280C1C7" w14:textId="77777777" w:rsidR="00FB476A" w:rsidRPr="000303A4" w:rsidRDefault="00FB476A" w:rsidP="00F23970">
            <w:pPr>
              <w:jc w:val="left"/>
              <w:rPr>
                <w:sz w:val="16"/>
                <w:szCs w:val="16"/>
              </w:rPr>
            </w:pPr>
          </w:p>
        </w:tc>
      </w:tr>
      <w:tr w:rsidR="00FB476A" w:rsidRPr="0068359D" w14:paraId="1BC981CB" w14:textId="77777777" w:rsidTr="003D3071">
        <w:tc>
          <w:tcPr>
            <w:tcW w:w="560" w:type="dxa"/>
            <w:vAlign w:val="center"/>
          </w:tcPr>
          <w:p w14:paraId="5D11DB32" w14:textId="77777777" w:rsidR="00FB476A" w:rsidRPr="000303A4" w:rsidRDefault="00FB476A" w:rsidP="003D3071">
            <w:pPr>
              <w:jc w:val="center"/>
              <w:rPr>
                <w:sz w:val="16"/>
                <w:szCs w:val="16"/>
              </w:rPr>
            </w:pPr>
            <w:r w:rsidRPr="000303A4">
              <w:rPr>
                <w:sz w:val="16"/>
                <w:szCs w:val="16"/>
              </w:rPr>
              <w:t>27</w:t>
            </w:r>
          </w:p>
        </w:tc>
        <w:tc>
          <w:tcPr>
            <w:tcW w:w="3092" w:type="dxa"/>
            <w:vAlign w:val="center"/>
          </w:tcPr>
          <w:p w14:paraId="1112F10C" w14:textId="77777777" w:rsidR="00FB476A" w:rsidRPr="000303A4" w:rsidRDefault="00FB476A" w:rsidP="00F23970">
            <w:pPr>
              <w:jc w:val="left"/>
              <w:rPr>
                <w:sz w:val="16"/>
                <w:szCs w:val="16"/>
              </w:rPr>
            </w:pPr>
            <w:r w:rsidRPr="000303A4">
              <w:rPr>
                <w:sz w:val="16"/>
                <w:szCs w:val="16"/>
              </w:rPr>
              <w:t>Olga Marina Castillo</w:t>
            </w:r>
          </w:p>
        </w:tc>
        <w:tc>
          <w:tcPr>
            <w:tcW w:w="567" w:type="dxa"/>
            <w:vAlign w:val="center"/>
          </w:tcPr>
          <w:p w14:paraId="1EB611B5" w14:textId="77777777" w:rsidR="00FB476A" w:rsidRPr="000303A4" w:rsidRDefault="00FB476A" w:rsidP="003D3071">
            <w:pPr>
              <w:jc w:val="center"/>
              <w:rPr>
                <w:sz w:val="16"/>
                <w:szCs w:val="16"/>
              </w:rPr>
            </w:pPr>
          </w:p>
        </w:tc>
        <w:tc>
          <w:tcPr>
            <w:tcW w:w="4785" w:type="dxa"/>
            <w:vAlign w:val="center"/>
          </w:tcPr>
          <w:p w14:paraId="49D21702" w14:textId="77777777" w:rsidR="00FB476A" w:rsidRPr="000303A4" w:rsidRDefault="00FB476A" w:rsidP="00F23970">
            <w:pPr>
              <w:jc w:val="left"/>
              <w:rPr>
                <w:sz w:val="16"/>
                <w:szCs w:val="16"/>
              </w:rPr>
            </w:pPr>
          </w:p>
        </w:tc>
      </w:tr>
      <w:tr w:rsidR="00FB476A" w:rsidRPr="0068359D" w14:paraId="4CD02CF6" w14:textId="77777777" w:rsidTr="003D3071">
        <w:tc>
          <w:tcPr>
            <w:tcW w:w="560" w:type="dxa"/>
            <w:vMerge w:val="restart"/>
            <w:vAlign w:val="center"/>
          </w:tcPr>
          <w:p w14:paraId="1C8508F6" w14:textId="77777777" w:rsidR="00FB476A" w:rsidRPr="000303A4" w:rsidRDefault="00FB476A" w:rsidP="003D3071">
            <w:pPr>
              <w:jc w:val="center"/>
              <w:rPr>
                <w:sz w:val="16"/>
                <w:szCs w:val="16"/>
              </w:rPr>
            </w:pPr>
            <w:r w:rsidRPr="000303A4">
              <w:rPr>
                <w:sz w:val="16"/>
                <w:szCs w:val="16"/>
              </w:rPr>
              <w:t>28</w:t>
            </w:r>
          </w:p>
        </w:tc>
        <w:tc>
          <w:tcPr>
            <w:tcW w:w="3092" w:type="dxa"/>
            <w:vMerge w:val="restart"/>
            <w:vAlign w:val="center"/>
          </w:tcPr>
          <w:p w14:paraId="36B59265" w14:textId="3A98D4C1" w:rsidR="00FB476A" w:rsidRPr="000303A4" w:rsidRDefault="00767761" w:rsidP="00F23970">
            <w:pPr>
              <w:jc w:val="left"/>
              <w:rPr>
                <w:sz w:val="16"/>
                <w:szCs w:val="16"/>
              </w:rPr>
            </w:pPr>
            <w:r>
              <w:rPr>
                <w:sz w:val="16"/>
                <w:szCs w:val="16"/>
              </w:rPr>
              <w:t>Marí</w:t>
            </w:r>
            <w:r w:rsidR="00FB476A" w:rsidRPr="000303A4">
              <w:rPr>
                <w:sz w:val="16"/>
                <w:szCs w:val="16"/>
              </w:rPr>
              <w:t>a Felipe Pérez</w:t>
            </w:r>
          </w:p>
        </w:tc>
        <w:tc>
          <w:tcPr>
            <w:tcW w:w="567" w:type="dxa"/>
            <w:vAlign w:val="center"/>
          </w:tcPr>
          <w:p w14:paraId="6EBDFC0A" w14:textId="00B8485F" w:rsidR="00FB476A" w:rsidRPr="000303A4" w:rsidRDefault="005C4A7F" w:rsidP="003D3071">
            <w:pPr>
              <w:jc w:val="center"/>
              <w:rPr>
                <w:sz w:val="16"/>
                <w:szCs w:val="16"/>
              </w:rPr>
            </w:pPr>
            <w:r>
              <w:rPr>
                <w:sz w:val="16"/>
                <w:szCs w:val="16"/>
              </w:rPr>
              <w:t>30</w:t>
            </w:r>
          </w:p>
        </w:tc>
        <w:tc>
          <w:tcPr>
            <w:tcW w:w="4785" w:type="dxa"/>
            <w:vAlign w:val="center"/>
          </w:tcPr>
          <w:p w14:paraId="097AF330" w14:textId="77777777" w:rsidR="00FB476A" w:rsidRPr="000303A4" w:rsidRDefault="00FB476A" w:rsidP="00F23970">
            <w:pPr>
              <w:tabs>
                <w:tab w:val="left" w:pos="1277"/>
              </w:tabs>
              <w:jc w:val="left"/>
              <w:rPr>
                <w:sz w:val="16"/>
                <w:szCs w:val="16"/>
              </w:rPr>
            </w:pPr>
            <w:r w:rsidRPr="000303A4">
              <w:rPr>
                <w:sz w:val="16"/>
                <w:szCs w:val="16"/>
              </w:rPr>
              <w:t>Rocael Gómez Felipe (Hijo)</w:t>
            </w:r>
          </w:p>
        </w:tc>
      </w:tr>
      <w:tr w:rsidR="00FB476A" w:rsidRPr="0068359D" w14:paraId="12F81D55" w14:textId="77777777" w:rsidTr="003D3071">
        <w:tc>
          <w:tcPr>
            <w:tcW w:w="560" w:type="dxa"/>
            <w:vMerge/>
            <w:vAlign w:val="center"/>
          </w:tcPr>
          <w:p w14:paraId="6959BFDE" w14:textId="77777777" w:rsidR="00FB476A" w:rsidRPr="000303A4" w:rsidRDefault="00FB476A" w:rsidP="003D3071">
            <w:pPr>
              <w:jc w:val="center"/>
              <w:rPr>
                <w:sz w:val="16"/>
                <w:szCs w:val="16"/>
              </w:rPr>
            </w:pPr>
          </w:p>
        </w:tc>
        <w:tc>
          <w:tcPr>
            <w:tcW w:w="3092" w:type="dxa"/>
            <w:vMerge/>
            <w:vAlign w:val="center"/>
          </w:tcPr>
          <w:p w14:paraId="33229412" w14:textId="77777777" w:rsidR="00FB476A" w:rsidRPr="000303A4" w:rsidRDefault="00FB476A" w:rsidP="00F23970">
            <w:pPr>
              <w:jc w:val="left"/>
              <w:rPr>
                <w:sz w:val="16"/>
                <w:szCs w:val="16"/>
              </w:rPr>
            </w:pPr>
          </w:p>
        </w:tc>
        <w:tc>
          <w:tcPr>
            <w:tcW w:w="567" w:type="dxa"/>
            <w:vAlign w:val="center"/>
          </w:tcPr>
          <w:p w14:paraId="50974A02" w14:textId="3A31D668" w:rsidR="00FB476A" w:rsidRPr="000303A4" w:rsidRDefault="005C4A7F" w:rsidP="003D3071">
            <w:pPr>
              <w:jc w:val="center"/>
              <w:rPr>
                <w:sz w:val="16"/>
                <w:szCs w:val="16"/>
              </w:rPr>
            </w:pPr>
            <w:r>
              <w:rPr>
                <w:sz w:val="16"/>
                <w:szCs w:val="16"/>
              </w:rPr>
              <w:t>31</w:t>
            </w:r>
          </w:p>
        </w:tc>
        <w:tc>
          <w:tcPr>
            <w:tcW w:w="4785" w:type="dxa"/>
            <w:vAlign w:val="center"/>
          </w:tcPr>
          <w:p w14:paraId="56FF15E7" w14:textId="77777777" w:rsidR="00FB476A" w:rsidRPr="000303A4" w:rsidRDefault="00FB476A" w:rsidP="00F23970">
            <w:pPr>
              <w:tabs>
                <w:tab w:val="left" w:pos="1277"/>
              </w:tabs>
              <w:jc w:val="left"/>
              <w:rPr>
                <w:sz w:val="16"/>
                <w:szCs w:val="16"/>
              </w:rPr>
            </w:pPr>
            <w:r w:rsidRPr="000303A4">
              <w:rPr>
                <w:sz w:val="16"/>
                <w:szCs w:val="16"/>
              </w:rPr>
              <w:t>Jaime Gómez Felipe (Hijo)</w:t>
            </w:r>
          </w:p>
        </w:tc>
      </w:tr>
      <w:tr w:rsidR="00FB476A" w:rsidRPr="0068359D" w14:paraId="757629C4" w14:textId="77777777" w:rsidTr="003D3071">
        <w:tc>
          <w:tcPr>
            <w:tcW w:w="560" w:type="dxa"/>
            <w:vMerge/>
            <w:vAlign w:val="center"/>
          </w:tcPr>
          <w:p w14:paraId="5389F442" w14:textId="77777777" w:rsidR="00FB476A" w:rsidRPr="000303A4" w:rsidRDefault="00FB476A" w:rsidP="003D3071">
            <w:pPr>
              <w:jc w:val="center"/>
              <w:rPr>
                <w:sz w:val="16"/>
                <w:szCs w:val="16"/>
              </w:rPr>
            </w:pPr>
          </w:p>
        </w:tc>
        <w:tc>
          <w:tcPr>
            <w:tcW w:w="3092" w:type="dxa"/>
            <w:vMerge/>
            <w:vAlign w:val="center"/>
          </w:tcPr>
          <w:p w14:paraId="6E6C7286" w14:textId="77777777" w:rsidR="00FB476A" w:rsidRPr="000303A4" w:rsidRDefault="00FB476A" w:rsidP="00F23970">
            <w:pPr>
              <w:jc w:val="left"/>
              <w:rPr>
                <w:sz w:val="16"/>
                <w:szCs w:val="16"/>
              </w:rPr>
            </w:pPr>
          </w:p>
        </w:tc>
        <w:tc>
          <w:tcPr>
            <w:tcW w:w="567" w:type="dxa"/>
            <w:vAlign w:val="center"/>
          </w:tcPr>
          <w:p w14:paraId="517263C2" w14:textId="4F6608B9" w:rsidR="00FB476A" w:rsidRPr="000303A4" w:rsidRDefault="0009273C" w:rsidP="003D3071">
            <w:pPr>
              <w:jc w:val="center"/>
              <w:rPr>
                <w:sz w:val="16"/>
                <w:szCs w:val="16"/>
              </w:rPr>
            </w:pPr>
            <w:r>
              <w:rPr>
                <w:sz w:val="16"/>
                <w:szCs w:val="16"/>
              </w:rPr>
              <w:t>3</w:t>
            </w:r>
            <w:r w:rsidR="005C4A7F">
              <w:rPr>
                <w:sz w:val="16"/>
                <w:szCs w:val="16"/>
              </w:rPr>
              <w:t>2</w:t>
            </w:r>
          </w:p>
        </w:tc>
        <w:tc>
          <w:tcPr>
            <w:tcW w:w="4785" w:type="dxa"/>
            <w:vAlign w:val="center"/>
          </w:tcPr>
          <w:p w14:paraId="2C69E4AA" w14:textId="77777777" w:rsidR="00FB476A" w:rsidRPr="000303A4" w:rsidRDefault="00FB476A" w:rsidP="00F23970">
            <w:pPr>
              <w:tabs>
                <w:tab w:val="left" w:pos="1277"/>
              </w:tabs>
              <w:jc w:val="left"/>
              <w:rPr>
                <w:sz w:val="16"/>
                <w:szCs w:val="16"/>
              </w:rPr>
            </w:pPr>
            <w:r w:rsidRPr="000303A4">
              <w:rPr>
                <w:sz w:val="16"/>
                <w:szCs w:val="16"/>
              </w:rPr>
              <w:t>Miguel Gómez Felipe (Hijo)</w:t>
            </w:r>
          </w:p>
        </w:tc>
      </w:tr>
      <w:tr w:rsidR="00FB476A" w:rsidRPr="0068359D" w14:paraId="5AB2DE23" w14:textId="77777777" w:rsidTr="003D3071">
        <w:tc>
          <w:tcPr>
            <w:tcW w:w="560" w:type="dxa"/>
            <w:vMerge/>
            <w:vAlign w:val="center"/>
          </w:tcPr>
          <w:p w14:paraId="512D4681" w14:textId="77777777" w:rsidR="00FB476A" w:rsidRPr="000303A4" w:rsidRDefault="00FB476A" w:rsidP="003D3071">
            <w:pPr>
              <w:jc w:val="center"/>
              <w:rPr>
                <w:sz w:val="16"/>
                <w:szCs w:val="16"/>
              </w:rPr>
            </w:pPr>
          </w:p>
        </w:tc>
        <w:tc>
          <w:tcPr>
            <w:tcW w:w="3092" w:type="dxa"/>
            <w:vMerge/>
            <w:vAlign w:val="center"/>
          </w:tcPr>
          <w:p w14:paraId="50F697E8" w14:textId="77777777" w:rsidR="00FB476A" w:rsidRPr="000303A4" w:rsidRDefault="00FB476A" w:rsidP="00F23970">
            <w:pPr>
              <w:jc w:val="left"/>
              <w:rPr>
                <w:sz w:val="16"/>
                <w:szCs w:val="16"/>
              </w:rPr>
            </w:pPr>
          </w:p>
        </w:tc>
        <w:tc>
          <w:tcPr>
            <w:tcW w:w="567" w:type="dxa"/>
            <w:vAlign w:val="center"/>
          </w:tcPr>
          <w:p w14:paraId="1F2E7F57" w14:textId="224BE567" w:rsidR="00FB476A" w:rsidRPr="000303A4" w:rsidRDefault="0009273C" w:rsidP="003D3071">
            <w:pPr>
              <w:jc w:val="center"/>
              <w:rPr>
                <w:sz w:val="16"/>
                <w:szCs w:val="16"/>
              </w:rPr>
            </w:pPr>
            <w:r>
              <w:rPr>
                <w:sz w:val="16"/>
                <w:szCs w:val="16"/>
              </w:rPr>
              <w:t>3</w:t>
            </w:r>
            <w:r w:rsidR="005C4A7F">
              <w:rPr>
                <w:sz w:val="16"/>
                <w:szCs w:val="16"/>
              </w:rPr>
              <w:t>3</w:t>
            </w:r>
          </w:p>
        </w:tc>
        <w:tc>
          <w:tcPr>
            <w:tcW w:w="4785" w:type="dxa"/>
            <w:vAlign w:val="center"/>
          </w:tcPr>
          <w:p w14:paraId="55D80133" w14:textId="77777777" w:rsidR="00FB476A" w:rsidRPr="000303A4" w:rsidRDefault="00FB476A" w:rsidP="00F23970">
            <w:pPr>
              <w:tabs>
                <w:tab w:val="left" w:pos="1277"/>
              </w:tabs>
              <w:jc w:val="left"/>
              <w:rPr>
                <w:sz w:val="16"/>
                <w:szCs w:val="16"/>
              </w:rPr>
            </w:pPr>
            <w:r w:rsidRPr="000303A4">
              <w:rPr>
                <w:sz w:val="16"/>
                <w:szCs w:val="16"/>
              </w:rPr>
              <w:t>Carlos Gómez Felipe (Hijo)</w:t>
            </w:r>
          </w:p>
        </w:tc>
      </w:tr>
      <w:tr w:rsidR="00FB476A" w:rsidRPr="0068359D" w14:paraId="1CB5BE92" w14:textId="77777777" w:rsidTr="003D3071">
        <w:tc>
          <w:tcPr>
            <w:tcW w:w="560" w:type="dxa"/>
            <w:vMerge/>
            <w:vAlign w:val="center"/>
          </w:tcPr>
          <w:p w14:paraId="1B00D20A" w14:textId="77777777" w:rsidR="00FB476A" w:rsidRPr="000303A4" w:rsidRDefault="00FB476A" w:rsidP="003D3071">
            <w:pPr>
              <w:jc w:val="center"/>
              <w:rPr>
                <w:sz w:val="16"/>
                <w:szCs w:val="16"/>
              </w:rPr>
            </w:pPr>
          </w:p>
        </w:tc>
        <w:tc>
          <w:tcPr>
            <w:tcW w:w="3092" w:type="dxa"/>
            <w:vMerge/>
            <w:vAlign w:val="center"/>
          </w:tcPr>
          <w:p w14:paraId="09867DA3" w14:textId="77777777" w:rsidR="00FB476A" w:rsidRPr="000303A4" w:rsidRDefault="00FB476A" w:rsidP="00F23970">
            <w:pPr>
              <w:jc w:val="left"/>
              <w:rPr>
                <w:sz w:val="16"/>
                <w:szCs w:val="16"/>
              </w:rPr>
            </w:pPr>
          </w:p>
        </w:tc>
        <w:tc>
          <w:tcPr>
            <w:tcW w:w="567" w:type="dxa"/>
            <w:vAlign w:val="center"/>
          </w:tcPr>
          <w:p w14:paraId="078E8BF1" w14:textId="75D87ECB" w:rsidR="00FB476A" w:rsidRPr="000303A4" w:rsidRDefault="0009273C" w:rsidP="003D3071">
            <w:pPr>
              <w:jc w:val="center"/>
              <w:rPr>
                <w:sz w:val="16"/>
                <w:szCs w:val="16"/>
              </w:rPr>
            </w:pPr>
            <w:r>
              <w:rPr>
                <w:sz w:val="16"/>
                <w:szCs w:val="16"/>
              </w:rPr>
              <w:t>3</w:t>
            </w:r>
            <w:r w:rsidR="005C4A7F">
              <w:rPr>
                <w:sz w:val="16"/>
                <w:szCs w:val="16"/>
              </w:rPr>
              <w:t>4</w:t>
            </w:r>
          </w:p>
        </w:tc>
        <w:tc>
          <w:tcPr>
            <w:tcW w:w="4785" w:type="dxa"/>
            <w:vAlign w:val="center"/>
          </w:tcPr>
          <w:p w14:paraId="029B5919" w14:textId="77777777" w:rsidR="00FB476A" w:rsidRPr="000303A4" w:rsidRDefault="00FB476A" w:rsidP="00F23970">
            <w:pPr>
              <w:tabs>
                <w:tab w:val="left" w:pos="1277"/>
              </w:tabs>
              <w:jc w:val="left"/>
              <w:rPr>
                <w:sz w:val="16"/>
                <w:szCs w:val="16"/>
              </w:rPr>
            </w:pPr>
            <w:r w:rsidRPr="000303A4">
              <w:rPr>
                <w:sz w:val="16"/>
                <w:szCs w:val="16"/>
              </w:rPr>
              <w:t>Francisco Gómez Felipe (Hijo)</w:t>
            </w:r>
          </w:p>
        </w:tc>
      </w:tr>
      <w:tr w:rsidR="00FB476A" w:rsidRPr="0068359D" w14:paraId="66F989DE" w14:textId="77777777" w:rsidTr="003D3071">
        <w:tc>
          <w:tcPr>
            <w:tcW w:w="560" w:type="dxa"/>
            <w:vMerge/>
            <w:vAlign w:val="center"/>
          </w:tcPr>
          <w:p w14:paraId="035C9A26" w14:textId="77777777" w:rsidR="00FB476A" w:rsidRPr="000303A4" w:rsidRDefault="00FB476A" w:rsidP="003D3071">
            <w:pPr>
              <w:jc w:val="center"/>
              <w:rPr>
                <w:sz w:val="16"/>
                <w:szCs w:val="16"/>
              </w:rPr>
            </w:pPr>
          </w:p>
        </w:tc>
        <w:tc>
          <w:tcPr>
            <w:tcW w:w="3092" w:type="dxa"/>
            <w:vMerge/>
            <w:vAlign w:val="center"/>
          </w:tcPr>
          <w:p w14:paraId="12924347" w14:textId="77777777" w:rsidR="00FB476A" w:rsidRPr="000303A4" w:rsidRDefault="00FB476A" w:rsidP="00F23970">
            <w:pPr>
              <w:jc w:val="left"/>
              <w:rPr>
                <w:sz w:val="16"/>
                <w:szCs w:val="16"/>
              </w:rPr>
            </w:pPr>
          </w:p>
        </w:tc>
        <w:tc>
          <w:tcPr>
            <w:tcW w:w="567" w:type="dxa"/>
            <w:vAlign w:val="center"/>
          </w:tcPr>
          <w:p w14:paraId="102BB95D" w14:textId="4B191A98" w:rsidR="00FB476A" w:rsidRPr="000303A4" w:rsidRDefault="0009273C" w:rsidP="003D3071">
            <w:pPr>
              <w:jc w:val="center"/>
              <w:rPr>
                <w:sz w:val="16"/>
                <w:szCs w:val="16"/>
              </w:rPr>
            </w:pPr>
            <w:r>
              <w:rPr>
                <w:sz w:val="16"/>
                <w:szCs w:val="16"/>
              </w:rPr>
              <w:t>3</w:t>
            </w:r>
            <w:r w:rsidR="005C4A7F">
              <w:rPr>
                <w:sz w:val="16"/>
                <w:szCs w:val="16"/>
              </w:rPr>
              <w:t>5</w:t>
            </w:r>
          </w:p>
        </w:tc>
        <w:tc>
          <w:tcPr>
            <w:tcW w:w="4785" w:type="dxa"/>
            <w:vAlign w:val="center"/>
          </w:tcPr>
          <w:p w14:paraId="7872CB98" w14:textId="77777777" w:rsidR="00FB476A" w:rsidRPr="000303A4" w:rsidRDefault="00FB476A" w:rsidP="00F23970">
            <w:pPr>
              <w:tabs>
                <w:tab w:val="left" w:pos="1277"/>
              </w:tabs>
              <w:jc w:val="left"/>
              <w:rPr>
                <w:sz w:val="16"/>
                <w:szCs w:val="16"/>
              </w:rPr>
            </w:pPr>
            <w:r w:rsidRPr="000303A4">
              <w:rPr>
                <w:sz w:val="16"/>
                <w:szCs w:val="16"/>
              </w:rPr>
              <w:t>Margarita Gómez Felipe (Hija)</w:t>
            </w:r>
          </w:p>
        </w:tc>
      </w:tr>
      <w:tr w:rsidR="00FB476A" w:rsidRPr="0068359D" w14:paraId="437D940E" w14:textId="77777777" w:rsidTr="003D3071">
        <w:tc>
          <w:tcPr>
            <w:tcW w:w="560" w:type="dxa"/>
            <w:vMerge/>
            <w:vAlign w:val="center"/>
          </w:tcPr>
          <w:p w14:paraId="0E2AE909" w14:textId="77777777" w:rsidR="00FB476A" w:rsidRPr="000303A4" w:rsidRDefault="00FB476A" w:rsidP="003D3071">
            <w:pPr>
              <w:jc w:val="center"/>
              <w:rPr>
                <w:sz w:val="16"/>
                <w:szCs w:val="16"/>
              </w:rPr>
            </w:pPr>
          </w:p>
        </w:tc>
        <w:tc>
          <w:tcPr>
            <w:tcW w:w="3092" w:type="dxa"/>
            <w:vMerge/>
            <w:vAlign w:val="center"/>
          </w:tcPr>
          <w:p w14:paraId="1F3ABA84" w14:textId="77777777" w:rsidR="00FB476A" w:rsidRPr="000303A4" w:rsidRDefault="00FB476A" w:rsidP="00F23970">
            <w:pPr>
              <w:jc w:val="left"/>
              <w:rPr>
                <w:sz w:val="16"/>
                <w:szCs w:val="16"/>
              </w:rPr>
            </w:pPr>
          </w:p>
        </w:tc>
        <w:tc>
          <w:tcPr>
            <w:tcW w:w="567" w:type="dxa"/>
            <w:vAlign w:val="center"/>
          </w:tcPr>
          <w:p w14:paraId="2B120EEE" w14:textId="262CD3DB" w:rsidR="00FB476A" w:rsidRPr="000303A4" w:rsidRDefault="0009273C" w:rsidP="003D3071">
            <w:pPr>
              <w:jc w:val="center"/>
              <w:rPr>
                <w:sz w:val="16"/>
                <w:szCs w:val="16"/>
              </w:rPr>
            </w:pPr>
            <w:r>
              <w:rPr>
                <w:sz w:val="16"/>
                <w:szCs w:val="16"/>
              </w:rPr>
              <w:t>3</w:t>
            </w:r>
            <w:r w:rsidR="005C4A7F">
              <w:rPr>
                <w:sz w:val="16"/>
                <w:szCs w:val="16"/>
              </w:rPr>
              <w:t>6</w:t>
            </w:r>
          </w:p>
        </w:tc>
        <w:tc>
          <w:tcPr>
            <w:tcW w:w="4785" w:type="dxa"/>
            <w:vAlign w:val="center"/>
          </w:tcPr>
          <w:p w14:paraId="6ED3840B" w14:textId="77777777" w:rsidR="00FB476A" w:rsidRPr="000303A4" w:rsidRDefault="00FB476A" w:rsidP="00F23970">
            <w:pPr>
              <w:tabs>
                <w:tab w:val="left" w:pos="1277"/>
              </w:tabs>
              <w:jc w:val="left"/>
              <w:rPr>
                <w:sz w:val="16"/>
                <w:szCs w:val="16"/>
              </w:rPr>
            </w:pPr>
            <w:r w:rsidRPr="000303A4">
              <w:rPr>
                <w:sz w:val="16"/>
                <w:szCs w:val="16"/>
              </w:rPr>
              <w:t>Ana Patricia Gómez Felipe (Hija)</w:t>
            </w:r>
          </w:p>
        </w:tc>
      </w:tr>
      <w:tr w:rsidR="00FB476A" w:rsidRPr="0068359D" w14:paraId="2D6A9343" w14:textId="77777777" w:rsidTr="003D3071">
        <w:tc>
          <w:tcPr>
            <w:tcW w:w="560" w:type="dxa"/>
            <w:vAlign w:val="center"/>
          </w:tcPr>
          <w:p w14:paraId="43A5B2E1" w14:textId="77777777" w:rsidR="00FB476A" w:rsidRPr="000303A4" w:rsidRDefault="00FB476A" w:rsidP="003D3071">
            <w:pPr>
              <w:jc w:val="center"/>
              <w:rPr>
                <w:sz w:val="16"/>
                <w:szCs w:val="16"/>
              </w:rPr>
            </w:pPr>
            <w:r w:rsidRPr="000303A4">
              <w:rPr>
                <w:sz w:val="16"/>
                <w:szCs w:val="16"/>
              </w:rPr>
              <w:t>29</w:t>
            </w:r>
          </w:p>
        </w:tc>
        <w:tc>
          <w:tcPr>
            <w:tcW w:w="3092" w:type="dxa"/>
            <w:vAlign w:val="center"/>
          </w:tcPr>
          <w:p w14:paraId="46CC3AC1" w14:textId="0C94AF66" w:rsidR="00FB476A" w:rsidRPr="000303A4" w:rsidRDefault="00FB476A" w:rsidP="00CC6C64">
            <w:pPr>
              <w:jc w:val="left"/>
              <w:rPr>
                <w:sz w:val="16"/>
                <w:szCs w:val="16"/>
              </w:rPr>
            </w:pPr>
            <w:r w:rsidRPr="000303A4">
              <w:rPr>
                <w:sz w:val="16"/>
                <w:szCs w:val="16"/>
              </w:rPr>
              <w:t>Ismerai Olibia García Castañ</w:t>
            </w:r>
            <w:r>
              <w:rPr>
                <w:sz w:val="16"/>
                <w:szCs w:val="16"/>
              </w:rPr>
              <w:t>o</w:t>
            </w:r>
            <w:r w:rsidRPr="000303A4">
              <w:rPr>
                <w:sz w:val="16"/>
                <w:szCs w:val="16"/>
              </w:rPr>
              <w:t>n</w:t>
            </w:r>
          </w:p>
        </w:tc>
        <w:tc>
          <w:tcPr>
            <w:tcW w:w="567" w:type="dxa"/>
            <w:vAlign w:val="center"/>
          </w:tcPr>
          <w:p w14:paraId="23F6CFDD" w14:textId="77777777" w:rsidR="00FB476A" w:rsidRPr="000303A4" w:rsidRDefault="00FB476A" w:rsidP="003D3071">
            <w:pPr>
              <w:jc w:val="center"/>
              <w:rPr>
                <w:sz w:val="16"/>
                <w:szCs w:val="16"/>
              </w:rPr>
            </w:pPr>
          </w:p>
        </w:tc>
        <w:tc>
          <w:tcPr>
            <w:tcW w:w="4785" w:type="dxa"/>
            <w:vAlign w:val="center"/>
          </w:tcPr>
          <w:p w14:paraId="4E910B47" w14:textId="77777777" w:rsidR="00FB476A" w:rsidRPr="000303A4" w:rsidRDefault="00FB476A" w:rsidP="00F23970">
            <w:pPr>
              <w:tabs>
                <w:tab w:val="left" w:pos="1277"/>
              </w:tabs>
              <w:jc w:val="left"/>
              <w:rPr>
                <w:sz w:val="16"/>
                <w:szCs w:val="16"/>
              </w:rPr>
            </w:pPr>
          </w:p>
        </w:tc>
      </w:tr>
      <w:tr w:rsidR="00FB476A" w:rsidRPr="0068359D" w14:paraId="4B7DA69E" w14:textId="77777777" w:rsidTr="003D3071">
        <w:tc>
          <w:tcPr>
            <w:tcW w:w="560" w:type="dxa"/>
            <w:vAlign w:val="center"/>
          </w:tcPr>
          <w:p w14:paraId="6CA03D77" w14:textId="77777777" w:rsidR="00FB476A" w:rsidRPr="000303A4" w:rsidRDefault="00FB476A" w:rsidP="003D3071">
            <w:pPr>
              <w:jc w:val="center"/>
              <w:rPr>
                <w:sz w:val="16"/>
                <w:szCs w:val="16"/>
              </w:rPr>
            </w:pPr>
            <w:r w:rsidRPr="000303A4">
              <w:rPr>
                <w:sz w:val="16"/>
                <w:szCs w:val="16"/>
              </w:rPr>
              <w:t>30</w:t>
            </w:r>
          </w:p>
        </w:tc>
        <w:tc>
          <w:tcPr>
            <w:tcW w:w="3092" w:type="dxa"/>
            <w:vAlign w:val="center"/>
          </w:tcPr>
          <w:p w14:paraId="5A62ED0C" w14:textId="77777777" w:rsidR="00FB476A" w:rsidRPr="000303A4" w:rsidRDefault="00FB476A" w:rsidP="00F23970">
            <w:pPr>
              <w:jc w:val="left"/>
              <w:rPr>
                <w:sz w:val="16"/>
                <w:szCs w:val="16"/>
              </w:rPr>
            </w:pPr>
            <w:r w:rsidRPr="000303A4">
              <w:rPr>
                <w:sz w:val="16"/>
                <w:szCs w:val="16"/>
              </w:rPr>
              <w:t>Santos Isacar Vásquez Barrios</w:t>
            </w:r>
          </w:p>
        </w:tc>
        <w:tc>
          <w:tcPr>
            <w:tcW w:w="567" w:type="dxa"/>
            <w:vAlign w:val="center"/>
          </w:tcPr>
          <w:p w14:paraId="202CD814" w14:textId="77777777" w:rsidR="00FB476A" w:rsidRPr="000303A4" w:rsidRDefault="00FB476A" w:rsidP="003D3071">
            <w:pPr>
              <w:jc w:val="center"/>
              <w:rPr>
                <w:sz w:val="16"/>
                <w:szCs w:val="16"/>
              </w:rPr>
            </w:pPr>
          </w:p>
        </w:tc>
        <w:tc>
          <w:tcPr>
            <w:tcW w:w="4785" w:type="dxa"/>
            <w:vAlign w:val="center"/>
          </w:tcPr>
          <w:p w14:paraId="736A2E43" w14:textId="77777777" w:rsidR="00FB476A" w:rsidRPr="000303A4" w:rsidRDefault="00FB476A" w:rsidP="00F23970">
            <w:pPr>
              <w:tabs>
                <w:tab w:val="left" w:pos="1277"/>
              </w:tabs>
              <w:jc w:val="left"/>
              <w:rPr>
                <w:sz w:val="16"/>
                <w:szCs w:val="16"/>
              </w:rPr>
            </w:pPr>
          </w:p>
        </w:tc>
      </w:tr>
      <w:tr w:rsidR="00FB476A" w:rsidRPr="0068359D" w14:paraId="7011B36D" w14:textId="77777777" w:rsidTr="003D3071">
        <w:tc>
          <w:tcPr>
            <w:tcW w:w="560" w:type="dxa"/>
            <w:vMerge w:val="restart"/>
            <w:vAlign w:val="center"/>
          </w:tcPr>
          <w:p w14:paraId="2E6DD2FE" w14:textId="77777777" w:rsidR="00FB476A" w:rsidRPr="000303A4" w:rsidRDefault="00FB476A" w:rsidP="003D3071">
            <w:pPr>
              <w:jc w:val="center"/>
              <w:rPr>
                <w:sz w:val="16"/>
                <w:szCs w:val="16"/>
              </w:rPr>
            </w:pPr>
            <w:r w:rsidRPr="000303A4">
              <w:rPr>
                <w:sz w:val="16"/>
                <w:szCs w:val="16"/>
              </w:rPr>
              <w:t>31</w:t>
            </w:r>
          </w:p>
        </w:tc>
        <w:tc>
          <w:tcPr>
            <w:tcW w:w="3092" w:type="dxa"/>
            <w:vMerge w:val="restart"/>
            <w:vAlign w:val="center"/>
          </w:tcPr>
          <w:p w14:paraId="46441AB6" w14:textId="77777777" w:rsidR="00FB476A" w:rsidRPr="000303A4" w:rsidRDefault="00FB476A" w:rsidP="00F23970">
            <w:pPr>
              <w:jc w:val="left"/>
              <w:rPr>
                <w:sz w:val="16"/>
                <w:szCs w:val="16"/>
              </w:rPr>
            </w:pPr>
            <w:r w:rsidRPr="000303A4">
              <w:rPr>
                <w:sz w:val="16"/>
                <w:szCs w:val="16"/>
              </w:rPr>
              <w:t>Mardo Luis Hernández y Hernández</w:t>
            </w:r>
          </w:p>
        </w:tc>
        <w:tc>
          <w:tcPr>
            <w:tcW w:w="567" w:type="dxa"/>
            <w:vAlign w:val="center"/>
          </w:tcPr>
          <w:p w14:paraId="3DC19A0D" w14:textId="3CDAA996" w:rsidR="00FB476A" w:rsidRPr="000303A4" w:rsidRDefault="0009273C" w:rsidP="003D3071">
            <w:pPr>
              <w:jc w:val="center"/>
              <w:rPr>
                <w:sz w:val="16"/>
                <w:szCs w:val="16"/>
              </w:rPr>
            </w:pPr>
            <w:r>
              <w:rPr>
                <w:sz w:val="16"/>
                <w:szCs w:val="16"/>
              </w:rPr>
              <w:t>3</w:t>
            </w:r>
            <w:r w:rsidR="005C4A7F">
              <w:rPr>
                <w:sz w:val="16"/>
                <w:szCs w:val="16"/>
              </w:rPr>
              <w:t>7</w:t>
            </w:r>
          </w:p>
        </w:tc>
        <w:tc>
          <w:tcPr>
            <w:tcW w:w="4785" w:type="dxa"/>
            <w:vAlign w:val="center"/>
          </w:tcPr>
          <w:p w14:paraId="473FA7B5" w14:textId="2144812B" w:rsidR="00FB476A" w:rsidRPr="000303A4" w:rsidRDefault="00FB476A" w:rsidP="00F23970">
            <w:pPr>
              <w:tabs>
                <w:tab w:val="left" w:pos="1277"/>
              </w:tabs>
              <w:jc w:val="left"/>
              <w:rPr>
                <w:sz w:val="16"/>
                <w:szCs w:val="16"/>
              </w:rPr>
            </w:pPr>
            <w:r>
              <w:rPr>
                <w:sz w:val="16"/>
                <w:szCs w:val="16"/>
              </w:rPr>
              <w:t>Nidya Roxana Z</w:t>
            </w:r>
            <w:r w:rsidRPr="000303A4">
              <w:rPr>
                <w:sz w:val="16"/>
                <w:szCs w:val="16"/>
              </w:rPr>
              <w:t>apet Gómez (Esposa)</w:t>
            </w:r>
          </w:p>
        </w:tc>
      </w:tr>
      <w:tr w:rsidR="00FB476A" w:rsidRPr="0068359D" w14:paraId="773F1F16" w14:textId="77777777" w:rsidTr="003D3071">
        <w:tc>
          <w:tcPr>
            <w:tcW w:w="560" w:type="dxa"/>
            <w:vMerge/>
            <w:vAlign w:val="center"/>
          </w:tcPr>
          <w:p w14:paraId="721D5348" w14:textId="77777777" w:rsidR="00FB476A" w:rsidRPr="000303A4" w:rsidRDefault="00FB476A" w:rsidP="003D3071">
            <w:pPr>
              <w:jc w:val="center"/>
              <w:rPr>
                <w:sz w:val="16"/>
                <w:szCs w:val="16"/>
              </w:rPr>
            </w:pPr>
          </w:p>
        </w:tc>
        <w:tc>
          <w:tcPr>
            <w:tcW w:w="3092" w:type="dxa"/>
            <w:vMerge/>
            <w:vAlign w:val="center"/>
          </w:tcPr>
          <w:p w14:paraId="6A10E691" w14:textId="77777777" w:rsidR="00FB476A" w:rsidRPr="000303A4" w:rsidRDefault="00FB476A" w:rsidP="00F23970">
            <w:pPr>
              <w:jc w:val="left"/>
              <w:rPr>
                <w:sz w:val="16"/>
                <w:szCs w:val="16"/>
              </w:rPr>
            </w:pPr>
          </w:p>
        </w:tc>
        <w:tc>
          <w:tcPr>
            <w:tcW w:w="567" w:type="dxa"/>
            <w:vAlign w:val="center"/>
          </w:tcPr>
          <w:p w14:paraId="256A3ACB" w14:textId="00933DCF" w:rsidR="00FB476A" w:rsidRPr="000303A4" w:rsidRDefault="0009273C" w:rsidP="003D3071">
            <w:pPr>
              <w:jc w:val="center"/>
              <w:rPr>
                <w:sz w:val="16"/>
                <w:szCs w:val="16"/>
              </w:rPr>
            </w:pPr>
            <w:r>
              <w:rPr>
                <w:sz w:val="16"/>
                <w:szCs w:val="16"/>
              </w:rPr>
              <w:t>3</w:t>
            </w:r>
            <w:r w:rsidR="005C4A7F">
              <w:rPr>
                <w:sz w:val="16"/>
                <w:szCs w:val="16"/>
              </w:rPr>
              <w:t>8</w:t>
            </w:r>
          </w:p>
        </w:tc>
        <w:tc>
          <w:tcPr>
            <w:tcW w:w="4785" w:type="dxa"/>
            <w:vAlign w:val="center"/>
          </w:tcPr>
          <w:p w14:paraId="775E49B8" w14:textId="77777777" w:rsidR="00FB476A" w:rsidRPr="000303A4" w:rsidRDefault="00FB476A" w:rsidP="00F23970">
            <w:pPr>
              <w:tabs>
                <w:tab w:val="left" w:pos="1277"/>
              </w:tabs>
              <w:jc w:val="left"/>
              <w:rPr>
                <w:sz w:val="16"/>
                <w:szCs w:val="16"/>
              </w:rPr>
            </w:pPr>
            <w:r w:rsidRPr="000303A4">
              <w:rPr>
                <w:sz w:val="16"/>
                <w:szCs w:val="16"/>
              </w:rPr>
              <w:t>Mardo Kleiber Hernández Zapet (Hijo)</w:t>
            </w:r>
          </w:p>
        </w:tc>
      </w:tr>
      <w:tr w:rsidR="00FB476A" w:rsidRPr="0068359D" w14:paraId="1C0FC0F8" w14:textId="77777777" w:rsidTr="003D3071">
        <w:tc>
          <w:tcPr>
            <w:tcW w:w="560" w:type="dxa"/>
            <w:vAlign w:val="center"/>
          </w:tcPr>
          <w:p w14:paraId="4B9889F3" w14:textId="77777777" w:rsidR="00FB476A" w:rsidRPr="000303A4" w:rsidRDefault="00FB476A" w:rsidP="003D3071">
            <w:pPr>
              <w:jc w:val="center"/>
              <w:rPr>
                <w:sz w:val="16"/>
                <w:szCs w:val="16"/>
              </w:rPr>
            </w:pPr>
            <w:r w:rsidRPr="000303A4">
              <w:rPr>
                <w:sz w:val="16"/>
                <w:szCs w:val="16"/>
              </w:rPr>
              <w:t>32</w:t>
            </w:r>
          </w:p>
        </w:tc>
        <w:tc>
          <w:tcPr>
            <w:tcW w:w="3092" w:type="dxa"/>
            <w:vAlign w:val="center"/>
          </w:tcPr>
          <w:p w14:paraId="35F10BF7" w14:textId="77777777" w:rsidR="00FB476A" w:rsidRPr="000303A4" w:rsidRDefault="00FB476A" w:rsidP="00F23970">
            <w:pPr>
              <w:jc w:val="left"/>
              <w:rPr>
                <w:sz w:val="16"/>
                <w:szCs w:val="16"/>
              </w:rPr>
            </w:pPr>
            <w:r w:rsidRPr="000303A4">
              <w:rPr>
                <w:sz w:val="16"/>
                <w:szCs w:val="16"/>
              </w:rPr>
              <w:t>Luis Armando Linares Ruano</w:t>
            </w:r>
          </w:p>
        </w:tc>
        <w:tc>
          <w:tcPr>
            <w:tcW w:w="567" w:type="dxa"/>
            <w:vAlign w:val="center"/>
          </w:tcPr>
          <w:p w14:paraId="7B64D0A7" w14:textId="77777777" w:rsidR="00FB476A" w:rsidRPr="000303A4" w:rsidRDefault="00FB476A" w:rsidP="003D3071">
            <w:pPr>
              <w:jc w:val="center"/>
              <w:rPr>
                <w:sz w:val="16"/>
                <w:szCs w:val="16"/>
              </w:rPr>
            </w:pPr>
          </w:p>
        </w:tc>
        <w:tc>
          <w:tcPr>
            <w:tcW w:w="4785" w:type="dxa"/>
            <w:vAlign w:val="center"/>
          </w:tcPr>
          <w:p w14:paraId="65A59346" w14:textId="77777777" w:rsidR="00FB476A" w:rsidRPr="000303A4" w:rsidRDefault="00FB476A" w:rsidP="00F23970">
            <w:pPr>
              <w:jc w:val="left"/>
              <w:rPr>
                <w:sz w:val="16"/>
                <w:szCs w:val="16"/>
              </w:rPr>
            </w:pPr>
          </w:p>
        </w:tc>
      </w:tr>
      <w:tr w:rsidR="00FB476A" w:rsidRPr="0068359D" w14:paraId="6DF12F83" w14:textId="77777777" w:rsidTr="003D3071">
        <w:tc>
          <w:tcPr>
            <w:tcW w:w="560" w:type="dxa"/>
            <w:vAlign w:val="center"/>
          </w:tcPr>
          <w:p w14:paraId="236AAA16" w14:textId="77777777" w:rsidR="00FB476A" w:rsidRPr="000303A4" w:rsidRDefault="00FB476A" w:rsidP="003D3071">
            <w:pPr>
              <w:jc w:val="center"/>
              <w:rPr>
                <w:sz w:val="16"/>
                <w:szCs w:val="16"/>
              </w:rPr>
            </w:pPr>
            <w:r w:rsidRPr="000303A4">
              <w:rPr>
                <w:sz w:val="16"/>
                <w:szCs w:val="16"/>
              </w:rPr>
              <w:t>33</w:t>
            </w:r>
          </w:p>
        </w:tc>
        <w:tc>
          <w:tcPr>
            <w:tcW w:w="3092" w:type="dxa"/>
            <w:vAlign w:val="center"/>
          </w:tcPr>
          <w:p w14:paraId="4E0BC61D" w14:textId="77777777" w:rsidR="00FB476A" w:rsidRPr="000303A4" w:rsidRDefault="00FB476A" w:rsidP="00F23970">
            <w:pPr>
              <w:jc w:val="left"/>
              <w:rPr>
                <w:sz w:val="16"/>
                <w:szCs w:val="16"/>
              </w:rPr>
            </w:pPr>
            <w:r w:rsidRPr="000303A4">
              <w:rPr>
                <w:sz w:val="16"/>
                <w:szCs w:val="16"/>
              </w:rPr>
              <w:t>Marta Alicia Maldonado Paz</w:t>
            </w:r>
          </w:p>
        </w:tc>
        <w:tc>
          <w:tcPr>
            <w:tcW w:w="567" w:type="dxa"/>
            <w:vAlign w:val="center"/>
          </w:tcPr>
          <w:p w14:paraId="34BC2240" w14:textId="77777777" w:rsidR="00FB476A" w:rsidRPr="000303A4" w:rsidRDefault="00FB476A" w:rsidP="003D3071">
            <w:pPr>
              <w:jc w:val="center"/>
              <w:rPr>
                <w:sz w:val="16"/>
                <w:szCs w:val="16"/>
              </w:rPr>
            </w:pPr>
          </w:p>
        </w:tc>
        <w:tc>
          <w:tcPr>
            <w:tcW w:w="4785" w:type="dxa"/>
            <w:vAlign w:val="center"/>
          </w:tcPr>
          <w:p w14:paraId="307AB151" w14:textId="77777777" w:rsidR="00FB476A" w:rsidRPr="000303A4" w:rsidRDefault="00FB476A" w:rsidP="00F23970">
            <w:pPr>
              <w:tabs>
                <w:tab w:val="left" w:pos="1277"/>
              </w:tabs>
              <w:jc w:val="left"/>
              <w:rPr>
                <w:sz w:val="16"/>
                <w:szCs w:val="16"/>
              </w:rPr>
            </w:pPr>
          </w:p>
        </w:tc>
      </w:tr>
      <w:tr w:rsidR="00FB476A" w:rsidRPr="0068359D" w14:paraId="2330A890" w14:textId="77777777" w:rsidTr="003D3071">
        <w:tc>
          <w:tcPr>
            <w:tcW w:w="560" w:type="dxa"/>
            <w:vAlign w:val="center"/>
          </w:tcPr>
          <w:p w14:paraId="58B8B28B" w14:textId="77777777" w:rsidR="00FB476A" w:rsidRPr="000303A4" w:rsidRDefault="00FB476A" w:rsidP="003D3071">
            <w:pPr>
              <w:jc w:val="center"/>
              <w:rPr>
                <w:sz w:val="16"/>
                <w:szCs w:val="16"/>
              </w:rPr>
            </w:pPr>
            <w:r w:rsidRPr="000303A4">
              <w:rPr>
                <w:sz w:val="16"/>
                <w:szCs w:val="16"/>
              </w:rPr>
              <w:t>34</w:t>
            </w:r>
          </w:p>
        </w:tc>
        <w:tc>
          <w:tcPr>
            <w:tcW w:w="3092" w:type="dxa"/>
            <w:vAlign w:val="center"/>
          </w:tcPr>
          <w:p w14:paraId="40A6655F" w14:textId="77777777" w:rsidR="00FB476A" w:rsidRPr="000303A4" w:rsidRDefault="00FB476A" w:rsidP="00F23970">
            <w:pPr>
              <w:jc w:val="left"/>
              <w:rPr>
                <w:sz w:val="16"/>
                <w:szCs w:val="16"/>
              </w:rPr>
            </w:pPr>
            <w:r w:rsidRPr="000303A4">
              <w:rPr>
                <w:sz w:val="16"/>
                <w:szCs w:val="16"/>
              </w:rPr>
              <w:t>Dora Marina Martínez Sofoifa</w:t>
            </w:r>
          </w:p>
        </w:tc>
        <w:tc>
          <w:tcPr>
            <w:tcW w:w="567" w:type="dxa"/>
            <w:vAlign w:val="center"/>
          </w:tcPr>
          <w:p w14:paraId="4A8BD669" w14:textId="77777777" w:rsidR="00FB476A" w:rsidRPr="000303A4" w:rsidRDefault="00FB476A" w:rsidP="003D3071">
            <w:pPr>
              <w:jc w:val="center"/>
              <w:rPr>
                <w:sz w:val="16"/>
                <w:szCs w:val="16"/>
              </w:rPr>
            </w:pPr>
          </w:p>
        </w:tc>
        <w:tc>
          <w:tcPr>
            <w:tcW w:w="4785" w:type="dxa"/>
            <w:vAlign w:val="center"/>
          </w:tcPr>
          <w:p w14:paraId="71AD5F5F" w14:textId="77777777" w:rsidR="00FB476A" w:rsidRPr="000303A4" w:rsidRDefault="00FB476A" w:rsidP="00F23970">
            <w:pPr>
              <w:jc w:val="left"/>
              <w:rPr>
                <w:sz w:val="16"/>
                <w:szCs w:val="16"/>
              </w:rPr>
            </w:pPr>
          </w:p>
        </w:tc>
      </w:tr>
      <w:tr w:rsidR="00FB476A" w:rsidRPr="0068359D" w14:paraId="203DF335" w14:textId="77777777" w:rsidTr="003D3071">
        <w:tc>
          <w:tcPr>
            <w:tcW w:w="560" w:type="dxa"/>
            <w:vMerge w:val="restart"/>
            <w:vAlign w:val="center"/>
          </w:tcPr>
          <w:p w14:paraId="1CBF691E" w14:textId="77777777" w:rsidR="00FB476A" w:rsidRPr="000303A4" w:rsidRDefault="00FB476A" w:rsidP="003D3071">
            <w:pPr>
              <w:jc w:val="center"/>
              <w:rPr>
                <w:sz w:val="16"/>
                <w:szCs w:val="16"/>
              </w:rPr>
            </w:pPr>
            <w:r w:rsidRPr="000303A4">
              <w:rPr>
                <w:sz w:val="16"/>
                <w:szCs w:val="16"/>
              </w:rPr>
              <w:t>35</w:t>
            </w:r>
          </w:p>
        </w:tc>
        <w:tc>
          <w:tcPr>
            <w:tcW w:w="3092" w:type="dxa"/>
            <w:vMerge w:val="restart"/>
            <w:vAlign w:val="center"/>
          </w:tcPr>
          <w:p w14:paraId="76305E57" w14:textId="77777777" w:rsidR="00FB476A" w:rsidRPr="000303A4" w:rsidRDefault="00FB476A" w:rsidP="00F23970">
            <w:pPr>
              <w:jc w:val="left"/>
              <w:rPr>
                <w:sz w:val="16"/>
                <w:szCs w:val="16"/>
              </w:rPr>
            </w:pPr>
            <w:r w:rsidRPr="000303A4">
              <w:rPr>
                <w:sz w:val="16"/>
                <w:szCs w:val="16"/>
              </w:rPr>
              <w:t>Pascuala de Jesús Mérida Rodríguez</w:t>
            </w:r>
          </w:p>
        </w:tc>
        <w:tc>
          <w:tcPr>
            <w:tcW w:w="567" w:type="dxa"/>
            <w:vAlign w:val="center"/>
          </w:tcPr>
          <w:p w14:paraId="38A02385" w14:textId="20CEA91A" w:rsidR="00FB476A" w:rsidRPr="000303A4" w:rsidRDefault="0009273C" w:rsidP="003D3071">
            <w:pPr>
              <w:jc w:val="center"/>
              <w:rPr>
                <w:sz w:val="16"/>
                <w:szCs w:val="16"/>
              </w:rPr>
            </w:pPr>
            <w:r>
              <w:rPr>
                <w:sz w:val="16"/>
                <w:szCs w:val="16"/>
              </w:rPr>
              <w:t>3</w:t>
            </w:r>
            <w:r w:rsidR="005C4A7F">
              <w:rPr>
                <w:sz w:val="16"/>
                <w:szCs w:val="16"/>
              </w:rPr>
              <w:t>9</w:t>
            </w:r>
          </w:p>
        </w:tc>
        <w:tc>
          <w:tcPr>
            <w:tcW w:w="4785" w:type="dxa"/>
            <w:vAlign w:val="center"/>
          </w:tcPr>
          <w:p w14:paraId="727F7F27" w14:textId="29341827" w:rsidR="00FB476A" w:rsidRPr="000303A4" w:rsidRDefault="00FB476A" w:rsidP="00F23970">
            <w:pPr>
              <w:tabs>
                <w:tab w:val="left" w:pos="1277"/>
              </w:tabs>
              <w:jc w:val="left"/>
              <w:rPr>
                <w:sz w:val="16"/>
                <w:szCs w:val="16"/>
              </w:rPr>
            </w:pPr>
            <w:r w:rsidRPr="000303A4">
              <w:rPr>
                <w:sz w:val="16"/>
                <w:szCs w:val="16"/>
              </w:rPr>
              <w:t xml:space="preserve">Sixto Mérida Mendoza </w:t>
            </w:r>
            <w:r w:rsidR="008D64AF">
              <w:rPr>
                <w:sz w:val="16"/>
                <w:szCs w:val="16"/>
              </w:rPr>
              <w:t>(P</w:t>
            </w:r>
            <w:r>
              <w:rPr>
                <w:sz w:val="16"/>
                <w:szCs w:val="16"/>
              </w:rPr>
              <w:t>adre)</w:t>
            </w:r>
          </w:p>
        </w:tc>
      </w:tr>
      <w:tr w:rsidR="00FB476A" w:rsidRPr="0068359D" w14:paraId="615EF326" w14:textId="77777777" w:rsidTr="003D3071">
        <w:tc>
          <w:tcPr>
            <w:tcW w:w="560" w:type="dxa"/>
            <w:vMerge/>
            <w:vAlign w:val="center"/>
          </w:tcPr>
          <w:p w14:paraId="03A7EB49" w14:textId="77777777" w:rsidR="00FB476A" w:rsidRPr="000303A4" w:rsidRDefault="00FB476A" w:rsidP="003D3071">
            <w:pPr>
              <w:jc w:val="center"/>
              <w:rPr>
                <w:sz w:val="16"/>
                <w:szCs w:val="16"/>
              </w:rPr>
            </w:pPr>
          </w:p>
        </w:tc>
        <w:tc>
          <w:tcPr>
            <w:tcW w:w="3092" w:type="dxa"/>
            <w:vMerge/>
            <w:vAlign w:val="center"/>
          </w:tcPr>
          <w:p w14:paraId="5BF9F761" w14:textId="77777777" w:rsidR="00FB476A" w:rsidRPr="000303A4" w:rsidRDefault="00FB476A" w:rsidP="00F23970">
            <w:pPr>
              <w:jc w:val="left"/>
              <w:rPr>
                <w:sz w:val="16"/>
                <w:szCs w:val="16"/>
              </w:rPr>
            </w:pPr>
          </w:p>
        </w:tc>
        <w:tc>
          <w:tcPr>
            <w:tcW w:w="567" w:type="dxa"/>
            <w:vAlign w:val="center"/>
          </w:tcPr>
          <w:p w14:paraId="1F94365B" w14:textId="10CF5069" w:rsidR="00FB476A" w:rsidRPr="000303A4" w:rsidRDefault="005C4A7F" w:rsidP="003D3071">
            <w:pPr>
              <w:jc w:val="center"/>
              <w:rPr>
                <w:sz w:val="16"/>
                <w:szCs w:val="16"/>
              </w:rPr>
            </w:pPr>
            <w:r>
              <w:rPr>
                <w:sz w:val="16"/>
                <w:szCs w:val="16"/>
              </w:rPr>
              <w:t>40</w:t>
            </w:r>
          </w:p>
        </w:tc>
        <w:tc>
          <w:tcPr>
            <w:tcW w:w="4785" w:type="dxa"/>
            <w:vAlign w:val="center"/>
          </w:tcPr>
          <w:p w14:paraId="13F60D0A" w14:textId="77777777" w:rsidR="00FB476A" w:rsidRPr="000303A4" w:rsidRDefault="00FB476A" w:rsidP="00F23970">
            <w:pPr>
              <w:tabs>
                <w:tab w:val="left" w:pos="1277"/>
              </w:tabs>
              <w:jc w:val="left"/>
              <w:rPr>
                <w:sz w:val="16"/>
                <w:szCs w:val="16"/>
              </w:rPr>
            </w:pPr>
            <w:r w:rsidRPr="000303A4">
              <w:rPr>
                <w:sz w:val="16"/>
                <w:szCs w:val="16"/>
              </w:rPr>
              <w:t>Hermina Rodríguez Coculista (Madre)</w:t>
            </w:r>
          </w:p>
        </w:tc>
      </w:tr>
      <w:tr w:rsidR="00FB476A" w:rsidRPr="0068359D" w14:paraId="6435AC21" w14:textId="77777777" w:rsidTr="003D3071">
        <w:tc>
          <w:tcPr>
            <w:tcW w:w="560" w:type="dxa"/>
            <w:vMerge/>
            <w:vAlign w:val="center"/>
          </w:tcPr>
          <w:p w14:paraId="12A2F3B1" w14:textId="77777777" w:rsidR="00FB476A" w:rsidRPr="000303A4" w:rsidRDefault="00FB476A" w:rsidP="003D3071">
            <w:pPr>
              <w:jc w:val="center"/>
              <w:rPr>
                <w:sz w:val="16"/>
                <w:szCs w:val="16"/>
              </w:rPr>
            </w:pPr>
          </w:p>
        </w:tc>
        <w:tc>
          <w:tcPr>
            <w:tcW w:w="3092" w:type="dxa"/>
            <w:vMerge/>
            <w:vAlign w:val="center"/>
          </w:tcPr>
          <w:p w14:paraId="106B7C95" w14:textId="77777777" w:rsidR="00FB476A" w:rsidRPr="000303A4" w:rsidRDefault="00FB476A" w:rsidP="00F23970">
            <w:pPr>
              <w:jc w:val="left"/>
              <w:rPr>
                <w:sz w:val="16"/>
                <w:szCs w:val="16"/>
              </w:rPr>
            </w:pPr>
          </w:p>
        </w:tc>
        <w:tc>
          <w:tcPr>
            <w:tcW w:w="567" w:type="dxa"/>
            <w:vAlign w:val="center"/>
          </w:tcPr>
          <w:p w14:paraId="06972B36" w14:textId="421B79C1" w:rsidR="00FB476A" w:rsidRPr="000303A4" w:rsidRDefault="005C4A7F" w:rsidP="003D3071">
            <w:pPr>
              <w:jc w:val="center"/>
              <w:rPr>
                <w:sz w:val="16"/>
                <w:szCs w:val="16"/>
              </w:rPr>
            </w:pPr>
            <w:r>
              <w:rPr>
                <w:sz w:val="16"/>
                <w:szCs w:val="16"/>
              </w:rPr>
              <w:t>41</w:t>
            </w:r>
          </w:p>
        </w:tc>
        <w:tc>
          <w:tcPr>
            <w:tcW w:w="4785" w:type="dxa"/>
            <w:vAlign w:val="center"/>
          </w:tcPr>
          <w:p w14:paraId="70616A3D" w14:textId="77777777" w:rsidR="00FB476A" w:rsidRPr="000303A4" w:rsidRDefault="00FB476A" w:rsidP="00F23970">
            <w:pPr>
              <w:tabs>
                <w:tab w:val="left" w:pos="1277"/>
              </w:tabs>
              <w:jc w:val="left"/>
              <w:rPr>
                <w:sz w:val="16"/>
                <w:szCs w:val="16"/>
              </w:rPr>
            </w:pPr>
            <w:r w:rsidRPr="000303A4">
              <w:rPr>
                <w:sz w:val="16"/>
                <w:szCs w:val="16"/>
              </w:rPr>
              <w:t>Karla de Jesús Coronado Mérida (Hija)</w:t>
            </w:r>
          </w:p>
        </w:tc>
      </w:tr>
      <w:tr w:rsidR="00FB476A" w:rsidRPr="0068359D" w14:paraId="002B64E7" w14:textId="77777777" w:rsidTr="003D3071">
        <w:tc>
          <w:tcPr>
            <w:tcW w:w="560" w:type="dxa"/>
            <w:vMerge/>
            <w:vAlign w:val="center"/>
          </w:tcPr>
          <w:p w14:paraId="7A19657F" w14:textId="77777777" w:rsidR="00FB476A" w:rsidRPr="000303A4" w:rsidRDefault="00FB476A" w:rsidP="003D3071">
            <w:pPr>
              <w:jc w:val="center"/>
              <w:rPr>
                <w:sz w:val="16"/>
                <w:szCs w:val="16"/>
              </w:rPr>
            </w:pPr>
          </w:p>
        </w:tc>
        <w:tc>
          <w:tcPr>
            <w:tcW w:w="3092" w:type="dxa"/>
            <w:vMerge/>
            <w:vAlign w:val="center"/>
          </w:tcPr>
          <w:p w14:paraId="3B57AE7A" w14:textId="77777777" w:rsidR="00FB476A" w:rsidRPr="000303A4" w:rsidRDefault="00FB476A" w:rsidP="00F23970">
            <w:pPr>
              <w:jc w:val="left"/>
              <w:rPr>
                <w:sz w:val="16"/>
                <w:szCs w:val="16"/>
              </w:rPr>
            </w:pPr>
          </w:p>
        </w:tc>
        <w:tc>
          <w:tcPr>
            <w:tcW w:w="567" w:type="dxa"/>
            <w:vAlign w:val="center"/>
          </w:tcPr>
          <w:p w14:paraId="2DCD4308" w14:textId="25A7FB9D" w:rsidR="00FB476A" w:rsidRPr="000303A4" w:rsidRDefault="0009273C" w:rsidP="003D3071">
            <w:pPr>
              <w:jc w:val="center"/>
              <w:rPr>
                <w:sz w:val="16"/>
                <w:szCs w:val="16"/>
              </w:rPr>
            </w:pPr>
            <w:r>
              <w:rPr>
                <w:sz w:val="16"/>
                <w:szCs w:val="16"/>
              </w:rPr>
              <w:t>4</w:t>
            </w:r>
            <w:r w:rsidR="005C4A7F">
              <w:rPr>
                <w:sz w:val="16"/>
                <w:szCs w:val="16"/>
              </w:rPr>
              <w:t>2</w:t>
            </w:r>
          </w:p>
        </w:tc>
        <w:tc>
          <w:tcPr>
            <w:tcW w:w="4785" w:type="dxa"/>
            <w:vAlign w:val="center"/>
          </w:tcPr>
          <w:p w14:paraId="3691530A" w14:textId="77777777" w:rsidR="00FB476A" w:rsidRPr="000303A4" w:rsidRDefault="00FB476A" w:rsidP="00F23970">
            <w:pPr>
              <w:tabs>
                <w:tab w:val="left" w:pos="1277"/>
              </w:tabs>
              <w:jc w:val="left"/>
              <w:rPr>
                <w:sz w:val="16"/>
                <w:szCs w:val="16"/>
              </w:rPr>
            </w:pPr>
            <w:r w:rsidRPr="000303A4">
              <w:rPr>
                <w:sz w:val="16"/>
                <w:szCs w:val="16"/>
              </w:rPr>
              <w:t>Benita del Rosario Soto Mérida (Hija)</w:t>
            </w:r>
          </w:p>
        </w:tc>
      </w:tr>
      <w:tr w:rsidR="00FB476A" w:rsidRPr="0068359D" w14:paraId="2507FE77" w14:textId="77777777" w:rsidTr="003D3071">
        <w:tc>
          <w:tcPr>
            <w:tcW w:w="560" w:type="dxa"/>
            <w:vMerge/>
            <w:vAlign w:val="center"/>
          </w:tcPr>
          <w:p w14:paraId="1BCAA339" w14:textId="77777777" w:rsidR="00FB476A" w:rsidRPr="000303A4" w:rsidRDefault="00FB476A" w:rsidP="003D3071">
            <w:pPr>
              <w:jc w:val="center"/>
              <w:rPr>
                <w:sz w:val="16"/>
                <w:szCs w:val="16"/>
              </w:rPr>
            </w:pPr>
          </w:p>
        </w:tc>
        <w:tc>
          <w:tcPr>
            <w:tcW w:w="3092" w:type="dxa"/>
            <w:vMerge/>
            <w:vAlign w:val="center"/>
          </w:tcPr>
          <w:p w14:paraId="47E4891D" w14:textId="77777777" w:rsidR="00FB476A" w:rsidRPr="000303A4" w:rsidRDefault="00FB476A" w:rsidP="00F23970">
            <w:pPr>
              <w:jc w:val="left"/>
              <w:rPr>
                <w:sz w:val="16"/>
                <w:szCs w:val="16"/>
              </w:rPr>
            </w:pPr>
          </w:p>
        </w:tc>
        <w:tc>
          <w:tcPr>
            <w:tcW w:w="567" w:type="dxa"/>
            <w:vAlign w:val="center"/>
          </w:tcPr>
          <w:p w14:paraId="256D09BC" w14:textId="34CD5918" w:rsidR="00FB476A" w:rsidRPr="000303A4" w:rsidRDefault="0009273C" w:rsidP="003D3071">
            <w:pPr>
              <w:jc w:val="center"/>
              <w:rPr>
                <w:sz w:val="16"/>
                <w:szCs w:val="16"/>
              </w:rPr>
            </w:pPr>
            <w:r>
              <w:rPr>
                <w:sz w:val="16"/>
                <w:szCs w:val="16"/>
              </w:rPr>
              <w:t>4</w:t>
            </w:r>
            <w:r w:rsidR="005C4A7F">
              <w:rPr>
                <w:sz w:val="16"/>
                <w:szCs w:val="16"/>
              </w:rPr>
              <w:t>3</w:t>
            </w:r>
          </w:p>
        </w:tc>
        <w:tc>
          <w:tcPr>
            <w:tcW w:w="4785" w:type="dxa"/>
            <w:vAlign w:val="center"/>
          </w:tcPr>
          <w:p w14:paraId="631B2FDC" w14:textId="77777777" w:rsidR="00FB476A" w:rsidRPr="000303A4" w:rsidRDefault="00FB476A" w:rsidP="00F23970">
            <w:pPr>
              <w:tabs>
                <w:tab w:val="left" w:pos="1277"/>
              </w:tabs>
              <w:jc w:val="left"/>
              <w:rPr>
                <w:sz w:val="16"/>
                <w:szCs w:val="16"/>
              </w:rPr>
            </w:pPr>
            <w:r w:rsidRPr="000303A4">
              <w:rPr>
                <w:sz w:val="16"/>
                <w:szCs w:val="16"/>
              </w:rPr>
              <w:t>Erick Alexander Maldonado Mérida (Hijo)</w:t>
            </w:r>
          </w:p>
        </w:tc>
      </w:tr>
      <w:tr w:rsidR="00FB476A" w:rsidRPr="0068359D" w14:paraId="723A764F" w14:textId="77777777" w:rsidTr="003D3071">
        <w:tc>
          <w:tcPr>
            <w:tcW w:w="560" w:type="dxa"/>
            <w:vMerge/>
            <w:vAlign w:val="center"/>
          </w:tcPr>
          <w:p w14:paraId="3EB9D227" w14:textId="77777777" w:rsidR="00FB476A" w:rsidRPr="000303A4" w:rsidRDefault="00FB476A" w:rsidP="003D3071">
            <w:pPr>
              <w:jc w:val="center"/>
              <w:rPr>
                <w:sz w:val="16"/>
                <w:szCs w:val="16"/>
              </w:rPr>
            </w:pPr>
          </w:p>
        </w:tc>
        <w:tc>
          <w:tcPr>
            <w:tcW w:w="3092" w:type="dxa"/>
            <w:vMerge/>
            <w:vAlign w:val="center"/>
          </w:tcPr>
          <w:p w14:paraId="79C00179" w14:textId="77777777" w:rsidR="00FB476A" w:rsidRPr="000303A4" w:rsidRDefault="00FB476A" w:rsidP="00F23970">
            <w:pPr>
              <w:jc w:val="left"/>
              <w:rPr>
                <w:sz w:val="16"/>
                <w:szCs w:val="16"/>
              </w:rPr>
            </w:pPr>
          </w:p>
        </w:tc>
        <w:tc>
          <w:tcPr>
            <w:tcW w:w="567" w:type="dxa"/>
            <w:vAlign w:val="center"/>
          </w:tcPr>
          <w:p w14:paraId="560580F5" w14:textId="588A2406" w:rsidR="00FB476A" w:rsidRPr="000303A4" w:rsidRDefault="0009273C" w:rsidP="003D3071">
            <w:pPr>
              <w:jc w:val="center"/>
              <w:rPr>
                <w:sz w:val="16"/>
                <w:szCs w:val="16"/>
              </w:rPr>
            </w:pPr>
            <w:r>
              <w:rPr>
                <w:sz w:val="16"/>
                <w:szCs w:val="16"/>
              </w:rPr>
              <w:t>4</w:t>
            </w:r>
            <w:r w:rsidR="005C4A7F">
              <w:rPr>
                <w:sz w:val="16"/>
                <w:szCs w:val="16"/>
              </w:rPr>
              <w:t>4</w:t>
            </w:r>
          </w:p>
        </w:tc>
        <w:tc>
          <w:tcPr>
            <w:tcW w:w="4785" w:type="dxa"/>
            <w:vAlign w:val="center"/>
          </w:tcPr>
          <w:p w14:paraId="2C31168A" w14:textId="03D23EF2" w:rsidR="00FB476A" w:rsidRPr="000303A4" w:rsidRDefault="00FB476A" w:rsidP="00F23970">
            <w:pPr>
              <w:tabs>
                <w:tab w:val="left" w:pos="1277"/>
              </w:tabs>
              <w:jc w:val="left"/>
              <w:rPr>
                <w:sz w:val="16"/>
                <w:szCs w:val="16"/>
              </w:rPr>
            </w:pPr>
            <w:r>
              <w:rPr>
                <w:sz w:val="16"/>
                <w:szCs w:val="16"/>
              </w:rPr>
              <w:t>Alejo Ranferí Maldonado Oxlaj (Esposo)</w:t>
            </w:r>
          </w:p>
        </w:tc>
      </w:tr>
      <w:tr w:rsidR="00FB476A" w:rsidRPr="0068359D" w14:paraId="47FA8948" w14:textId="77777777" w:rsidTr="003D3071">
        <w:tc>
          <w:tcPr>
            <w:tcW w:w="560" w:type="dxa"/>
            <w:vMerge w:val="restart"/>
            <w:vAlign w:val="center"/>
          </w:tcPr>
          <w:p w14:paraId="47D9AE28" w14:textId="77777777" w:rsidR="00FB476A" w:rsidRPr="000303A4" w:rsidRDefault="00FB476A" w:rsidP="003D3071">
            <w:pPr>
              <w:jc w:val="center"/>
              <w:rPr>
                <w:sz w:val="16"/>
                <w:szCs w:val="16"/>
              </w:rPr>
            </w:pPr>
            <w:r w:rsidRPr="000303A4">
              <w:rPr>
                <w:sz w:val="16"/>
                <w:szCs w:val="16"/>
              </w:rPr>
              <w:t>36</w:t>
            </w:r>
          </w:p>
        </w:tc>
        <w:tc>
          <w:tcPr>
            <w:tcW w:w="3092" w:type="dxa"/>
            <w:vMerge w:val="restart"/>
            <w:vAlign w:val="center"/>
          </w:tcPr>
          <w:p w14:paraId="04FB1F4F" w14:textId="77777777" w:rsidR="00FB476A" w:rsidRPr="000303A4" w:rsidRDefault="00FB476A" w:rsidP="00F23970">
            <w:pPr>
              <w:jc w:val="left"/>
              <w:rPr>
                <w:sz w:val="16"/>
                <w:szCs w:val="16"/>
              </w:rPr>
            </w:pPr>
            <w:r w:rsidRPr="000303A4">
              <w:rPr>
                <w:sz w:val="16"/>
                <w:szCs w:val="16"/>
              </w:rPr>
              <w:t>Darinel López Montes de Oca</w:t>
            </w:r>
          </w:p>
        </w:tc>
        <w:tc>
          <w:tcPr>
            <w:tcW w:w="567" w:type="dxa"/>
            <w:vAlign w:val="center"/>
          </w:tcPr>
          <w:p w14:paraId="30ECC6F5" w14:textId="5984D3BC" w:rsidR="00FB476A" w:rsidRPr="000303A4" w:rsidRDefault="0009273C" w:rsidP="003D3071">
            <w:pPr>
              <w:jc w:val="center"/>
              <w:rPr>
                <w:sz w:val="16"/>
                <w:szCs w:val="16"/>
              </w:rPr>
            </w:pPr>
            <w:r>
              <w:rPr>
                <w:sz w:val="16"/>
                <w:szCs w:val="16"/>
              </w:rPr>
              <w:t>4</w:t>
            </w:r>
            <w:r w:rsidR="005C4A7F">
              <w:rPr>
                <w:sz w:val="16"/>
                <w:szCs w:val="16"/>
              </w:rPr>
              <w:t>5</w:t>
            </w:r>
          </w:p>
        </w:tc>
        <w:tc>
          <w:tcPr>
            <w:tcW w:w="4785" w:type="dxa"/>
            <w:vAlign w:val="center"/>
          </w:tcPr>
          <w:p w14:paraId="069973C2" w14:textId="77777777" w:rsidR="00FB476A" w:rsidRPr="000303A4" w:rsidRDefault="00FB476A" w:rsidP="00F23970">
            <w:pPr>
              <w:jc w:val="left"/>
              <w:rPr>
                <w:sz w:val="16"/>
                <w:szCs w:val="16"/>
              </w:rPr>
            </w:pPr>
            <w:r w:rsidRPr="000303A4">
              <w:rPr>
                <w:sz w:val="16"/>
                <w:szCs w:val="16"/>
              </w:rPr>
              <w:t>Ana Castillo López (Prima)</w:t>
            </w:r>
          </w:p>
        </w:tc>
      </w:tr>
      <w:tr w:rsidR="00FB476A" w:rsidRPr="0068359D" w14:paraId="6618D47A" w14:textId="77777777" w:rsidTr="003D3071">
        <w:tc>
          <w:tcPr>
            <w:tcW w:w="560" w:type="dxa"/>
            <w:vMerge/>
            <w:vAlign w:val="center"/>
          </w:tcPr>
          <w:p w14:paraId="717164A6" w14:textId="77777777" w:rsidR="00FB476A" w:rsidRPr="000303A4" w:rsidRDefault="00FB476A" w:rsidP="003D3071">
            <w:pPr>
              <w:jc w:val="center"/>
              <w:rPr>
                <w:sz w:val="16"/>
                <w:szCs w:val="16"/>
              </w:rPr>
            </w:pPr>
          </w:p>
        </w:tc>
        <w:tc>
          <w:tcPr>
            <w:tcW w:w="3092" w:type="dxa"/>
            <w:vMerge/>
            <w:vAlign w:val="center"/>
          </w:tcPr>
          <w:p w14:paraId="262F17D0" w14:textId="77777777" w:rsidR="00FB476A" w:rsidRPr="000303A4" w:rsidRDefault="00FB476A" w:rsidP="00F23970">
            <w:pPr>
              <w:jc w:val="left"/>
              <w:rPr>
                <w:sz w:val="16"/>
                <w:szCs w:val="16"/>
              </w:rPr>
            </w:pPr>
          </w:p>
        </w:tc>
        <w:tc>
          <w:tcPr>
            <w:tcW w:w="567" w:type="dxa"/>
            <w:vAlign w:val="center"/>
          </w:tcPr>
          <w:p w14:paraId="77B1426D" w14:textId="55A60C9E" w:rsidR="00FB476A" w:rsidRPr="000303A4" w:rsidRDefault="0009273C" w:rsidP="003D3071">
            <w:pPr>
              <w:jc w:val="center"/>
              <w:rPr>
                <w:sz w:val="16"/>
                <w:szCs w:val="16"/>
              </w:rPr>
            </w:pPr>
            <w:r>
              <w:rPr>
                <w:sz w:val="16"/>
                <w:szCs w:val="16"/>
              </w:rPr>
              <w:t>4</w:t>
            </w:r>
            <w:r w:rsidR="005C4A7F">
              <w:rPr>
                <w:sz w:val="16"/>
                <w:szCs w:val="16"/>
              </w:rPr>
              <w:t>6</w:t>
            </w:r>
          </w:p>
        </w:tc>
        <w:tc>
          <w:tcPr>
            <w:tcW w:w="4785" w:type="dxa"/>
            <w:vAlign w:val="center"/>
          </w:tcPr>
          <w:p w14:paraId="664E54D1" w14:textId="77777777" w:rsidR="00FB476A" w:rsidRPr="000303A4" w:rsidRDefault="00FB476A" w:rsidP="00F23970">
            <w:pPr>
              <w:jc w:val="left"/>
              <w:rPr>
                <w:sz w:val="16"/>
                <w:szCs w:val="16"/>
              </w:rPr>
            </w:pPr>
            <w:r w:rsidRPr="000303A4">
              <w:rPr>
                <w:sz w:val="16"/>
                <w:szCs w:val="16"/>
              </w:rPr>
              <w:t>Aracely Méndez Castillo (Sobrina)</w:t>
            </w:r>
          </w:p>
        </w:tc>
      </w:tr>
      <w:tr w:rsidR="00FB476A" w:rsidRPr="0068359D" w14:paraId="523EADB0" w14:textId="77777777" w:rsidTr="003D3071">
        <w:tc>
          <w:tcPr>
            <w:tcW w:w="560" w:type="dxa"/>
            <w:vAlign w:val="center"/>
          </w:tcPr>
          <w:p w14:paraId="619C4481" w14:textId="77777777" w:rsidR="00FB476A" w:rsidRPr="000303A4" w:rsidRDefault="00FB476A" w:rsidP="003D3071">
            <w:pPr>
              <w:jc w:val="center"/>
              <w:rPr>
                <w:sz w:val="16"/>
                <w:szCs w:val="16"/>
              </w:rPr>
            </w:pPr>
            <w:r w:rsidRPr="000303A4">
              <w:rPr>
                <w:sz w:val="16"/>
                <w:szCs w:val="16"/>
              </w:rPr>
              <w:t>37</w:t>
            </w:r>
          </w:p>
        </w:tc>
        <w:tc>
          <w:tcPr>
            <w:tcW w:w="3092" w:type="dxa"/>
            <w:vAlign w:val="center"/>
          </w:tcPr>
          <w:p w14:paraId="42FCF031" w14:textId="4632A41F" w:rsidR="00FB476A" w:rsidRPr="000303A4" w:rsidRDefault="00FB476A" w:rsidP="00F23970">
            <w:pPr>
              <w:jc w:val="left"/>
              <w:rPr>
                <w:sz w:val="16"/>
                <w:szCs w:val="16"/>
              </w:rPr>
            </w:pPr>
            <w:r>
              <w:rPr>
                <w:sz w:val="16"/>
                <w:szCs w:val="16"/>
              </w:rPr>
              <w:t>Israel Pe</w:t>
            </w:r>
            <w:r w:rsidRPr="000303A4">
              <w:rPr>
                <w:sz w:val="16"/>
                <w:szCs w:val="16"/>
              </w:rPr>
              <w:t>rez Charal</w:t>
            </w:r>
          </w:p>
        </w:tc>
        <w:tc>
          <w:tcPr>
            <w:tcW w:w="567" w:type="dxa"/>
            <w:vAlign w:val="center"/>
          </w:tcPr>
          <w:p w14:paraId="7C974DC8" w14:textId="77777777" w:rsidR="00FB476A" w:rsidRPr="000303A4" w:rsidRDefault="00FB476A" w:rsidP="005C4A7F">
            <w:pPr>
              <w:rPr>
                <w:sz w:val="16"/>
                <w:szCs w:val="16"/>
              </w:rPr>
            </w:pPr>
          </w:p>
        </w:tc>
        <w:tc>
          <w:tcPr>
            <w:tcW w:w="4785" w:type="dxa"/>
            <w:vAlign w:val="center"/>
          </w:tcPr>
          <w:p w14:paraId="538FE485" w14:textId="77777777" w:rsidR="00FB476A" w:rsidRPr="000303A4" w:rsidRDefault="00FB476A" w:rsidP="00F23970">
            <w:pPr>
              <w:jc w:val="left"/>
              <w:rPr>
                <w:sz w:val="16"/>
                <w:szCs w:val="16"/>
              </w:rPr>
            </w:pPr>
          </w:p>
        </w:tc>
      </w:tr>
      <w:tr w:rsidR="00FB476A" w:rsidRPr="0068359D" w14:paraId="74A90E37" w14:textId="77777777" w:rsidTr="003D3071">
        <w:tc>
          <w:tcPr>
            <w:tcW w:w="560" w:type="dxa"/>
            <w:vAlign w:val="center"/>
          </w:tcPr>
          <w:p w14:paraId="499A1DF1" w14:textId="77777777" w:rsidR="00FB476A" w:rsidRPr="000303A4" w:rsidRDefault="00FB476A" w:rsidP="003D3071">
            <w:pPr>
              <w:jc w:val="center"/>
              <w:rPr>
                <w:sz w:val="16"/>
                <w:szCs w:val="16"/>
              </w:rPr>
            </w:pPr>
            <w:r w:rsidRPr="000303A4">
              <w:rPr>
                <w:sz w:val="16"/>
                <w:szCs w:val="16"/>
              </w:rPr>
              <w:t>38</w:t>
            </w:r>
          </w:p>
        </w:tc>
        <w:tc>
          <w:tcPr>
            <w:tcW w:w="3092" w:type="dxa"/>
            <w:vAlign w:val="center"/>
          </w:tcPr>
          <w:p w14:paraId="387B7AB2" w14:textId="77777777" w:rsidR="00FB476A" w:rsidRPr="000303A4" w:rsidRDefault="00FB476A" w:rsidP="00F23970">
            <w:pPr>
              <w:jc w:val="left"/>
              <w:rPr>
                <w:sz w:val="16"/>
                <w:szCs w:val="16"/>
              </w:rPr>
            </w:pPr>
            <w:r w:rsidRPr="000303A4">
              <w:rPr>
                <w:sz w:val="16"/>
                <w:szCs w:val="16"/>
              </w:rPr>
              <w:t>Corina Dianeth Robledo Alvarado</w:t>
            </w:r>
          </w:p>
        </w:tc>
        <w:tc>
          <w:tcPr>
            <w:tcW w:w="567" w:type="dxa"/>
            <w:vAlign w:val="center"/>
          </w:tcPr>
          <w:p w14:paraId="741ED7D3" w14:textId="31802037" w:rsidR="00FB476A" w:rsidRPr="000303A4" w:rsidRDefault="0009273C" w:rsidP="003D3071">
            <w:pPr>
              <w:jc w:val="center"/>
              <w:rPr>
                <w:sz w:val="16"/>
                <w:szCs w:val="16"/>
              </w:rPr>
            </w:pPr>
            <w:r>
              <w:rPr>
                <w:sz w:val="16"/>
                <w:szCs w:val="16"/>
              </w:rPr>
              <w:t>4</w:t>
            </w:r>
            <w:r w:rsidR="005C4A7F">
              <w:rPr>
                <w:sz w:val="16"/>
                <w:szCs w:val="16"/>
              </w:rPr>
              <w:t>7</w:t>
            </w:r>
          </w:p>
        </w:tc>
        <w:tc>
          <w:tcPr>
            <w:tcW w:w="4785" w:type="dxa"/>
            <w:vAlign w:val="center"/>
          </w:tcPr>
          <w:p w14:paraId="5E4ABFB3" w14:textId="04BF97CA" w:rsidR="00FB476A" w:rsidRPr="000303A4" w:rsidRDefault="00FB476A" w:rsidP="00F23970">
            <w:pPr>
              <w:tabs>
                <w:tab w:val="left" w:pos="1277"/>
              </w:tabs>
              <w:jc w:val="left"/>
              <w:rPr>
                <w:sz w:val="16"/>
                <w:szCs w:val="16"/>
              </w:rPr>
            </w:pPr>
            <w:r>
              <w:rPr>
                <w:sz w:val="16"/>
                <w:szCs w:val="16"/>
              </w:rPr>
              <w:t>L.A.L.</w:t>
            </w:r>
          </w:p>
        </w:tc>
      </w:tr>
      <w:tr w:rsidR="00FB476A" w:rsidRPr="0068359D" w14:paraId="61039AD9" w14:textId="77777777" w:rsidTr="003D3071">
        <w:tc>
          <w:tcPr>
            <w:tcW w:w="560" w:type="dxa"/>
            <w:vMerge w:val="restart"/>
            <w:vAlign w:val="center"/>
          </w:tcPr>
          <w:p w14:paraId="7FC77186" w14:textId="77777777" w:rsidR="00FB476A" w:rsidRPr="000303A4" w:rsidRDefault="00FB476A" w:rsidP="003D3071">
            <w:pPr>
              <w:jc w:val="center"/>
              <w:rPr>
                <w:sz w:val="16"/>
                <w:szCs w:val="16"/>
              </w:rPr>
            </w:pPr>
            <w:r w:rsidRPr="000303A4">
              <w:rPr>
                <w:sz w:val="16"/>
                <w:szCs w:val="16"/>
              </w:rPr>
              <w:t>39</w:t>
            </w:r>
          </w:p>
        </w:tc>
        <w:tc>
          <w:tcPr>
            <w:tcW w:w="3092" w:type="dxa"/>
            <w:vMerge w:val="restart"/>
            <w:vAlign w:val="center"/>
          </w:tcPr>
          <w:p w14:paraId="215B2063" w14:textId="77777777" w:rsidR="00FB476A" w:rsidRPr="000303A4" w:rsidRDefault="00FB476A" w:rsidP="00F23970">
            <w:pPr>
              <w:jc w:val="left"/>
              <w:rPr>
                <w:sz w:val="16"/>
                <w:szCs w:val="16"/>
              </w:rPr>
            </w:pPr>
            <w:r w:rsidRPr="000303A4">
              <w:rPr>
                <w:sz w:val="16"/>
                <w:szCs w:val="16"/>
              </w:rPr>
              <w:t>Audencio Rodas Rodríguez</w:t>
            </w:r>
          </w:p>
        </w:tc>
        <w:tc>
          <w:tcPr>
            <w:tcW w:w="567" w:type="dxa"/>
            <w:vAlign w:val="center"/>
          </w:tcPr>
          <w:p w14:paraId="3FF62F6F" w14:textId="680E69BE" w:rsidR="00FB476A" w:rsidRPr="000303A4" w:rsidRDefault="0009273C" w:rsidP="003D3071">
            <w:pPr>
              <w:jc w:val="center"/>
              <w:rPr>
                <w:sz w:val="16"/>
                <w:szCs w:val="16"/>
              </w:rPr>
            </w:pPr>
            <w:r>
              <w:rPr>
                <w:sz w:val="16"/>
                <w:szCs w:val="16"/>
              </w:rPr>
              <w:t>4</w:t>
            </w:r>
            <w:r w:rsidR="005C4A7F">
              <w:rPr>
                <w:sz w:val="16"/>
                <w:szCs w:val="16"/>
              </w:rPr>
              <w:t>8</w:t>
            </w:r>
          </w:p>
        </w:tc>
        <w:tc>
          <w:tcPr>
            <w:tcW w:w="4785" w:type="dxa"/>
            <w:shd w:val="clear" w:color="auto" w:fill="auto"/>
            <w:vAlign w:val="center"/>
          </w:tcPr>
          <w:p w14:paraId="62869B60" w14:textId="77777777" w:rsidR="00FB476A" w:rsidRPr="000303A4" w:rsidRDefault="00FB476A" w:rsidP="00F23970">
            <w:pPr>
              <w:tabs>
                <w:tab w:val="left" w:pos="1277"/>
              </w:tabs>
              <w:jc w:val="left"/>
              <w:rPr>
                <w:sz w:val="16"/>
                <w:szCs w:val="16"/>
              </w:rPr>
            </w:pPr>
            <w:r w:rsidRPr="000303A4">
              <w:rPr>
                <w:sz w:val="16"/>
                <w:szCs w:val="16"/>
              </w:rPr>
              <w:t>Carmen Mérida Coronado (Esposa)</w:t>
            </w:r>
          </w:p>
        </w:tc>
      </w:tr>
      <w:tr w:rsidR="00FB476A" w:rsidRPr="0068359D" w14:paraId="56517C86" w14:textId="77777777" w:rsidTr="003D3071">
        <w:tc>
          <w:tcPr>
            <w:tcW w:w="560" w:type="dxa"/>
            <w:vMerge/>
            <w:vAlign w:val="center"/>
          </w:tcPr>
          <w:p w14:paraId="62586307" w14:textId="77777777" w:rsidR="00FB476A" w:rsidRPr="000303A4" w:rsidRDefault="00FB476A" w:rsidP="003D3071">
            <w:pPr>
              <w:jc w:val="center"/>
              <w:rPr>
                <w:sz w:val="16"/>
                <w:szCs w:val="16"/>
              </w:rPr>
            </w:pPr>
          </w:p>
        </w:tc>
        <w:tc>
          <w:tcPr>
            <w:tcW w:w="3092" w:type="dxa"/>
            <w:vMerge/>
            <w:vAlign w:val="center"/>
          </w:tcPr>
          <w:p w14:paraId="73DBE878" w14:textId="77777777" w:rsidR="00FB476A" w:rsidRPr="000303A4" w:rsidRDefault="00FB476A" w:rsidP="00F23970">
            <w:pPr>
              <w:jc w:val="left"/>
              <w:rPr>
                <w:sz w:val="16"/>
                <w:szCs w:val="16"/>
              </w:rPr>
            </w:pPr>
          </w:p>
        </w:tc>
        <w:tc>
          <w:tcPr>
            <w:tcW w:w="567" w:type="dxa"/>
            <w:vAlign w:val="center"/>
          </w:tcPr>
          <w:p w14:paraId="56723722" w14:textId="4EBB4B33" w:rsidR="00FB476A" w:rsidRPr="000303A4" w:rsidRDefault="0009273C" w:rsidP="003D3071">
            <w:pPr>
              <w:jc w:val="center"/>
              <w:rPr>
                <w:sz w:val="16"/>
                <w:szCs w:val="16"/>
              </w:rPr>
            </w:pPr>
            <w:r>
              <w:rPr>
                <w:sz w:val="16"/>
                <w:szCs w:val="16"/>
              </w:rPr>
              <w:t>4</w:t>
            </w:r>
            <w:r w:rsidR="005C4A7F">
              <w:rPr>
                <w:sz w:val="16"/>
                <w:szCs w:val="16"/>
              </w:rPr>
              <w:t>9</w:t>
            </w:r>
          </w:p>
        </w:tc>
        <w:tc>
          <w:tcPr>
            <w:tcW w:w="4785" w:type="dxa"/>
            <w:shd w:val="clear" w:color="auto" w:fill="auto"/>
            <w:vAlign w:val="center"/>
          </w:tcPr>
          <w:p w14:paraId="76B9F0A2" w14:textId="77777777" w:rsidR="00FB476A" w:rsidRPr="000303A4" w:rsidRDefault="00FB476A" w:rsidP="00F23970">
            <w:pPr>
              <w:tabs>
                <w:tab w:val="left" w:pos="1277"/>
              </w:tabs>
              <w:jc w:val="left"/>
              <w:rPr>
                <w:sz w:val="16"/>
                <w:szCs w:val="16"/>
              </w:rPr>
            </w:pPr>
            <w:r w:rsidRPr="000303A4">
              <w:rPr>
                <w:sz w:val="16"/>
                <w:szCs w:val="16"/>
              </w:rPr>
              <w:t>Aníbal Leonel Rodas Mérida (Hijo)</w:t>
            </w:r>
          </w:p>
        </w:tc>
      </w:tr>
      <w:tr w:rsidR="00FB476A" w:rsidRPr="0068359D" w14:paraId="38E28923" w14:textId="77777777" w:rsidTr="003D3071">
        <w:tc>
          <w:tcPr>
            <w:tcW w:w="560" w:type="dxa"/>
            <w:vMerge/>
            <w:vAlign w:val="center"/>
          </w:tcPr>
          <w:p w14:paraId="0F22FC52" w14:textId="77777777" w:rsidR="00FB476A" w:rsidRPr="000303A4" w:rsidRDefault="00FB476A" w:rsidP="003D3071">
            <w:pPr>
              <w:jc w:val="center"/>
              <w:rPr>
                <w:sz w:val="16"/>
                <w:szCs w:val="16"/>
              </w:rPr>
            </w:pPr>
          </w:p>
        </w:tc>
        <w:tc>
          <w:tcPr>
            <w:tcW w:w="3092" w:type="dxa"/>
            <w:vMerge/>
            <w:vAlign w:val="center"/>
          </w:tcPr>
          <w:p w14:paraId="4C368EE2" w14:textId="77777777" w:rsidR="00FB476A" w:rsidRPr="000303A4" w:rsidRDefault="00FB476A" w:rsidP="00F23970">
            <w:pPr>
              <w:jc w:val="left"/>
              <w:rPr>
                <w:sz w:val="16"/>
                <w:szCs w:val="16"/>
              </w:rPr>
            </w:pPr>
          </w:p>
        </w:tc>
        <w:tc>
          <w:tcPr>
            <w:tcW w:w="567" w:type="dxa"/>
            <w:vAlign w:val="center"/>
          </w:tcPr>
          <w:p w14:paraId="64145DAC" w14:textId="7BB9D60A" w:rsidR="00FB476A" w:rsidRPr="000303A4" w:rsidRDefault="005C4A7F" w:rsidP="003D3071">
            <w:pPr>
              <w:jc w:val="center"/>
              <w:rPr>
                <w:sz w:val="16"/>
                <w:szCs w:val="16"/>
              </w:rPr>
            </w:pPr>
            <w:r>
              <w:rPr>
                <w:sz w:val="16"/>
                <w:szCs w:val="16"/>
              </w:rPr>
              <w:t>50</w:t>
            </w:r>
          </w:p>
        </w:tc>
        <w:tc>
          <w:tcPr>
            <w:tcW w:w="4785" w:type="dxa"/>
            <w:shd w:val="clear" w:color="auto" w:fill="auto"/>
            <w:vAlign w:val="center"/>
          </w:tcPr>
          <w:p w14:paraId="7C5A8D10" w14:textId="77777777" w:rsidR="00FB476A" w:rsidRPr="000303A4" w:rsidRDefault="00FB476A" w:rsidP="00F23970">
            <w:pPr>
              <w:tabs>
                <w:tab w:val="left" w:pos="1277"/>
              </w:tabs>
              <w:jc w:val="left"/>
              <w:rPr>
                <w:b/>
                <w:sz w:val="16"/>
                <w:szCs w:val="16"/>
              </w:rPr>
            </w:pPr>
            <w:r w:rsidRPr="000303A4">
              <w:rPr>
                <w:sz w:val="16"/>
                <w:szCs w:val="16"/>
              </w:rPr>
              <w:t>Clara Verónica Rodas Mérida (Hija)</w:t>
            </w:r>
          </w:p>
        </w:tc>
      </w:tr>
      <w:tr w:rsidR="00FB476A" w:rsidRPr="0068359D" w14:paraId="7EA4A264" w14:textId="77777777" w:rsidTr="003D3071">
        <w:tc>
          <w:tcPr>
            <w:tcW w:w="560" w:type="dxa"/>
            <w:vMerge/>
            <w:vAlign w:val="center"/>
          </w:tcPr>
          <w:p w14:paraId="65B3D3F6" w14:textId="77777777" w:rsidR="00FB476A" w:rsidRPr="000303A4" w:rsidRDefault="00FB476A" w:rsidP="003D3071">
            <w:pPr>
              <w:jc w:val="center"/>
              <w:rPr>
                <w:sz w:val="16"/>
                <w:szCs w:val="16"/>
              </w:rPr>
            </w:pPr>
          </w:p>
        </w:tc>
        <w:tc>
          <w:tcPr>
            <w:tcW w:w="3092" w:type="dxa"/>
            <w:vMerge/>
            <w:vAlign w:val="center"/>
          </w:tcPr>
          <w:p w14:paraId="3ED772D0" w14:textId="77777777" w:rsidR="00FB476A" w:rsidRPr="000303A4" w:rsidRDefault="00FB476A" w:rsidP="00F23970">
            <w:pPr>
              <w:jc w:val="left"/>
              <w:rPr>
                <w:sz w:val="16"/>
                <w:szCs w:val="16"/>
              </w:rPr>
            </w:pPr>
          </w:p>
        </w:tc>
        <w:tc>
          <w:tcPr>
            <w:tcW w:w="567" w:type="dxa"/>
            <w:vAlign w:val="center"/>
          </w:tcPr>
          <w:p w14:paraId="6A5C655C" w14:textId="00E553E0" w:rsidR="00FB476A" w:rsidRPr="000303A4" w:rsidRDefault="005C4A7F" w:rsidP="003D3071">
            <w:pPr>
              <w:jc w:val="center"/>
              <w:rPr>
                <w:sz w:val="16"/>
                <w:szCs w:val="16"/>
              </w:rPr>
            </w:pPr>
            <w:r>
              <w:rPr>
                <w:sz w:val="16"/>
                <w:szCs w:val="16"/>
              </w:rPr>
              <w:t>51</w:t>
            </w:r>
          </w:p>
        </w:tc>
        <w:tc>
          <w:tcPr>
            <w:tcW w:w="4785" w:type="dxa"/>
            <w:shd w:val="clear" w:color="auto" w:fill="auto"/>
            <w:vAlign w:val="center"/>
          </w:tcPr>
          <w:p w14:paraId="75A9656B" w14:textId="77777777" w:rsidR="00FB476A" w:rsidRPr="000303A4" w:rsidRDefault="00FB476A" w:rsidP="00F23970">
            <w:pPr>
              <w:tabs>
                <w:tab w:val="left" w:pos="1277"/>
              </w:tabs>
              <w:jc w:val="left"/>
              <w:rPr>
                <w:sz w:val="16"/>
                <w:szCs w:val="16"/>
              </w:rPr>
            </w:pPr>
            <w:r w:rsidRPr="000303A4">
              <w:rPr>
                <w:sz w:val="16"/>
                <w:szCs w:val="16"/>
              </w:rPr>
              <w:t>Sonia Maribel Rodas Mérida (Hija)</w:t>
            </w:r>
          </w:p>
        </w:tc>
      </w:tr>
      <w:tr w:rsidR="00FB476A" w:rsidRPr="0068359D" w14:paraId="0C1EBDBC" w14:textId="77777777" w:rsidTr="003D3071">
        <w:tc>
          <w:tcPr>
            <w:tcW w:w="560" w:type="dxa"/>
            <w:vMerge/>
            <w:vAlign w:val="center"/>
          </w:tcPr>
          <w:p w14:paraId="0CF6E585" w14:textId="77777777" w:rsidR="00FB476A" w:rsidRPr="000303A4" w:rsidRDefault="00FB476A" w:rsidP="003D3071">
            <w:pPr>
              <w:jc w:val="center"/>
              <w:rPr>
                <w:sz w:val="16"/>
                <w:szCs w:val="16"/>
              </w:rPr>
            </w:pPr>
          </w:p>
        </w:tc>
        <w:tc>
          <w:tcPr>
            <w:tcW w:w="3092" w:type="dxa"/>
            <w:vMerge/>
            <w:vAlign w:val="center"/>
          </w:tcPr>
          <w:p w14:paraId="76CFD749" w14:textId="77777777" w:rsidR="00FB476A" w:rsidRPr="000303A4" w:rsidRDefault="00FB476A" w:rsidP="00F23970">
            <w:pPr>
              <w:jc w:val="left"/>
              <w:rPr>
                <w:sz w:val="16"/>
                <w:szCs w:val="16"/>
              </w:rPr>
            </w:pPr>
          </w:p>
        </w:tc>
        <w:tc>
          <w:tcPr>
            <w:tcW w:w="567" w:type="dxa"/>
            <w:vAlign w:val="center"/>
          </w:tcPr>
          <w:p w14:paraId="1E82FFA9" w14:textId="476C6740" w:rsidR="00FB476A" w:rsidRPr="000303A4" w:rsidRDefault="0009273C" w:rsidP="003D3071">
            <w:pPr>
              <w:jc w:val="center"/>
              <w:rPr>
                <w:sz w:val="16"/>
                <w:szCs w:val="16"/>
              </w:rPr>
            </w:pPr>
            <w:r>
              <w:rPr>
                <w:sz w:val="16"/>
                <w:szCs w:val="16"/>
              </w:rPr>
              <w:t>5</w:t>
            </w:r>
            <w:r w:rsidR="005C4A7F">
              <w:rPr>
                <w:sz w:val="16"/>
                <w:szCs w:val="16"/>
              </w:rPr>
              <w:t>2</w:t>
            </w:r>
          </w:p>
        </w:tc>
        <w:tc>
          <w:tcPr>
            <w:tcW w:w="4785" w:type="dxa"/>
            <w:shd w:val="clear" w:color="auto" w:fill="auto"/>
            <w:vAlign w:val="center"/>
          </w:tcPr>
          <w:p w14:paraId="2296BEB4" w14:textId="77777777" w:rsidR="00FB476A" w:rsidRPr="000303A4" w:rsidRDefault="00FB476A" w:rsidP="00F23970">
            <w:pPr>
              <w:tabs>
                <w:tab w:val="left" w:pos="1277"/>
              </w:tabs>
              <w:jc w:val="left"/>
              <w:rPr>
                <w:sz w:val="16"/>
                <w:szCs w:val="16"/>
              </w:rPr>
            </w:pPr>
            <w:r w:rsidRPr="000303A4">
              <w:rPr>
                <w:sz w:val="16"/>
                <w:szCs w:val="16"/>
              </w:rPr>
              <w:t>Braulio Adán Rodas Mérida (Hijo)</w:t>
            </w:r>
          </w:p>
        </w:tc>
      </w:tr>
      <w:tr w:rsidR="00FB476A" w:rsidRPr="0068359D" w14:paraId="13F279F7" w14:textId="77777777" w:rsidTr="003D3071">
        <w:tc>
          <w:tcPr>
            <w:tcW w:w="560" w:type="dxa"/>
            <w:vMerge/>
            <w:vAlign w:val="center"/>
          </w:tcPr>
          <w:p w14:paraId="12618D92" w14:textId="77777777" w:rsidR="00FB476A" w:rsidRPr="000303A4" w:rsidRDefault="00FB476A" w:rsidP="003D3071">
            <w:pPr>
              <w:jc w:val="center"/>
              <w:rPr>
                <w:sz w:val="16"/>
                <w:szCs w:val="16"/>
              </w:rPr>
            </w:pPr>
          </w:p>
        </w:tc>
        <w:tc>
          <w:tcPr>
            <w:tcW w:w="3092" w:type="dxa"/>
            <w:vMerge/>
            <w:vAlign w:val="center"/>
          </w:tcPr>
          <w:p w14:paraId="4380DD53" w14:textId="77777777" w:rsidR="00FB476A" w:rsidRPr="000303A4" w:rsidRDefault="00FB476A" w:rsidP="00F23970">
            <w:pPr>
              <w:jc w:val="left"/>
              <w:rPr>
                <w:sz w:val="16"/>
                <w:szCs w:val="16"/>
              </w:rPr>
            </w:pPr>
          </w:p>
        </w:tc>
        <w:tc>
          <w:tcPr>
            <w:tcW w:w="567" w:type="dxa"/>
            <w:vAlign w:val="center"/>
          </w:tcPr>
          <w:p w14:paraId="41B79756" w14:textId="3AA9C119" w:rsidR="00FB476A" w:rsidRPr="000303A4" w:rsidRDefault="0009273C" w:rsidP="003D3071">
            <w:pPr>
              <w:jc w:val="center"/>
              <w:rPr>
                <w:sz w:val="16"/>
                <w:szCs w:val="16"/>
              </w:rPr>
            </w:pPr>
            <w:r>
              <w:rPr>
                <w:sz w:val="16"/>
                <w:szCs w:val="16"/>
              </w:rPr>
              <w:t>5</w:t>
            </w:r>
            <w:r w:rsidR="005C4A7F">
              <w:rPr>
                <w:sz w:val="16"/>
                <w:szCs w:val="16"/>
              </w:rPr>
              <w:t>3</w:t>
            </w:r>
          </w:p>
        </w:tc>
        <w:tc>
          <w:tcPr>
            <w:tcW w:w="4785" w:type="dxa"/>
            <w:shd w:val="clear" w:color="auto" w:fill="auto"/>
            <w:vAlign w:val="center"/>
          </w:tcPr>
          <w:p w14:paraId="3B35A472" w14:textId="77777777" w:rsidR="00FB476A" w:rsidRPr="000303A4" w:rsidRDefault="00FB476A" w:rsidP="00F23970">
            <w:pPr>
              <w:tabs>
                <w:tab w:val="left" w:pos="1277"/>
              </w:tabs>
              <w:jc w:val="left"/>
              <w:rPr>
                <w:sz w:val="16"/>
                <w:szCs w:val="16"/>
              </w:rPr>
            </w:pPr>
            <w:r w:rsidRPr="000303A4">
              <w:rPr>
                <w:sz w:val="16"/>
                <w:szCs w:val="16"/>
              </w:rPr>
              <w:t>Andy Alberto Rodas Mérida (Hijo)</w:t>
            </w:r>
          </w:p>
        </w:tc>
      </w:tr>
      <w:tr w:rsidR="00FB476A" w:rsidRPr="0068359D" w14:paraId="12E8CBC9" w14:textId="77777777" w:rsidTr="003D3071">
        <w:tc>
          <w:tcPr>
            <w:tcW w:w="560" w:type="dxa"/>
            <w:vMerge/>
            <w:vAlign w:val="center"/>
          </w:tcPr>
          <w:p w14:paraId="583DB652" w14:textId="77777777" w:rsidR="00FB476A" w:rsidRPr="000303A4" w:rsidRDefault="00FB476A" w:rsidP="003D3071">
            <w:pPr>
              <w:jc w:val="center"/>
              <w:rPr>
                <w:sz w:val="16"/>
                <w:szCs w:val="16"/>
              </w:rPr>
            </w:pPr>
          </w:p>
        </w:tc>
        <w:tc>
          <w:tcPr>
            <w:tcW w:w="3092" w:type="dxa"/>
            <w:vMerge/>
            <w:vAlign w:val="center"/>
          </w:tcPr>
          <w:p w14:paraId="52884D77" w14:textId="77777777" w:rsidR="00FB476A" w:rsidRPr="000303A4" w:rsidRDefault="00FB476A" w:rsidP="00F23970">
            <w:pPr>
              <w:jc w:val="left"/>
              <w:rPr>
                <w:sz w:val="16"/>
                <w:szCs w:val="16"/>
              </w:rPr>
            </w:pPr>
          </w:p>
        </w:tc>
        <w:tc>
          <w:tcPr>
            <w:tcW w:w="567" w:type="dxa"/>
            <w:vAlign w:val="center"/>
          </w:tcPr>
          <w:p w14:paraId="5210BABA" w14:textId="49842549" w:rsidR="00FB476A" w:rsidRPr="000303A4" w:rsidRDefault="0009273C" w:rsidP="003D3071">
            <w:pPr>
              <w:jc w:val="center"/>
              <w:rPr>
                <w:sz w:val="16"/>
                <w:szCs w:val="16"/>
              </w:rPr>
            </w:pPr>
            <w:r>
              <w:rPr>
                <w:sz w:val="16"/>
                <w:szCs w:val="16"/>
              </w:rPr>
              <w:t>5</w:t>
            </w:r>
            <w:r w:rsidR="005C4A7F">
              <w:rPr>
                <w:sz w:val="16"/>
                <w:szCs w:val="16"/>
              </w:rPr>
              <w:t>4</w:t>
            </w:r>
          </w:p>
        </w:tc>
        <w:tc>
          <w:tcPr>
            <w:tcW w:w="4785" w:type="dxa"/>
            <w:shd w:val="clear" w:color="auto" w:fill="auto"/>
            <w:vAlign w:val="center"/>
          </w:tcPr>
          <w:p w14:paraId="66D84C02" w14:textId="77777777" w:rsidR="00FB476A" w:rsidRPr="000303A4" w:rsidRDefault="00FB476A" w:rsidP="00F23970">
            <w:pPr>
              <w:tabs>
                <w:tab w:val="left" w:pos="1277"/>
              </w:tabs>
              <w:jc w:val="left"/>
              <w:rPr>
                <w:sz w:val="16"/>
                <w:szCs w:val="16"/>
              </w:rPr>
            </w:pPr>
            <w:r w:rsidRPr="000303A4">
              <w:rPr>
                <w:sz w:val="16"/>
                <w:szCs w:val="16"/>
              </w:rPr>
              <w:t>Walter Audencio Rodas Mérida (Hijo)</w:t>
            </w:r>
          </w:p>
        </w:tc>
      </w:tr>
      <w:tr w:rsidR="00FB476A" w:rsidRPr="0068359D" w14:paraId="266AC233" w14:textId="77777777" w:rsidTr="003D3071">
        <w:tc>
          <w:tcPr>
            <w:tcW w:w="560" w:type="dxa"/>
            <w:vMerge/>
            <w:vAlign w:val="center"/>
          </w:tcPr>
          <w:p w14:paraId="07DE9672" w14:textId="77777777" w:rsidR="00FB476A" w:rsidRPr="000303A4" w:rsidRDefault="00FB476A" w:rsidP="003D3071">
            <w:pPr>
              <w:jc w:val="center"/>
              <w:rPr>
                <w:sz w:val="16"/>
                <w:szCs w:val="16"/>
              </w:rPr>
            </w:pPr>
          </w:p>
        </w:tc>
        <w:tc>
          <w:tcPr>
            <w:tcW w:w="3092" w:type="dxa"/>
            <w:vMerge/>
            <w:vAlign w:val="center"/>
          </w:tcPr>
          <w:p w14:paraId="013E3E47" w14:textId="77777777" w:rsidR="00FB476A" w:rsidRPr="000303A4" w:rsidRDefault="00FB476A" w:rsidP="00F23970">
            <w:pPr>
              <w:jc w:val="left"/>
              <w:rPr>
                <w:sz w:val="16"/>
                <w:szCs w:val="16"/>
              </w:rPr>
            </w:pPr>
          </w:p>
        </w:tc>
        <w:tc>
          <w:tcPr>
            <w:tcW w:w="567" w:type="dxa"/>
            <w:vAlign w:val="center"/>
          </w:tcPr>
          <w:p w14:paraId="4BE7D95F" w14:textId="5C5D1AA5" w:rsidR="00FB476A" w:rsidRPr="000303A4" w:rsidRDefault="0009273C" w:rsidP="003D3071">
            <w:pPr>
              <w:jc w:val="center"/>
              <w:rPr>
                <w:sz w:val="16"/>
                <w:szCs w:val="16"/>
              </w:rPr>
            </w:pPr>
            <w:r>
              <w:rPr>
                <w:sz w:val="16"/>
                <w:szCs w:val="16"/>
              </w:rPr>
              <w:t>5</w:t>
            </w:r>
            <w:r w:rsidR="005C4A7F">
              <w:rPr>
                <w:sz w:val="16"/>
                <w:szCs w:val="16"/>
              </w:rPr>
              <w:t>5</w:t>
            </w:r>
          </w:p>
        </w:tc>
        <w:tc>
          <w:tcPr>
            <w:tcW w:w="4785" w:type="dxa"/>
            <w:shd w:val="clear" w:color="auto" w:fill="auto"/>
            <w:vAlign w:val="center"/>
          </w:tcPr>
          <w:p w14:paraId="188AF878" w14:textId="77777777" w:rsidR="00FB476A" w:rsidRPr="000303A4" w:rsidRDefault="00FB476A" w:rsidP="00F23970">
            <w:pPr>
              <w:tabs>
                <w:tab w:val="left" w:pos="1277"/>
              </w:tabs>
              <w:jc w:val="left"/>
              <w:rPr>
                <w:sz w:val="16"/>
                <w:szCs w:val="16"/>
              </w:rPr>
            </w:pPr>
            <w:r w:rsidRPr="000303A4">
              <w:rPr>
                <w:sz w:val="16"/>
                <w:szCs w:val="16"/>
              </w:rPr>
              <w:t>Flor de María Rodas Mérida (Hija)</w:t>
            </w:r>
          </w:p>
        </w:tc>
      </w:tr>
      <w:tr w:rsidR="00FB476A" w:rsidRPr="0068359D" w14:paraId="56AC7BC0" w14:textId="77777777" w:rsidTr="003D3071">
        <w:tc>
          <w:tcPr>
            <w:tcW w:w="560" w:type="dxa"/>
            <w:vMerge/>
            <w:vAlign w:val="center"/>
          </w:tcPr>
          <w:p w14:paraId="68A8F79D" w14:textId="77777777" w:rsidR="00FB476A" w:rsidRPr="000303A4" w:rsidRDefault="00FB476A" w:rsidP="003D3071">
            <w:pPr>
              <w:jc w:val="center"/>
              <w:rPr>
                <w:sz w:val="16"/>
                <w:szCs w:val="16"/>
              </w:rPr>
            </w:pPr>
          </w:p>
        </w:tc>
        <w:tc>
          <w:tcPr>
            <w:tcW w:w="3092" w:type="dxa"/>
            <w:vMerge/>
            <w:vAlign w:val="center"/>
          </w:tcPr>
          <w:p w14:paraId="3530411D" w14:textId="77777777" w:rsidR="00FB476A" w:rsidRPr="000303A4" w:rsidRDefault="00FB476A" w:rsidP="00F23970">
            <w:pPr>
              <w:jc w:val="left"/>
              <w:rPr>
                <w:sz w:val="16"/>
                <w:szCs w:val="16"/>
              </w:rPr>
            </w:pPr>
          </w:p>
        </w:tc>
        <w:tc>
          <w:tcPr>
            <w:tcW w:w="567" w:type="dxa"/>
            <w:vAlign w:val="center"/>
          </w:tcPr>
          <w:p w14:paraId="173ED1C6" w14:textId="372D2A72" w:rsidR="00FB476A" w:rsidRPr="000303A4" w:rsidRDefault="0009273C" w:rsidP="003D3071">
            <w:pPr>
              <w:jc w:val="center"/>
              <w:rPr>
                <w:sz w:val="16"/>
                <w:szCs w:val="16"/>
              </w:rPr>
            </w:pPr>
            <w:r>
              <w:rPr>
                <w:sz w:val="16"/>
                <w:szCs w:val="16"/>
              </w:rPr>
              <w:t>5</w:t>
            </w:r>
            <w:r w:rsidR="005C4A7F">
              <w:rPr>
                <w:sz w:val="16"/>
                <w:szCs w:val="16"/>
              </w:rPr>
              <w:t>6</w:t>
            </w:r>
          </w:p>
        </w:tc>
        <w:tc>
          <w:tcPr>
            <w:tcW w:w="4785" w:type="dxa"/>
            <w:shd w:val="clear" w:color="auto" w:fill="auto"/>
            <w:vAlign w:val="center"/>
          </w:tcPr>
          <w:p w14:paraId="60026368" w14:textId="77777777" w:rsidR="00FB476A" w:rsidRPr="000303A4" w:rsidRDefault="00FB476A" w:rsidP="00F23970">
            <w:pPr>
              <w:tabs>
                <w:tab w:val="left" w:pos="1277"/>
              </w:tabs>
              <w:jc w:val="left"/>
              <w:rPr>
                <w:sz w:val="16"/>
                <w:szCs w:val="16"/>
              </w:rPr>
            </w:pPr>
            <w:r w:rsidRPr="000303A4">
              <w:rPr>
                <w:sz w:val="16"/>
                <w:szCs w:val="16"/>
              </w:rPr>
              <w:t>María Magdalena Rodas Mérida (Hija)</w:t>
            </w:r>
          </w:p>
        </w:tc>
      </w:tr>
      <w:tr w:rsidR="00FB476A" w:rsidRPr="0068359D" w14:paraId="160B6DD3" w14:textId="77777777" w:rsidTr="003D3071">
        <w:tc>
          <w:tcPr>
            <w:tcW w:w="560" w:type="dxa"/>
            <w:vMerge w:val="restart"/>
            <w:vAlign w:val="center"/>
          </w:tcPr>
          <w:p w14:paraId="32144EF7" w14:textId="77777777" w:rsidR="00FB476A" w:rsidRPr="000303A4" w:rsidRDefault="00FB476A" w:rsidP="003D3071">
            <w:pPr>
              <w:jc w:val="center"/>
              <w:rPr>
                <w:sz w:val="16"/>
                <w:szCs w:val="16"/>
              </w:rPr>
            </w:pPr>
            <w:r w:rsidRPr="000303A4">
              <w:rPr>
                <w:sz w:val="16"/>
                <w:szCs w:val="16"/>
              </w:rPr>
              <w:t>40</w:t>
            </w:r>
          </w:p>
        </w:tc>
        <w:tc>
          <w:tcPr>
            <w:tcW w:w="3092" w:type="dxa"/>
            <w:vMerge w:val="restart"/>
            <w:vAlign w:val="center"/>
          </w:tcPr>
          <w:p w14:paraId="502627E1" w14:textId="5232968F" w:rsidR="00FB476A" w:rsidRPr="000303A4" w:rsidRDefault="00FB476A" w:rsidP="00F23970">
            <w:pPr>
              <w:jc w:val="left"/>
              <w:rPr>
                <w:sz w:val="16"/>
                <w:szCs w:val="16"/>
              </w:rPr>
            </w:pPr>
            <w:r>
              <w:rPr>
                <w:sz w:val="16"/>
                <w:szCs w:val="16"/>
              </w:rPr>
              <w:t>Zoila Marina Pérez Ruí</w:t>
            </w:r>
            <w:r w:rsidRPr="000303A4">
              <w:rPr>
                <w:sz w:val="16"/>
                <w:szCs w:val="16"/>
              </w:rPr>
              <w:t>z</w:t>
            </w:r>
          </w:p>
        </w:tc>
        <w:tc>
          <w:tcPr>
            <w:tcW w:w="567" w:type="dxa"/>
            <w:vAlign w:val="center"/>
          </w:tcPr>
          <w:p w14:paraId="62D4CDE2" w14:textId="635C0526" w:rsidR="00FB476A" w:rsidRPr="000303A4" w:rsidRDefault="0009273C" w:rsidP="003D3071">
            <w:pPr>
              <w:jc w:val="center"/>
              <w:rPr>
                <w:sz w:val="16"/>
                <w:szCs w:val="16"/>
              </w:rPr>
            </w:pPr>
            <w:r>
              <w:rPr>
                <w:sz w:val="16"/>
                <w:szCs w:val="16"/>
              </w:rPr>
              <w:t>5</w:t>
            </w:r>
            <w:r w:rsidR="005C4A7F">
              <w:rPr>
                <w:sz w:val="16"/>
                <w:szCs w:val="16"/>
              </w:rPr>
              <w:t>7</w:t>
            </w:r>
          </w:p>
        </w:tc>
        <w:tc>
          <w:tcPr>
            <w:tcW w:w="4785" w:type="dxa"/>
            <w:vAlign w:val="center"/>
          </w:tcPr>
          <w:p w14:paraId="18EB4D91" w14:textId="3D631064" w:rsidR="00FB476A" w:rsidRPr="000303A4" w:rsidRDefault="00FB476A" w:rsidP="00CC6C64">
            <w:pPr>
              <w:jc w:val="left"/>
              <w:rPr>
                <w:sz w:val="16"/>
                <w:szCs w:val="16"/>
              </w:rPr>
            </w:pPr>
            <w:r w:rsidRPr="000303A4">
              <w:rPr>
                <w:sz w:val="16"/>
                <w:szCs w:val="16"/>
              </w:rPr>
              <w:t>Jhony Francisco Vald</w:t>
            </w:r>
            <w:r>
              <w:rPr>
                <w:sz w:val="16"/>
                <w:szCs w:val="16"/>
              </w:rPr>
              <w:t>é</w:t>
            </w:r>
            <w:r w:rsidRPr="000303A4">
              <w:rPr>
                <w:sz w:val="16"/>
                <w:szCs w:val="16"/>
              </w:rPr>
              <w:t>z Pérez (Hijo)</w:t>
            </w:r>
          </w:p>
        </w:tc>
      </w:tr>
      <w:tr w:rsidR="00FB476A" w:rsidRPr="0068359D" w14:paraId="54BA5AC8" w14:textId="77777777" w:rsidTr="003D3071">
        <w:tc>
          <w:tcPr>
            <w:tcW w:w="560" w:type="dxa"/>
            <w:vMerge/>
            <w:vAlign w:val="center"/>
          </w:tcPr>
          <w:p w14:paraId="4F80E954" w14:textId="77777777" w:rsidR="00FB476A" w:rsidRPr="000303A4" w:rsidRDefault="00FB476A" w:rsidP="003D3071">
            <w:pPr>
              <w:jc w:val="center"/>
              <w:rPr>
                <w:sz w:val="16"/>
                <w:szCs w:val="16"/>
              </w:rPr>
            </w:pPr>
          </w:p>
        </w:tc>
        <w:tc>
          <w:tcPr>
            <w:tcW w:w="3092" w:type="dxa"/>
            <w:vMerge/>
            <w:vAlign w:val="center"/>
          </w:tcPr>
          <w:p w14:paraId="1F8425C4" w14:textId="77777777" w:rsidR="00FB476A" w:rsidRPr="000303A4" w:rsidRDefault="00FB476A" w:rsidP="00F23970">
            <w:pPr>
              <w:jc w:val="left"/>
              <w:rPr>
                <w:sz w:val="16"/>
                <w:szCs w:val="16"/>
              </w:rPr>
            </w:pPr>
          </w:p>
        </w:tc>
        <w:tc>
          <w:tcPr>
            <w:tcW w:w="567" w:type="dxa"/>
            <w:vAlign w:val="center"/>
          </w:tcPr>
          <w:p w14:paraId="2BA99969" w14:textId="64D2F9CB" w:rsidR="00FB476A" w:rsidRPr="000303A4" w:rsidRDefault="0009273C" w:rsidP="003D3071">
            <w:pPr>
              <w:jc w:val="center"/>
              <w:rPr>
                <w:sz w:val="16"/>
                <w:szCs w:val="16"/>
              </w:rPr>
            </w:pPr>
            <w:r>
              <w:rPr>
                <w:sz w:val="16"/>
                <w:szCs w:val="16"/>
              </w:rPr>
              <w:t>5</w:t>
            </w:r>
            <w:r w:rsidR="005C4A7F">
              <w:rPr>
                <w:sz w:val="16"/>
                <w:szCs w:val="16"/>
              </w:rPr>
              <w:t>8</w:t>
            </w:r>
          </w:p>
        </w:tc>
        <w:tc>
          <w:tcPr>
            <w:tcW w:w="4785" w:type="dxa"/>
            <w:vAlign w:val="center"/>
          </w:tcPr>
          <w:p w14:paraId="246F1661" w14:textId="30DD7A25" w:rsidR="00FB476A" w:rsidRPr="000303A4" w:rsidRDefault="00FB476A" w:rsidP="00F23970">
            <w:pPr>
              <w:jc w:val="left"/>
              <w:rPr>
                <w:sz w:val="16"/>
                <w:szCs w:val="16"/>
              </w:rPr>
            </w:pPr>
            <w:r>
              <w:rPr>
                <w:sz w:val="16"/>
                <w:szCs w:val="16"/>
              </w:rPr>
              <w:t>Boni Kennedy Valdé</w:t>
            </w:r>
            <w:r w:rsidRPr="000303A4">
              <w:rPr>
                <w:sz w:val="16"/>
                <w:szCs w:val="16"/>
              </w:rPr>
              <w:t>z Pérez (Hija)</w:t>
            </w:r>
          </w:p>
        </w:tc>
      </w:tr>
      <w:tr w:rsidR="00FB476A" w:rsidRPr="0068359D" w14:paraId="7B3C9073" w14:textId="77777777" w:rsidTr="003D3071">
        <w:tc>
          <w:tcPr>
            <w:tcW w:w="560" w:type="dxa"/>
            <w:vMerge/>
            <w:vAlign w:val="center"/>
          </w:tcPr>
          <w:p w14:paraId="0C3998CE" w14:textId="77777777" w:rsidR="00FB476A" w:rsidRPr="000303A4" w:rsidRDefault="00FB476A" w:rsidP="003D3071">
            <w:pPr>
              <w:jc w:val="center"/>
              <w:rPr>
                <w:sz w:val="16"/>
                <w:szCs w:val="16"/>
              </w:rPr>
            </w:pPr>
          </w:p>
        </w:tc>
        <w:tc>
          <w:tcPr>
            <w:tcW w:w="3092" w:type="dxa"/>
            <w:vMerge/>
            <w:vAlign w:val="center"/>
          </w:tcPr>
          <w:p w14:paraId="18A7CAC4" w14:textId="77777777" w:rsidR="00FB476A" w:rsidRPr="000303A4" w:rsidRDefault="00FB476A" w:rsidP="00F23970">
            <w:pPr>
              <w:jc w:val="left"/>
              <w:rPr>
                <w:sz w:val="16"/>
                <w:szCs w:val="16"/>
              </w:rPr>
            </w:pPr>
          </w:p>
        </w:tc>
        <w:tc>
          <w:tcPr>
            <w:tcW w:w="567" w:type="dxa"/>
            <w:vAlign w:val="center"/>
          </w:tcPr>
          <w:p w14:paraId="781A6FF5" w14:textId="1C42B3BF" w:rsidR="00FB476A" w:rsidRPr="000303A4" w:rsidRDefault="0009273C" w:rsidP="003D3071">
            <w:pPr>
              <w:jc w:val="center"/>
              <w:rPr>
                <w:sz w:val="16"/>
                <w:szCs w:val="16"/>
              </w:rPr>
            </w:pPr>
            <w:r>
              <w:rPr>
                <w:sz w:val="16"/>
                <w:szCs w:val="16"/>
              </w:rPr>
              <w:t>5</w:t>
            </w:r>
            <w:r w:rsidR="005C4A7F">
              <w:rPr>
                <w:sz w:val="16"/>
                <w:szCs w:val="16"/>
              </w:rPr>
              <w:t>9</w:t>
            </w:r>
          </w:p>
        </w:tc>
        <w:tc>
          <w:tcPr>
            <w:tcW w:w="4785" w:type="dxa"/>
            <w:vAlign w:val="center"/>
          </w:tcPr>
          <w:p w14:paraId="2945F108" w14:textId="0820533C" w:rsidR="00FB476A" w:rsidRPr="000303A4" w:rsidRDefault="00FB476A" w:rsidP="00F23970">
            <w:pPr>
              <w:jc w:val="left"/>
              <w:rPr>
                <w:sz w:val="16"/>
                <w:szCs w:val="16"/>
              </w:rPr>
            </w:pPr>
            <w:r>
              <w:rPr>
                <w:sz w:val="16"/>
                <w:szCs w:val="16"/>
              </w:rPr>
              <w:t>Zoila Argentina Valdé</w:t>
            </w:r>
            <w:r w:rsidRPr="000303A4">
              <w:rPr>
                <w:sz w:val="16"/>
                <w:szCs w:val="16"/>
              </w:rPr>
              <w:t>z Pérez (Hija)</w:t>
            </w:r>
          </w:p>
        </w:tc>
      </w:tr>
      <w:tr w:rsidR="00FB476A" w:rsidRPr="0068359D" w14:paraId="62A8266E" w14:textId="77777777" w:rsidTr="003D3071">
        <w:tc>
          <w:tcPr>
            <w:tcW w:w="560" w:type="dxa"/>
            <w:vMerge/>
            <w:vAlign w:val="center"/>
          </w:tcPr>
          <w:p w14:paraId="5D7E9618" w14:textId="77777777" w:rsidR="00FB476A" w:rsidRPr="000303A4" w:rsidRDefault="00FB476A" w:rsidP="003D3071">
            <w:pPr>
              <w:jc w:val="center"/>
              <w:rPr>
                <w:sz w:val="16"/>
                <w:szCs w:val="16"/>
              </w:rPr>
            </w:pPr>
          </w:p>
        </w:tc>
        <w:tc>
          <w:tcPr>
            <w:tcW w:w="3092" w:type="dxa"/>
            <w:vMerge/>
            <w:vAlign w:val="center"/>
          </w:tcPr>
          <w:p w14:paraId="5C50FC65" w14:textId="77777777" w:rsidR="00FB476A" w:rsidRPr="000303A4" w:rsidRDefault="00FB476A" w:rsidP="00F23970">
            <w:pPr>
              <w:jc w:val="left"/>
              <w:rPr>
                <w:sz w:val="16"/>
                <w:szCs w:val="16"/>
              </w:rPr>
            </w:pPr>
          </w:p>
        </w:tc>
        <w:tc>
          <w:tcPr>
            <w:tcW w:w="567" w:type="dxa"/>
            <w:vAlign w:val="center"/>
          </w:tcPr>
          <w:p w14:paraId="29EF9B30" w14:textId="47A7EE30" w:rsidR="00FB476A" w:rsidRPr="000303A4" w:rsidRDefault="005C4A7F" w:rsidP="003D3071">
            <w:pPr>
              <w:jc w:val="center"/>
              <w:rPr>
                <w:sz w:val="16"/>
                <w:szCs w:val="16"/>
              </w:rPr>
            </w:pPr>
            <w:r>
              <w:rPr>
                <w:sz w:val="16"/>
                <w:szCs w:val="16"/>
              </w:rPr>
              <w:t>60</w:t>
            </w:r>
          </w:p>
        </w:tc>
        <w:tc>
          <w:tcPr>
            <w:tcW w:w="4785" w:type="dxa"/>
            <w:vAlign w:val="center"/>
          </w:tcPr>
          <w:p w14:paraId="68215AE0" w14:textId="5207248C" w:rsidR="00FB476A" w:rsidRPr="000303A4" w:rsidRDefault="00FB476A" w:rsidP="00F23970">
            <w:pPr>
              <w:jc w:val="left"/>
              <w:rPr>
                <w:sz w:val="16"/>
                <w:szCs w:val="16"/>
              </w:rPr>
            </w:pPr>
            <w:r>
              <w:rPr>
                <w:sz w:val="16"/>
                <w:szCs w:val="16"/>
              </w:rPr>
              <w:t>Nelson Gudiel Valdé</w:t>
            </w:r>
            <w:r w:rsidRPr="000303A4">
              <w:rPr>
                <w:sz w:val="16"/>
                <w:szCs w:val="16"/>
              </w:rPr>
              <w:t>z Pérez (Hijo)</w:t>
            </w:r>
          </w:p>
        </w:tc>
      </w:tr>
      <w:tr w:rsidR="00FB476A" w:rsidRPr="0068359D" w14:paraId="1FF411E4" w14:textId="77777777" w:rsidTr="003D3071">
        <w:tc>
          <w:tcPr>
            <w:tcW w:w="560" w:type="dxa"/>
            <w:vMerge/>
            <w:vAlign w:val="center"/>
          </w:tcPr>
          <w:p w14:paraId="6998B062" w14:textId="77777777" w:rsidR="00FB476A" w:rsidRPr="000303A4" w:rsidRDefault="00FB476A" w:rsidP="003D3071">
            <w:pPr>
              <w:jc w:val="center"/>
              <w:rPr>
                <w:sz w:val="16"/>
                <w:szCs w:val="16"/>
              </w:rPr>
            </w:pPr>
          </w:p>
        </w:tc>
        <w:tc>
          <w:tcPr>
            <w:tcW w:w="3092" w:type="dxa"/>
            <w:vMerge/>
            <w:vAlign w:val="center"/>
          </w:tcPr>
          <w:p w14:paraId="21B396AA" w14:textId="77777777" w:rsidR="00FB476A" w:rsidRPr="000303A4" w:rsidRDefault="00FB476A" w:rsidP="00F23970">
            <w:pPr>
              <w:jc w:val="left"/>
              <w:rPr>
                <w:sz w:val="16"/>
                <w:szCs w:val="16"/>
              </w:rPr>
            </w:pPr>
          </w:p>
        </w:tc>
        <w:tc>
          <w:tcPr>
            <w:tcW w:w="567" w:type="dxa"/>
            <w:vAlign w:val="center"/>
          </w:tcPr>
          <w:p w14:paraId="01A7C34A" w14:textId="67D2547C" w:rsidR="00FB476A" w:rsidRPr="000303A4" w:rsidRDefault="005C4A7F" w:rsidP="003D3071">
            <w:pPr>
              <w:jc w:val="center"/>
              <w:rPr>
                <w:sz w:val="16"/>
                <w:szCs w:val="16"/>
              </w:rPr>
            </w:pPr>
            <w:r>
              <w:rPr>
                <w:sz w:val="16"/>
                <w:szCs w:val="16"/>
              </w:rPr>
              <w:t>61</w:t>
            </w:r>
          </w:p>
        </w:tc>
        <w:tc>
          <w:tcPr>
            <w:tcW w:w="4785" w:type="dxa"/>
            <w:vAlign w:val="center"/>
          </w:tcPr>
          <w:p w14:paraId="1BFBA4F5" w14:textId="6BEB5C16" w:rsidR="00FB476A" w:rsidRPr="000303A4" w:rsidRDefault="00FB476A" w:rsidP="00F23970">
            <w:pPr>
              <w:jc w:val="left"/>
              <w:rPr>
                <w:sz w:val="16"/>
                <w:szCs w:val="16"/>
              </w:rPr>
            </w:pPr>
            <w:r>
              <w:rPr>
                <w:sz w:val="16"/>
                <w:szCs w:val="16"/>
              </w:rPr>
              <w:t>Nancy Beatriz Valdé</w:t>
            </w:r>
            <w:r w:rsidRPr="000303A4">
              <w:rPr>
                <w:sz w:val="16"/>
                <w:szCs w:val="16"/>
              </w:rPr>
              <w:t>z Pérez (Hija)</w:t>
            </w:r>
          </w:p>
        </w:tc>
      </w:tr>
      <w:tr w:rsidR="00FB476A" w:rsidRPr="0068359D" w14:paraId="2775B6EB" w14:textId="77777777" w:rsidTr="003D3071">
        <w:tc>
          <w:tcPr>
            <w:tcW w:w="560" w:type="dxa"/>
            <w:vMerge/>
            <w:vAlign w:val="center"/>
          </w:tcPr>
          <w:p w14:paraId="60AE2D88" w14:textId="77777777" w:rsidR="00FB476A" w:rsidRPr="000303A4" w:rsidRDefault="00FB476A" w:rsidP="003D3071">
            <w:pPr>
              <w:jc w:val="center"/>
              <w:rPr>
                <w:sz w:val="16"/>
                <w:szCs w:val="16"/>
              </w:rPr>
            </w:pPr>
          </w:p>
        </w:tc>
        <w:tc>
          <w:tcPr>
            <w:tcW w:w="3092" w:type="dxa"/>
            <w:vMerge/>
            <w:vAlign w:val="center"/>
          </w:tcPr>
          <w:p w14:paraId="15159F56" w14:textId="77777777" w:rsidR="00FB476A" w:rsidRPr="000303A4" w:rsidRDefault="00FB476A" w:rsidP="00F23970">
            <w:pPr>
              <w:jc w:val="left"/>
              <w:rPr>
                <w:sz w:val="16"/>
                <w:szCs w:val="16"/>
              </w:rPr>
            </w:pPr>
          </w:p>
        </w:tc>
        <w:tc>
          <w:tcPr>
            <w:tcW w:w="567" w:type="dxa"/>
            <w:vAlign w:val="center"/>
          </w:tcPr>
          <w:p w14:paraId="798E736A" w14:textId="1E037BDB" w:rsidR="00FB476A" w:rsidRPr="000303A4" w:rsidRDefault="0009273C" w:rsidP="003D3071">
            <w:pPr>
              <w:jc w:val="center"/>
              <w:rPr>
                <w:sz w:val="16"/>
                <w:szCs w:val="16"/>
              </w:rPr>
            </w:pPr>
            <w:r>
              <w:rPr>
                <w:sz w:val="16"/>
                <w:szCs w:val="16"/>
              </w:rPr>
              <w:t>6</w:t>
            </w:r>
            <w:r w:rsidR="005C4A7F">
              <w:rPr>
                <w:sz w:val="16"/>
                <w:szCs w:val="16"/>
              </w:rPr>
              <w:t>2</w:t>
            </w:r>
          </w:p>
        </w:tc>
        <w:tc>
          <w:tcPr>
            <w:tcW w:w="4785" w:type="dxa"/>
            <w:vAlign w:val="center"/>
          </w:tcPr>
          <w:p w14:paraId="68EEAD28" w14:textId="1EF40B63" w:rsidR="00FB476A" w:rsidRPr="000303A4" w:rsidRDefault="00FB476A" w:rsidP="00F23970">
            <w:pPr>
              <w:jc w:val="left"/>
              <w:rPr>
                <w:sz w:val="16"/>
                <w:szCs w:val="16"/>
              </w:rPr>
            </w:pPr>
            <w:r w:rsidRPr="000303A4">
              <w:rPr>
                <w:sz w:val="16"/>
                <w:szCs w:val="16"/>
              </w:rPr>
              <w:t>Glendi B</w:t>
            </w:r>
            <w:r>
              <w:rPr>
                <w:sz w:val="16"/>
                <w:szCs w:val="16"/>
              </w:rPr>
              <w:t>etsaida Valdé</w:t>
            </w:r>
            <w:r w:rsidRPr="000303A4">
              <w:rPr>
                <w:sz w:val="16"/>
                <w:szCs w:val="16"/>
              </w:rPr>
              <w:t>z Pérez (Hija)</w:t>
            </w:r>
          </w:p>
        </w:tc>
      </w:tr>
      <w:tr w:rsidR="00FB476A" w:rsidRPr="0068359D" w14:paraId="768487DA" w14:textId="77777777" w:rsidTr="003D3071">
        <w:tc>
          <w:tcPr>
            <w:tcW w:w="560" w:type="dxa"/>
            <w:vMerge/>
            <w:vAlign w:val="center"/>
          </w:tcPr>
          <w:p w14:paraId="43C4E9BB" w14:textId="77777777" w:rsidR="00FB476A" w:rsidRPr="000303A4" w:rsidRDefault="00FB476A" w:rsidP="003D3071">
            <w:pPr>
              <w:jc w:val="center"/>
              <w:rPr>
                <w:sz w:val="16"/>
                <w:szCs w:val="16"/>
              </w:rPr>
            </w:pPr>
          </w:p>
        </w:tc>
        <w:tc>
          <w:tcPr>
            <w:tcW w:w="3092" w:type="dxa"/>
            <w:vMerge/>
            <w:vAlign w:val="center"/>
          </w:tcPr>
          <w:p w14:paraId="74478080" w14:textId="77777777" w:rsidR="00FB476A" w:rsidRPr="000303A4" w:rsidRDefault="00FB476A" w:rsidP="00F23970">
            <w:pPr>
              <w:jc w:val="left"/>
              <w:rPr>
                <w:sz w:val="16"/>
                <w:szCs w:val="16"/>
              </w:rPr>
            </w:pPr>
          </w:p>
        </w:tc>
        <w:tc>
          <w:tcPr>
            <w:tcW w:w="567" w:type="dxa"/>
            <w:vAlign w:val="center"/>
          </w:tcPr>
          <w:p w14:paraId="761998F8" w14:textId="256CBD19" w:rsidR="00FB476A" w:rsidRPr="000303A4" w:rsidRDefault="0009273C" w:rsidP="003D3071">
            <w:pPr>
              <w:jc w:val="center"/>
              <w:rPr>
                <w:sz w:val="16"/>
                <w:szCs w:val="16"/>
              </w:rPr>
            </w:pPr>
            <w:r>
              <w:rPr>
                <w:sz w:val="16"/>
                <w:szCs w:val="16"/>
              </w:rPr>
              <w:t>6</w:t>
            </w:r>
            <w:r w:rsidR="005C4A7F">
              <w:rPr>
                <w:sz w:val="16"/>
                <w:szCs w:val="16"/>
              </w:rPr>
              <w:t>3</w:t>
            </w:r>
          </w:p>
        </w:tc>
        <w:tc>
          <w:tcPr>
            <w:tcW w:w="4785" w:type="dxa"/>
            <w:vAlign w:val="center"/>
          </w:tcPr>
          <w:p w14:paraId="4F0E66A4" w14:textId="2681D00C" w:rsidR="00FB476A" w:rsidRPr="000303A4" w:rsidRDefault="00FB476A" w:rsidP="00F23970">
            <w:pPr>
              <w:jc w:val="left"/>
              <w:rPr>
                <w:sz w:val="16"/>
                <w:szCs w:val="16"/>
              </w:rPr>
            </w:pPr>
            <w:r>
              <w:rPr>
                <w:sz w:val="16"/>
                <w:szCs w:val="16"/>
              </w:rPr>
              <w:t>Mildred Odalis Valdé</w:t>
            </w:r>
            <w:r w:rsidRPr="000303A4">
              <w:rPr>
                <w:sz w:val="16"/>
                <w:szCs w:val="16"/>
              </w:rPr>
              <w:t>z Pérez (Hija)</w:t>
            </w:r>
          </w:p>
        </w:tc>
      </w:tr>
      <w:tr w:rsidR="00FB476A" w:rsidRPr="0068359D" w14:paraId="43F78A6A" w14:textId="77777777" w:rsidTr="003D3071">
        <w:tc>
          <w:tcPr>
            <w:tcW w:w="560" w:type="dxa"/>
            <w:vAlign w:val="center"/>
          </w:tcPr>
          <w:p w14:paraId="67D728BE" w14:textId="77777777" w:rsidR="00FB476A" w:rsidRPr="000303A4" w:rsidRDefault="00FB476A" w:rsidP="003D3071">
            <w:pPr>
              <w:jc w:val="center"/>
              <w:rPr>
                <w:sz w:val="16"/>
                <w:szCs w:val="16"/>
              </w:rPr>
            </w:pPr>
            <w:r w:rsidRPr="000303A4">
              <w:rPr>
                <w:sz w:val="16"/>
                <w:szCs w:val="16"/>
              </w:rPr>
              <w:t>41</w:t>
            </w:r>
          </w:p>
        </w:tc>
        <w:tc>
          <w:tcPr>
            <w:tcW w:w="3092" w:type="dxa"/>
            <w:vAlign w:val="center"/>
          </w:tcPr>
          <w:p w14:paraId="4442F89C" w14:textId="77777777" w:rsidR="00FB476A" w:rsidRPr="000303A4" w:rsidRDefault="00FB476A" w:rsidP="00F23970">
            <w:pPr>
              <w:jc w:val="left"/>
              <w:rPr>
                <w:sz w:val="16"/>
                <w:szCs w:val="16"/>
              </w:rPr>
            </w:pPr>
            <w:r w:rsidRPr="000303A4">
              <w:rPr>
                <w:sz w:val="16"/>
                <w:szCs w:val="16"/>
              </w:rPr>
              <w:t>Santiago Francisco Valdéz Aguilar</w:t>
            </w:r>
          </w:p>
        </w:tc>
        <w:tc>
          <w:tcPr>
            <w:tcW w:w="567" w:type="dxa"/>
            <w:vAlign w:val="center"/>
          </w:tcPr>
          <w:p w14:paraId="58484E9D" w14:textId="2E43CB4B" w:rsidR="00FB476A" w:rsidRPr="000303A4" w:rsidRDefault="00FB476A" w:rsidP="00F23970">
            <w:pPr>
              <w:jc w:val="left"/>
              <w:rPr>
                <w:sz w:val="16"/>
                <w:szCs w:val="16"/>
              </w:rPr>
            </w:pPr>
          </w:p>
        </w:tc>
        <w:tc>
          <w:tcPr>
            <w:tcW w:w="4785" w:type="dxa"/>
            <w:vAlign w:val="center"/>
          </w:tcPr>
          <w:p w14:paraId="68FCC3FC" w14:textId="08C5FB3B" w:rsidR="00FB476A" w:rsidRPr="000303A4" w:rsidRDefault="00FB476A" w:rsidP="00F23970">
            <w:pPr>
              <w:jc w:val="left"/>
              <w:rPr>
                <w:sz w:val="16"/>
                <w:szCs w:val="16"/>
              </w:rPr>
            </w:pPr>
          </w:p>
        </w:tc>
      </w:tr>
      <w:tr w:rsidR="00FB476A" w:rsidRPr="0068359D" w14:paraId="5AE2C674" w14:textId="77777777" w:rsidTr="003D3071">
        <w:tc>
          <w:tcPr>
            <w:tcW w:w="560" w:type="dxa"/>
            <w:vAlign w:val="center"/>
          </w:tcPr>
          <w:p w14:paraId="3DE6B1F0" w14:textId="77777777" w:rsidR="00FB476A" w:rsidRPr="000303A4" w:rsidRDefault="00FB476A" w:rsidP="003D3071">
            <w:pPr>
              <w:jc w:val="center"/>
              <w:rPr>
                <w:sz w:val="16"/>
                <w:szCs w:val="16"/>
              </w:rPr>
            </w:pPr>
            <w:r w:rsidRPr="000303A4">
              <w:rPr>
                <w:sz w:val="16"/>
                <w:szCs w:val="16"/>
              </w:rPr>
              <w:t>42</w:t>
            </w:r>
          </w:p>
        </w:tc>
        <w:tc>
          <w:tcPr>
            <w:tcW w:w="3092" w:type="dxa"/>
            <w:vAlign w:val="center"/>
          </w:tcPr>
          <w:p w14:paraId="564510FD" w14:textId="77777777" w:rsidR="00FB476A" w:rsidRPr="000303A4" w:rsidRDefault="00FB476A" w:rsidP="00F23970">
            <w:pPr>
              <w:jc w:val="left"/>
              <w:rPr>
                <w:sz w:val="16"/>
                <w:szCs w:val="16"/>
              </w:rPr>
            </w:pPr>
            <w:r w:rsidRPr="000303A4">
              <w:rPr>
                <w:sz w:val="16"/>
                <w:szCs w:val="16"/>
              </w:rPr>
              <w:t>Teresa Magdalena Ramírez Castro</w:t>
            </w:r>
          </w:p>
        </w:tc>
        <w:tc>
          <w:tcPr>
            <w:tcW w:w="567" w:type="dxa"/>
            <w:vAlign w:val="center"/>
          </w:tcPr>
          <w:p w14:paraId="32A99AB8" w14:textId="77777777" w:rsidR="00FB476A" w:rsidRPr="000303A4" w:rsidRDefault="00FB476A" w:rsidP="00F23970">
            <w:pPr>
              <w:jc w:val="left"/>
              <w:rPr>
                <w:sz w:val="16"/>
                <w:szCs w:val="16"/>
              </w:rPr>
            </w:pPr>
          </w:p>
        </w:tc>
        <w:tc>
          <w:tcPr>
            <w:tcW w:w="4785" w:type="dxa"/>
            <w:vAlign w:val="center"/>
          </w:tcPr>
          <w:p w14:paraId="2FA15265" w14:textId="77777777" w:rsidR="00FB476A" w:rsidRPr="000303A4" w:rsidRDefault="00FB476A" w:rsidP="00F23970">
            <w:pPr>
              <w:tabs>
                <w:tab w:val="left" w:pos="1277"/>
              </w:tabs>
              <w:jc w:val="left"/>
              <w:rPr>
                <w:sz w:val="16"/>
                <w:szCs w:val="16"/>
              </w:rPr>
            </w:pPr>
          </w:p>
        </w:tc>
      </w:tr>
      <w:tr w:rsidR="00FB476A" w:rsidRPr="0068359D" w14:paraId="3B263DE0" w14:textId="77777777" w:rsidTr="003D3071">
        <w:tc>
          <w:tcPr>
            <w:tcW w:w="560" w:type="dxa"/>
            <w:vAlign w:val="center"/>
          </w:tcPr>
          <w:p w14:paraId="48E44135" w14:textId="77777777" w:rsidR="00FB476A" w:rsidRPr="000303A4" w:rsidRDefault="00FB476A" w:rsidP="003D3071">
            <w:pPr>
              <w:jc w:val="center"/>
              <w:rPr>
                <w:sz w:val="16"/>
                <w:szCs w:val="16"/>
              </w:rPr>
            </w:pPr>
            <w:r w:rsidRPr="000303A4">
              <w:rPr>
                <w:sz w:val="16"/>
                <w:szCs w:val="16"/>
              </w:rPr>
              <w:t>43</w:t>
            </w:r>
          </w:p>
        </w:tc>
        <w:tc>
          <w:tcPr>
            <w:tcW w:w="3092" w:type="dxa"/>
            <w:vAlign w:val="center"/>
          </w:tcPr>
          <w:p w14:paraId="77A66BC3" w14:textId="77777777" w:rsidR="00FB476A" w:rsidRPr="000303A4" w:rsidRDefault="00FB476A" w:rsidP="00F23970">
            <w:pPr>
              <w:jc w:val="left"/>
              <w:rPr>
                <w:sz w:val="16"/>
                <w:szCs w:val="16"/>
              </w:rPr>
            </w:pPr>
            <w:r w:rsidRPr="000303A4">
              <w:rPr>
                <w:sz w:val="16"/>
                <w:szCs w:val="16"/>
              </w:rPr>
              <w:t>Karen Judith Samayoa Vásquez</w:t>
            </w:r>
          </w:p>
        </w:tc>
        <w:tc>
          <w:tcPr>
            <w:tcW w:w="567" w:type="dxa"/>
            <w:vAlign w:val="center"/>
          </w:tcPr>
          <w:p w14:paraId="46810C0E" w14:textId="77777777" w:rsidR="00FB476A" w:rsidRPr="000303A4" w:rsidRDefault="00FB476A" w:rsidP="00F23970">
            <w:pPr>
              <w:jc w:val="left"/>
              <w:rPr>
                <w:sz w:val="16"/>
                <w:szCs w:val="16"/>
              </w:rPr>
            </w:pPr>
          </w:p>
        </w:tc>
        <w:tc>
          <w:tcPr>
            <w:tcW w:w="4785" w:type="dxa"/>
            <w:vAlign w:val="center"/>
          </w:tcPr>
          <w:p w14:paraId="5FB8446F" w14:textId="77777777" w:rsidR="00FB476A" w:rsidRPr="000303A4" w:rsidRDefault="00FB476A" w:rsidP="00F23970">
            <w:pPr>
              <w:jc w:val="left"/>
              <w:rPr>
                <w:sz w:val="16"/>
                <w:szCs w:val="16"/>
              </w:rPr>
            </w:pPr>
          </w:p>
        </w:tc>
      </w:tr>
      <w:tr w:rsidR="00FB476A" w:rsidRPr="0068359D" w14:paraId="52BB37C4" w14:textId="77777777" w:rsidTr="003D3071">
        <w:tc>
          <w:tcPr>
            <w:tcW w:w="560" w:type="dxa"/>
            <w:vAlign w:val="center"/>
          </w:tcPr>
          <w:p w14:paraId="45209543" w14:textId="77777777" w:rsidR="00FB476A" w:rsidRPr="000303A4" w:rsidRDefault="00FB476A" w:rsidP="003D3071">
            <w:pPr>
              <w:jc w:val="center"/>
              <w:rPr>
                <w:sz w:val="16"/>
                <w:szCs w:val="16"/>
              </w:rPr>
            </w:pPr>
            <w:r w:rsidRPr="000303A4">
              <w:rPr>
                <w:sz w:val="16"/>
                <w:szCs w:val="16"/>
              </w:rPr>
              <w:t>44</w:t>
            </w:r>
          </w:p>
        </w:tc>
        <w:tc>
          <w:tcPr>
            <w:tcW w:w="3092" w:type="dxa"/>
            <w:vAlign w:val="center"/>
          </w:tcPr>
          <w:p w14:paraId="0E0B11D8" w14:textId="2CB245D4" w:rsidR="00FB476A" w:rsidRPr="000303A4" w:rsidRDefault="00FB476A" w:rsidP="00CC6C64">
            <w:pPr>
              <w:jc w:val="left"/>
              <w:rPr>
                <w:sz w:val="16"/>
                <w:szCs w:val="16"/>
              </w:rPr>
            </w:pPr>
            <w:r w:rsidRPr="000303A4">
              <w:rPr>
                <w:sz w:val="16"/>
                <w:szCs w:val="16"/>
              </w:rPr>
              <w:t xml:space="preserve">Francisco Sop </w:t>
            </w:r>
            <w:r>
              <w:rPr>
                <w:sz w:val="16"/>
                <w:szCs w:val="16"/>
              </w:rPr>
              <w:t>Quiej</w:t>
            </w:r>
          </w:p>
        </w:tc>
        <w:tc>
          <w:tcPr>
            <w:tcW w:w="567" w:type="dxa"/>
            <w:vAlign w:val="center"/>
          </w:tcPr>
          <w:p w14:paraId="59B85187" w14:textId="1EADF23A" w:rsidR="00FB476A" w:rsidRPr="000303A4" w:rsidRDefault="00FB476A" w:rsidP="00F23970">
            <w:pPr>
              <w:jc w:val="left"/>
              <w:rPr>
                <w:sz w:val="16"/>
                <w:szCs w:val="16"/>
              </w:rPr>
            </w:pPr>
          </w:p>
        </w:tc>
        <w:tc>
          <w:tcPr>
            <w:tcW w:w="4785" w:type="dxa"/>
            <w:vAlign w:val="center"/>
          </w:tcPr>
          <w:p w14:paraId="0F1C7B84" w14:textId="17D46F40" w:rsidR="00FB476A" w:rsidRPr="000303A4" w:rsidRDefault="00FB476A" w:rsidP="00F23970">
            <w:pPr>
              <w:tabs>
                <w:tab w:val="left" w:pos="1277"/>
              </w:tabs>
              <w:jc w:val="left"/>
              <w:rPr>
                <w:sz w:val="16"/>
                <w:szCs w:val="16"/>
              </w:rPr>
            </w:pPr>
          </w:p>
        </w:tc>
      </w:tr>
      <w:tr w:rsidR="00FB476A" w:rsidRPr="0068359D" w14:paraId="1FDC1E49" w14:textId="77777777" w:rsidTr="003D3071">
        <w:tc>
          <w:tcPr>
            <w:tcW w:w="560" w:type="dxa"/>
            <w:vAlign w:val="center"/>
          </w:tcPr>
          <w:p w14:paraId="60E05DFD" w14:textId="77777777" w:rsidR="00FB476A" w:rsidRPr="000303A4" w:rsidRDefault="00FB476A" w:rsidP="003D3071">
            <w:pPr>
              <w:jc w:val="center"/>
              <w:rPr>
                <w:sz w:val="16"/>
                <w:szCs w:val="16"/>
              </w:rPr>
            </w:pPr>
            <w:r w:rsidRPr="000303A4">
              <w:rPr>
                <w:sz w:val="16"/>
                <w:szCs w:val="16"/>
              </w:rPr>
              <w:t>45</w:t>
            </w:r>
          </w:p>
        </w:tc>
        <w:tc>
          <w:tcPr>
            <w:tcW w:w="3092" w:type="dxa"/>
            <w:vAlign w:val="center"/>
          </w:tcPr>
          <w:p w14:paraId="1A82AB66" w14:textId="3C1CB2A8" w:rsidR="00FB476A" w:rsidRPr="000303A4" w:rsidRDefault="00FB476A" w:rsidP="00F23970">
            <w:pPr>
              <w:jc w:val="left"/>
              <w:rPr>
                <w:sz w:val="16"/>
                <w:szCs w:val="16"/>
              </w:rPr>
            </w:pPr>
            <w:r>
              <w:rPr>
                <w:sz w:val="16"/>
                <w:szCs w:val="16"/>
              </w:rPr>
              <w:t>Jorge Armando Tavares</w:t>
            </w:r>
            <w:r w:rsidRPr="000303A4">
              <w:rPr>
                <w:sz w:val="16"/>
                <w:szCs w:val="16"/>
              </w:rPr>
              <w:t xml:space="preserve"> Barreno</w:t>
            </w:r>
          </w:p>
        </w:tc>
        <w:tc>
          <w:tcPr>
            <w:tcW w:w="567" w:type="dxa"/>
            <w:vAlign w:val="center"/>
          </w:tcPr>
          <w:p w14:paraId="21F61E88" w14:textId="77777777" w:rsidR="00FB476A" w:rsidRPr="000303A4" w:rsidRDefault="00FB476A" w:rsidP="00F23970">
            <w:pPr>
              <w:jc w:val="left"/>
              <w:rPr>
                <w:sz w:val="16"/>
                <w:szCs w:val="16"/>
              </w:rPr>
            </w:pPr>
          </w:p>
        </w:tc>
        <w:tc>
          <w:tcPr>
            <w:tcW w:w="4785" w:type="dxa"/>
            <w:vAlign w:val="center"/>
          </w:tcPr>
          <w:p w14:paraId="79FDFCE7" w14:textId="77777777" w:rsidR="00FB476A" w:rsidRPr="000303A4" w:rsidRDefault="00FB476A" w:rsidP="00F23970">
            <w:pPr>
              <w:tabs>
                <w:tab w:val="left" w:pos="1277"/>
              </w:tabs>
              <w:jc w:val="left"/>
              <w:rPr>
                <w:sz w:val="16"/>
                <w:szCs w:val="16"/>
              </w:rPr>
            </w:pPr>
          </w:p>
        </w:tc>
      </w:tr>
      <w:tr w:rsidR="00FB476A" w:rsidRPr="0068359D" w14:paraId="62B343DA" w14:textId="77777777" w:rsidTr="003D3071">
        <w:tc>
          <w:tcPr>
            <w:tcW w:w="560" w:type="dxa"/>
            <w:vAlign w:val="center"/>
          </w:tcPr>
          <w:p w14:paraId="5A828D71" w14:textId="77777777" w:rsidR="00FB476A" w:rsidRPr="000303A4" w:rsidRDefault="00FB476A" w:rsidP="003D3071">
            <w:pPr>
              <w:jc w:val="center"/>
              <w:rPr>
                <w:sz w:val="16"/>
                <w:szCs w:val="16"/>
              </w:rPr>
            </w:pPr>
            <w:r w:rsidRPr="000303A4">
              <w:rPr>
                <w:sz w:val="16"/>
                <w:szCs w:val="16"/>
              </w:rPr>
              <w:t>46</w:t>
            </w:r>
          </w:p>
        </w:tc>
        <w:tc>
          <w:tcPr>
            <w:tcW w:w="3092" w:type="dxa"/>
            <w:vAlign w:val="center"/>
          </w:tcPr>
          <w:p w14:paraId="5D79075C" w14:textId="688E2585" w:rsidR="00FB476A" w:rsidRPr="000303A4" w:rsidRDefault="00FB476A" w:rsidP="00F23970">
            <w:pPr>
              <w:jc w:val="left"/>
              <w:rPr>
                <w:sz w:val="16"/>
                <w:szCs w:val="16"/>
              </w:rPr>
            </w:pPr>
            <w:r w:rsidRPr="000303A4">
              <w:rPr>
                <w:sz w:val="16"/>
                <w:szCs w:val="16"/>
              </w:rPr>
              <w:t>Miguel Lu</w:t>
            </w:r>
            <w:r>
              <w:rPr>
                <w:sz w:val="16"/>
                <w:szCs w:val="16"/>
              </w:rPr>
              <w:t>cas Vaí</w:t>
            </w:r>
            <w:r w:rsidRPr="000303A4">
              <w:rPr>
                <w:sz w:val="16"/>
                <w:szCs w:val="16"/>
              </w:rPr>
              <w:t>l</w:t>
            </w:r>
          </w:p>
        </w:tc>
        <w:tc>
          <w:tcPr>
            <w:tcW w:w="567" w:type="dxa"/>
            <w:vAlign w:val="center"/>
          </w:tcPr>
          <w:p w14:paraId="071C3010" w14:textId="77777777" w:rsidR="00FB476A" w:rsidRPr="000303A4" w:rsidRDefault="00FB476A" w:rsidP="00F23970">
            <w:pPr>
              <w:jc w:val="left"/>
              <w:rPr>
                <w:sz w:val="16"/>
                <w:szCs w:val="16"/>
              </w:rPr>
            </w:pPr>
          </w:p>
        </w:tc>
        <w:tc>
          <w:tcPr>
            <w:tcW w:w="4785" w:type="dxa"/>
            <w:vAlign w:val="center"/>
          </w:tcPr>
          <w:p w14:paraId="5F6C8EE8" w14:textId="77777777" w:rsidR="00FB476A" w:rsidRPr="000303A4" w:rsidRDefault="00FB476A" w:rsidP="00F23970">
            <w:pPr>
              <w:tabs>
                <w:tab w:val="left" w:pos="1277"/>
              </w:tabs>
              <w:jc w:val="left"/>
              <w:rPr>
                <w:sz w:val="16"/>
                <w:szCs w:val="16"/>
              </w:rPr>
            </w:pPr>
          </w:p>
        </w:tc>
      </w:tr>
      <w:tr w:rsidR="00FB476A" w:rsidRPr="0068359D" w14:paraId="077EDC0F" w14:textId="77777777" w:rsidTr="003D3071">
        <w:tc>
          <w:tcPr>
            <w:tcW w:w="560" w:type="dxa"/>
            <w:vAlign w:val="center"/>
          </w:tcPr>
          <w:p w14:paraId="123EFFC7" w14:textId="77777777" w:rsidR="00FB476A" w:rsidRPr="000303A4" w:rsidRDefault="00FB476A" w:rsidP="003D3071">
            <w:pPr>
              <w:jc w:val="center"/>
              <w:rPr>
                <w:sz w:val="16"/>
                <w:szCs w:val="16"/>
              </w:rPr>
            </w:pPr>
            <w:r w:rsidRPr="000303A4">
              <w:rPr>
                <w:sz w:val="16"/>
                <w:szCs w:val="16"/>
              </w:rPr>
              <w:t>47</w:t>
            </w:r>
          </w:p>
        </w:tc>
        <w:tc>
          <w:tcPr>
            <w:tcW w:w="3092" w:type="dxa"/>
            <w:vAlign w:val="center"/>
          </w:tcPr>
          <w:p w14:paraId="15E73941" w14:textId="77777777" w:rsidR="00FB476A" w:rsidRPr="000303A4" w:rsidRDefault="00FB476A" w:rsidP="00F23970">
            <w:pPr>
              <w:jc w:val="left"/>
              <w:rPr>
                <w:sz w:val="16"/>
                <w:szCs w:val="16"/>
              </w:rPr>
            </w:pPr>
            <w:r w:rsidRPr="000303A4">
              <w:rPr>
                <w:sz w:val="16"/>
                <w:szCs w:val="16"/>
              </w:rPr>
              <w:t>Santos Vásquez Oliveros</w:t>
            </w:r>
          </w:p>
        </w:tc>
        <w:tc>
          <w:tcPr>
            <w:tcW w:w="567" w:type="dxa"/>
            <w:vAlign w:val="center"/>
          </w:tcPr>
          <w:p w14:paraId="628C42C9" w14:textId="77777777" w:rsidR="00FB476A" w:rsidRPr="000303A4" w:rsidRDefault="00FB476A" w:rsidP="00F23970">
            <w:pPr>
              <w:jc w:val="left"/>
              <w:rPr>
                <w:sz w:val="16"/>
                <w:szCs w:val="16"/>
              </w:rPr>
            </w:pPr>
          </w:p>
        </w:tc>
        <w:tc>
          <w:tcPr>
            <w:tcW w:w="4785" w:type="dxa"/>
            <w:vAlign w:val="center"/>
          </w:tcPr>
          <w:p w14:paraId="39EB007F" w14:textId="77777777" w:rsidR="00FB476A" w:rsidRPr="000303A4" w:rsidRDefault="00FB476A" w:rsidP="00F23970">
            <w:pPr>
              <w:jc w:val="left"/>
              <w:rPr>
                <w:sz w:val="16"/>
                <w:szCs w:val="16"/>
              </w:rPr>
            </w:pPr>
          </w:p>
        </w:tc>
      </w:tr>
      <w:tr w:rsidR="00FB476A" w:rsidRPr="0068359D" w14:paraId="36241BD8" w14:textId="77777777" w:rsidTr="003D3071">
        <w:tc>
          <w:tcPr>
            <w:tcW w:w="560" w:type="dxa"/>
            <w:vAlign w:val="center"/>
          </w:tcPr>
          <w:p w14:paraId="28CCEFB6" w14:textId="77777777" w:rsidR="00FB476A" w:rsidRPr="000303A4" w:rsidRDefault="00FB476A" w:rsidP="003D3071">
            <w:pPr>
              <w:jc w:val="center"/>
              <w:rPr>
                <w:sz w:val="16"/>
                <w:szCs w:val="16"/>
              </w:rPr>
            </w:pPr>
            <w:r w:rsidRPr="000303A4">
              <w:rPr>
                <w:sz w:val="16"/>
                <w:szCs w:val="16"/>
              </w:rPr>
              <w:t>48</w:t>
            </w:r>
          </w:p>
        </w:tc>
        <w:tc>
          <w:tcPr>
            <w:tcW w:w="3092" w:type="dxa"/>
            <w:vAlign w:val="center"/>
          </w:tcPr>
          <w:p w14:paraId="5914DECD" w14:textId="7DCE9F5B" w:rsidR="00FB476A" w:rsidRPr="000303A4" w:rsidRDefault="00FB476A" w:rsidP="00F23970">
            <w:pPr>
              <w:jc w:val="left"/>
              <w:rPr>
                <w:sz w:val="16"/>
                <w:szCs w:val="16"/>
              </w:rPr>
            </w:pPr>
            <w:r w:rsidRPr="000303A4">
              <w:rPr>
                <w:sz w:val="16"/>
                <w:szCs w:val="16"/>
              </w:rPr>
              <w:t>Iris Carolina Vicente Ba</w:t>
            </w:r>
            <w:r w:rsidR="00573F6B">
              <w:rPr>
                <w:sz w:val="16"/>
                <w:szCs w:val="16"/>
              </w:rPr>
              <w:t>ri</w:t>
            </w:r>
            <w:r w:rsidRPr="000303A4">
              <w:rPr>
                <w:sz w:val="16"/>
                <w:szCs w:val="16"/>
              </w:rPr>
              <w:t>llas</w:t>
            </w:r>
          </w:p>
        </w:tc>
        <w:tc>
          <w:tcPr>
            <w:tcW w:w="567" w:type="dxa"/>
            <w:vAlign w:val="center"/>
          </w:tcPr>
          <w:p w14:paraId="10B43578" w14:textId="77777777" w:rsidR="00FB476A" w:rsidRPr="000303A4" w:rsidRDefault="00FB476A" w:rsidP="00F23970">
            <w:pPr>
              <w:jc w:val="left"/>
              <w:rPr>
                <w:sz w:val="16"/>
                <w:szCs w:val="16"/>
              </w:rPr>
            </w:pPr>
          </w:p>
        </w:tc>
        <w:tc>
          <w:tcPr>
            <w:tcW w:w="4785" w:type="dxa"/>
            <w:vAlign w:val="center"/>
          </w:tcPr>
          <w:p w14:paraId="6C73EBA5" w14:textId="77777777" w:rsidR="00FB476A" w:rsidRPr="000303A4" w:rsidRDefault="00FB476A" w:rsidP="00F23970">
            <w:pPr>
              <w:tabs>
                <w:tab w:val="left" w:pos="1277"/>
              </w:tabs>
              <w:jc w:val="left"/>
              <w:rPr>
                <w:sz w:val="16"/>
                <w:szCs w:val="16"/>
              </w:rPr>
            </w:pPr>
          </w:p>
        </w:tc>
      </w:tr>
      <w:tr w:rsidR="00FB476A" w:rsidRPr="0068359D" w14:paraId="30698835" w14:textId="77777777" w:rsidTr="003D3071">
        <w:tc>
          <w:tcPr>
            <w:tcW w:w="560" w:type="dxa"/>
            <w:vAlign w:val="center"/>
          </w:tcPr>
          <w:p w14:paraId="224CED89" w14:textId="77777777" w:rsidR="00FB476A" w:rsidRPr="000303A4" w:rsidRDefault="00FB476A" w:rsidP="003D3071">
            <w:pPr>
              <w:jc w:val="center"/>
              <w:rPr>
                <w:sz w:val="16"/>
                <w:szCs w:val="16"/>
              </w:rPr>
            </w:pPr>
            <w:r w:rsidRPr="000303A4">
              <w:rPr>
                <w:sz w:val="16"/>
                <w:szCs w:val="16"/>
              </w:rPr>
              <w:t>49</w:t>
            </w:r>
          </w:p>
        </w:tc>
        <w:tc>
          <w:tcPr>
            <w:tcW w:w="3092" w:type="dxa"/>
            <w:vAlign w:val="center"/>
          </w:tcPr>
          <w:p w14:paraId="7C415FDB" w14:textId="77777777" w:rsidR="00FB476A" w:rsidRPr="000303A4" w:rsidRDefault="00FB476A" w:rsidP="00F23970">
            <w:pPr>
              <w:jc w:val="left"/>
              <w:rPr>
                <w:sz w:val="16"/>
                <w:szCs w:val="16"/>
              </w:rPr>
            </w:pPr>
            <w:r w:rsidRPr="000303A4">
              <w:rPr>
                <w:sz w:val="16"/>
                <w:szCs w:val="16"/>
              </w:rPr>
              <w:t>Sandra Lisbeth Zepeda Herrera</w:t>
            </w:r>
          </w:p>
        </w:tc>
        <w:tc>
          <w:tcPr>
            <w:tcW w:w="567" w:type="dxa"/>
            <w:vAlign w:val="center"/>
          </w:tcPr>
          <w:p w14:paraId="73075283" w14:textId="77777777" w:rsidR="00FB476A" w:rsidRPr="000303A4" w:rsidRDefault="00FB476A" w:rsidP="00F23970">
            <w:pPr>
              <w:jc w:val="left"/>
              <w:rPr>
                <w:sz w:val="16"/>
                <w:szCs w:val="16"/>
              </w:rPr>
            </w:pPr>
          </w:p>
        </w:tc>
        <w:tc>
          <w:tcPr>
            <w:tcW w:w="4785" w:type="dxa"/>
            <w:vAlign w:val="center"/>
          </w:tcPr>
          <w:p w14:paraId="7AF55277" w14:textId="77777777" w:rsidR="00FB476A" w:rsidRPr="000303A4" w:rsidRDefault="00FB476A" w:rsidP="00F23970">
            <w:pPr>
              <w:tabs>
                <w:tab w:val="left" w:pos="1002"/>
              </w:tabs>
              <w:jc w:val="left"/>
              <w:rPr>
                <w:sz w:val="16"/>
                <w:szCs w:val="16"/>
              </w:rPr>
            </w:pPr>
          </w:p>
        </w:tc>
      </w:tr>
    </w:tbl>
    <w:p w14:paraId="5B9B1F29" w14:textId="77777777" w:rsidR="000D2D79" w:rsidRDefault="000D2D79" w:rsidP="00F23970">
      <w:pPr>
        <w:jc w:val="left"/>
      </w:pPr>
    </w:p>
    <w:p w14:paraId="7D7CB483" w14:textId="77777777" w:rsidR="000D2D79" w:rsidRDefault="000D2D79">
      <w:pPr>
        <w:spacing w:after="200" w:line="276" w:lineRule="auto"/>
        <w:jc w:val="left"/>
        <w:rPr>
          <w:rFonts w:eastAsia="Times New Roman" w:cs="Verdana"/>
          <w:b/>
          <w:bCs/>
          <w:caps/>
          <w:snapToGrid w:val="0"/>
          <w:szCs w:val="20"/>
          <w:lang w:val="es-CR" w:eastAsia="es-ES"/>
        </w:rPr>
      </w:pPr>
      <w:r>
        <w:br w:type="page"/>
      </w:r>
    </w:p>
    <w:p w14:paraId="1B8FC02C" w14:textId="45CDAA52" w:rsidR="009952CE" w:rsidRDefault="00FE0773" w:rsidP="000D2D79">
      <w:pPr>
        <w:pStyle w:val="Ttulo1"/>
      </w:pPr>
      <w:bookmarkStart w:id="152" w:name="_Toc527466509"/>
      <w:r>
        <w:lastRenderedPageBreak/>
        <w:t>Anexo 3</w:t>
      </w:r>
      <w:r w:rsidR="009952CE" w:rsidRPr="00CC04EC">
        <w:t>. Individualización de las víctimas y sus familiares</w:t>
      </w:r>
      <w:bookmarkEnd w:id="152"/>
    </w:p>
    <w:p w14:paraId="33D83787" w14:textId="77777777" w:rsidR="003C2AC6" w:rsidRDefault="003C2AC6" w:rsidP="003C2AC6">
      <w:pPr>
        <w:rPr>
          <w:lang w:val="es-CR" w:eastAsia="es-ES"/>
        </w:rPr>
      </w:pPr>
    </w:p>
    <w:p w14:paraId="5C8418A7" w14:textId="77777777" w:rsidR="003C2AC6" w:rsidRPr="003C2AC6" w:rsidRDefault="003C2AC6" w:rsidP="003C2AC6">
      <w:pPr>
        <w:pStyle w:val="PrrafodeSentencia"/>
      </w:pPr>
      <w:r w:rsidRPr="003C2AC6">
        <w:t>A. Personas Fallecidas</w:t>
      </w:r>
    </w:p>
    <w:p w14:paraId="52B2B64F" w14:textId="77777777" w:rsidR="003C2AC6" w:rsidRPr="003C2AC6" w:rsidRDefault="003C2AC6" w:rsidP="003C2AC6">
      <w:pPr>
        <w:pStyle w:val="PrrafodeSentencia"/>
      </w:pPr>
    </w:p>
    <w:p w14:paraId="2D08D97B" w14:textId="11E531F1" w:rsidR="003C2AC6" w:rsidRPr="003C2AC6" w:rsidRDefault="003C2AC6" w:rsidP="003C2AC6">
      <w:pPr>
        <w:pStyle w:val="PrrafodeSentencia"/>
      </w:pPr>
      <w:r>
        <w:tab/>
      </w:r>
      <w:r w:rsidRPr="003C2AC6">
        <w:t>A.1. Facundo Gómez Reyes</w:t>
      </w:r>
    </w:p>
    <w:p w14:paraId="478C02EC" w14:textId="77777777" w:rsidR="003C2AC6" w:rsidRPr="004269E3" w:rsidRDefault="003C2AC6" w:rsidP="003C2AC6">
      <w:pPr>
        <w:pStyle w:val="PrrafodeSentencia"/>
      </w:pPr>
    </w:p>
    <w:p w14:paraId="6158FD43" w14:textId="77777777" w:rsidR="003C2AC6" w:rsidRPr="00FF3859" w:rsidRDefault="003C2AC6" w:rsidP="003C2AC6">
      <w:pPr>
        <w:pStyle w:val="Estilo1"/>
        <w:numPr>
          <w:ilvl w:val="0"/>
          <w:numId w:val="20"/>
        </w:numPr>
        <w:tabs>
          <w:tab w:val="left" w:pos="709"/>
          <w:tab w:val="left" w:pos="1134"/>
        </w:tabs>
        <w:spacing w:after="0"/>
        <w:ind w:left="0" w:right="-4" w:firstLine="0"/>
        <w:rPr>
          <w:b/>
          <w:i w:val="0"/>
          <w:szCs w:val="20"/>
        </w:rPr>
      </w:pPr>
      <w:r w:rsidRPr="00CC04EC">
        <w:rPr>
          <w:i w:val="0"/>
          <w:szCs w:val="20"/>
        </w:rPr>
        <w:t>El señor Gómez Reyes nació el 27 de noviembre de 1975. Fue diagnosticad</w:t>
      </w:r>
      <w:r>
        <w:rPr>
          <w:i w:val="0"/>
          <w:szCs w:val="20"/>
        </w:rPr>
        <w:t>o con VIH en abril de 2002, en “Proyecto Vida”</w:t>
      </w:r>
      <w:r w:rsidRPr="00CC04EC">
        <w:rPr>
          <w:i w:val="0"/>
          <w:szCs w:val="20"/>
        </w:rPr>
        <w:t xml:space="preserve"> de la Organización No Gubernamental “Médicos Sin Fronteras” (en adelante “MSF”). Se dedicaba a la albañilería</w:t>
      </w:r>
      <w:r>
        <w:rPr>
          <w:i w:val="0"/>
          <w:szCs w:val="20"/>
        </w:rPr>
        <w:t xml:space="preserve"> y no sabía leer ni escribir</w:t>
      </w:r>
      <w:r w:rsidRPr="00CC04EC">
        <w:rPr>
          <w:i w:val="0"/>
          <w:szCs w:val="20"/>
        </w:rPr>
        <w:t>. Residía en el Municipio de Retalhuleu, Departamento de Retalhuleu, Guatemala. El señor Gómez Reyes no tuvo acceso a tratamiento antirretroviral oportuno, ni a exámenes de carga viral, CD4, genotipo y fenotipo</w:t>
      </w:r>
      <w:r>
        <w:rPr>
          <w:i w:val="0"/>
          <w:szCs w:val="20"/>
        </w:rPr>
        <w:t>.</w:t>
      </w:r>
      <w:r w:rsidRPr="00CC04EC">
        <w:rPr>
          <w:i w:val="0"/>
          <w:szCs w:val="20"/>
        </w:rPr>
        <w:t xml:space="preserve"> Como resultado de su condición padeció tuberculosis ganglionar </w:t>
      </w:r>
      <w:proofErr w:type="spellStart"/>
      <w:r w:rsidRPr="00CC04EC">
        <w:rPr>
          <w:i w:val="0"/>
          <w:szCs w:val="20"/>
        </w:rPr>
        <w:t>multidrogoresistente</w:t>
      </w:r>
      <w:proofErr w:type="spellEnd"/>
      <w:r w:rsidRPr="00CC04EC">
        <w:rPr>
          <w:i w:val="0"/>
          <w:szCs w:val="20"/>
        </w:rPr>
        <w:t>. Su última consulta fue el 18 de febrero de 2003. Falleció el 27 de febrero del año 2003, a causa de tube</w:t>
      </w:r>
      <w:r>
        <w:rPr>
          <w:i w:val="0"/>
          <w:szCs w:val="20"/>
        </w:rPr>
        <w:t>rculosis</w:t>
      </w:r>
      <w:r w:rsidRPr="00CC04EC">
        <w:rPr>
          <w:rStyle w:val="Refdenotaalpie"/>
          <w:i w:val="0"/>
        </w:rPr>
        <w:footnoteReference w:id="260"/>
      </w:r>
      <w:r>
        <w:rPr>
          <w:i w:val="0"/>
          <w:szCs w:val="20"/>
        </w:rPr>
        <w:t>.</w:t>
      </w:r>
    </w:p>
    <w:p w14:paraId="2DF8D1E7" w14:textId="77777777" w:rsidR="003C2AC6" w:rsidRPr="00CC04EC" w:rsidRDefault="003C2AC6" w:rsidP="003C2AC6">
      <w:pPr>
        <w:pStyle w:val="Estilo1"/>
        <w:tabs>
          <w:tab w:val="left" w:pos="709"/>
          <w:tab w:val="left" w:pos="1134"/>
        </w:tabs>
        <w:spacing w:after="0"/>
        <w:ind w:left="0" w:right="-4" w:firstLine="0"/>
        <w:rPr>
          <w:b/>
          <w:i w:val="0"/>
          <w:szCs w:val="20"/>
        </w:rPr>
      </w:pPr>
    </w:p>
    <w:p w14:paraId="3D99473C" w14:textId="77777777" w:rsidR="003C2AC6" w:rsidRPr="00CC04EC" w:rsidRDefault="003C2AC6" w:rsidP="003C2AC6">
      <w:pPr>
        <w:pStyle w:val="Estilo1"/>
        <w:numPr>
          <w:ilvl w:val="0"/>
          <w:numId w:val="20"/>
        </w:numPr>
        <w:tabs>
          <w:tab w:val="left" w:pos="709"/>
          <w:tab w:val="left" w:pos="1134"/>
        </w:tabs>
        <w:spacing w:after="0"/>
        <w:ind w:left="0" w:right="-4" w:firstLine="0"/>
        <w:rPr>
          <w:b/>
          <w:i w:val="0"/>
          <w:szCs w:val="20"/>
        </w:rPr>
      </w:pPr>
      <w:r w:rsidRPr="00CC04EC">
        <w:rPr>
          <w:i w:val="0"/>
          <w:szCs w:val="20"/>
        </w:rPr>
        <w:t>Su núcleo familiar estaba formado por su compañera, María Elena Morales Villafuerte (diagnosticada con VIH)</w:t>
      </w:r>
      <w:r>
        <w:rPr>
          <w:i w:val="0"/>
          <w:szCs w:val="20"/>
        </w:rPr>
        <w:t>,</w:t>
      </w:r>
      <w:r w:rsidRPr="00CC04EC">
        <w:rPr>
          <w:i w:val="0"/>
          <w:szCs w:val="20"/>
        </w:rPr>
        <w:t xml:space="preserve"> y sus hijos Brandon David</w:t>
      </w:r>
      <w:r>
        <w:rPr>
          <w:i w:val="0"/>
          <w:szCs w:val="20"/>
        </w:rPr>
        <w:t xml:space="preserve"> Adalberto</w:t>
      </w:r>
      <w:r w:rsidRPr="00CC04EC">
        <w:rPr>
          <w:i w:val="0"/>
          <w:szCs w:val="20"/>
        </w:rPr>
        <w:t xml:space="preserve"> y Gerson Facundo, ambos de apellidos Gómez Morales</w:t>
      </w:r>
      <w:r w:rsidRPr="00CC04EC">
        <w:rPr>
          <w:rStyle w:val="Refdenotaalpie"/>
          <w:i w:val="0"/>
        </w:rPr>
        <w:footnoteReference w:id="261"/>
      </w:r>
      <w:r w:rsidRPr="00CC04EC">
        <w:rPr>
          <w:i w:val="0"/>
          <w:szCs w:val="20"/>
        </w:rPr>
        <w:t>.</w:t>
      </w:r>
    </w:p>
    <w:p w14:paraId="3C4EAB1A" w14:textId="77777777" w:rsidR="003C2AC6" w:rsidRDefault="003C2AC6" w:rsidP="003C2AC6">
      <w:pPr>
        <w:pStyle w:val="PrrafodeSentencia"/>
      </w:pPr>
    </w:p>
    <w:p w14:paraId="3106EA46" w14:textId="60C010D9" w:rsidR="003C2AC6" w:rsidRPr="003C2AC6" w:rsidRDefault="003C2AC6" w:rsidP="003C2AC6">
      <w:pPr>
        <w:pStyle w:val="PrrafodeSentencia"/>
      </w:pPr>
      <w:r>
        <w:tab/>
      </w:r>
      <w:r w:rsidRPr="003C2AC6">
        <w:t>A.2. Reina López Mujica</w:t>
      </w:r>
    </w:p>
    <w:p w14:paraId="7156537F" w14:textId="77777777" w:rsidR="003C2AC6" w:rsidRPr="00CC04EC" w:rsidRDefault="003C2AC6" w:rsidP="003C2AC6">
      <w:pPr>
        <w:pStyle w:val="PrrafodeSentencia"/>
      </w:pPr>
    </w:p>
    <w:p w14:paraId="17CE27B3" w14:textId="0E321D33"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López Mujica nació en el año 1962. Residía en el Municipio de Coatepeque, Departamento de Quetzaltenango, Gua</w:t>
      </w:r>
      <w:r>
        <w:rPr>
          <w:i w:val="0"/>
          <w:szCs w:val="20"/>
        </w:rPr>
        <w:t>temala. No contaba con estudios, e</w:t>
      </w:r>
      <w:r w:rsidRPr="00CC04EC">
        <w:rPr>
          <w:i w:val="0"/>
          <w:szCs w:val="20"/>
        </w:rPr>
        <w:t xml:space="preserve">ra ama de casa y dependía económicamente del trabajo de jornalero de su esposo. Fue diagnosticada el 15 de abril de 2002, en el Hospital Nacional de Coatepeque. Empezó a recibir tratamiento antirretroviral </w:t>
      </w:r>
      <w:r>
        <w:rPr>
          <w:i w:val="0"/>
          <w:szCs w:val="20"/>
        </w:rPr>
        <w:t>en junio</w:t>
      </w:r>
      <w:r w:rsidR="00F87540">
        <w:rPr>
          <w:i w:val="0"/>
          <w:szCs w:val="20"/>
        </w:rPr>
        <w:t xml:space="preserve"> de</w:t>
      </w:r>
      <w:r>
        <w:rPr>
          <w:i w:val="0"/>
          <w:szCs w:val="20"/>
        </w:rPr>
        <w:t xml:space="preserve"> 2003 </w:t>
      </w:r>
      <w:r w:rsidRPr="00CC04EC">
        <w:rPr>
          <w:i w:val="0"/>
          <w:szCs w:val="20"/>
        </w:rPr>
        <w:t xml:space="preserve">por medio del Proyecto Vida de MSF. No se le practicaron exámenes de genotipo y fenotipo, ni un monitoreo para determinar su estado de salud. Padeció de tuberculosis y anemia aguda. Falleció el 6 de noviembre de 2003, por </w:t>
      </w:r>
      <w:r>
        <w:rPr>
          <w:i w:val="0"/>
          <w:szCs w:val="20"/>
        </w:rPr>
        <w:t>tuberculosis y anemia producida</w:t>
      </w:r>
      <w:r w:rsidRPr="00CC04EC">
        <w:rPr>
          <w:rStyle w:val="Refdenotaalpie"/>
          <w:i w:val="0"/>
        </w:rPr>
        <w:footnoteReference w:id="262"/>
      </w:r>
      <w:r>
        <w:rPr>
          <w:i w:val="0"/>
          <w:szCs w:val="20"/>
        </w:rPr>
        <w:t>.</w:t>
      </w:r>
    </w:p>
    <w:p w14:paraId="5AD5BB8B" w14:textId="77777777" w:rsidR="003C2AC6" w:rsidRDefault="003C2AC6" w:rsidP="003C2AC6">
      <w:pPr>
        <w:pStyle w:val="PrrafodeSentencia"/>
      </w:pPr>
    </w:p>
    <w:p w14:paraId="5488A234" w14:textId="77777777" w:rsidR="003C2AC6" w:rsidRDefault="003C2AC6" w:rsidP="003C2AC6">
      <w:pPr>
        <w:pStyle w:val="PrrafodeSentencia"/>
      </w:pPr>
      <w:r>
        <w:tab/>
        <w:t>A.</w:t>
      </w:r>
      <w:r w:rsidRPr="00CC04EC">
        <w:t>3. Ismar Ramírez Chajón</w:t>
      </w:r>
    </w:p>
    <w:p w14:paraId="18C39583" w14:textId="77777777" w:rsidR="003C2AC6" w:rsidRPr="00CC04EC" w:rsidRDefault="003C2AC6" w:rsidP="003C2AC6">
      <w:pPr>
        <w:pStyle w:val="PrrafodeSentencia"/>
      </w:pPr>
    </w:p>
    <w:p w14:paraId="224B764B" w14:textId="476D0F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El señor Ramírez Chajón residía en el Municipio de Villanueva, Departamento de Guatemala, Guatemala. Fue diag</w:t>
      </w:r>
      <w:r w:rsidR="00F87540">
        <w:rPr>
          <w:i w:val="0"/>
          <w:szCs w:val="20"/>
        </w:rPr>
        <w:t>nosticado a los 22 años de edad</w:t>
      </w:r>
      <w:r w:rsidRPr="00CC04EC">
        <w:rPr>
          <w:i w:val="0"/>
          <w:szCs w:val="20"/>
        </w:rPr>
        <w:t xml:space="preserve"> en un sanatorio</w:t>
      </w:r>
      <w:r>
        <w:rPr>
          <w:i w:val="0"/>
          <w:szCs w:val="20"/>
        </w:rPr>
        <w:t xml:space="preserve"> privado</w:t>
      </w:r>
      <w:r w:rsidRPr="00CC04EC">
        <w:rPr>
          <w:i w:val="0"/>
          <w:szCs w:val="20"/>
        </w:rPr>
        <w:t xml:space="preserve"> al cual ingresó debido a que se encontraba delicado de salud.</w:t>
      </w:r>
      <w:r w:rsidRPr="00FA7C80">
        <w:rPr>
          <w:i w:val="0"/>
          <w:szCs w:val="20"/>
        </w:rPr>
        <w:t xml:space="preserve"> </w:t>
      </w:r>
      <w:r w:rsidRPr="00CC04EC">
        <w:rPr>
          <w:i w:val="0"/>
          <w:szCs w:val="20"/>
        </w:rPr>
        <w:t>Tras su diagnóstico</w:t>
      </w:r>
      <w:r>
        <w:rPr>
          <w:i w:val="0"/>
          <w:szCs w:val="20"/>
        </w:rPr>
        <w:t>,</w:t>
      </w:r>
      <w:r w:rsidRPr="00CC04EC">
        <w:rPr>
          <w:i w:val="0"/>
          <w:szCs w:val="20"/>
        </w:rPr>
        <w:t xml:space="preserve"> fue atendido </w:t>
      </w:r>
      <w:r w:rsidRPr="00CC04EC">
        <w:rPr>
          <w:i w:val="0"/>
          <w:szCs w:val="20"/>
        </w:rPr>
        <w:lastRenderedPageBreak/>
        <w:t>en el Instituto Guatemalteco de Seguridad Social (en adelante IGSS). Fue transferido al Hospital Roosevelt</w:t>
      </w:r>
      <w:r>
        <w:rPr>
          <w:i w:val="0"/>
          <w:szCs w:val="20"/>
        </w:rPr>
        <w:t>, donde le cambiaron los me</w:t>
      </w:r>
      <w:r w:rsidRPr="00CC04EC">
        <w:rPr>
          <w:i w:val="0"/>
          <w:szCs w:val="20"/>
        </w:rPr>
        <w:t xml:space="preserve">dicamentos y desarrolló resistencia a los mismos. </w:t>
      </w:r>
      <w:r>
        <w:rPr>
          <w:i w:val="0"/>
          <w:szCs w:val="20"/>
        </w:rPr>
        <w:t>No</w:t>
      </w:r>
      <w:r w:rsidRPr="00CC04EC">
        <w:rPr>
          <w:i w:val="0"/>
          <w:szCs w:val="20"/>
        </w:rPr>
        <w:t xml:space="preserve"> le realizaron exámenes de fenotipo y genotipo.</w:t>
      </w:r>
      <w:r>
        <w:rPr>
          <w:i w:val="0"/>
          <w:szCs w:val="20"/>
        </w:rPr>
        <w:t xml:space="preserve"> Padeció tuberculosis, herpes y papiloma humano</w:t>
      </w:r>
      <w:r w:rsidRPr="00CC04EC">
        <w:rPr>
          <w:i w:val="0"/>
          <w:szCs w:val="20"/>
        </w:rPr>
        <w:t>.</w:t>
      </w:r>
      <w:r>
        <w:rPr>
          <w:i w:val="0"/>
          <w:szCs w:val="20"/>
        </w:rPr>
        <w:t xml:space="preserve"> Perdió la visión y presentaba llagas. Estuvo internado en el hospicio San José por 22 días en donde falleció e</w:t>
      </w:r>
      <w:r w:rsidRPr="00CC04EC">
        <w:rPr>
          <w:i w:val="0"/>
          <w:szCs w:val="20"/>
        </w:rPr>
        <w:t>l 5 de diciembre de 2003 con motivo</w:t>
      </w:r>
      <w:r w:rsidR="00F87540">
        <w:rPr>
          <w:i w:val="0"/>
          <w:szCs w:val="20"/>
        </w:rPr>
        <w:t xml:space="preserve"> de un paro </w:t>
      </w:r>
      <w:proofErr w:type="spellStart"/>
      <w:r w:rsidR="00F87540">
        <w:rPr>
          <w:i w:val="0"/>
          <w:szCs w:val="20"/>
        </w:rPr>
        <w:t>cardiorespiratorio</w:t>
      </w:r>
      <w:proofErr w:type="spellEnd"/>
      <w:r w:rsidR="00F87540">
        <w:rPr>
          <w:i w:val="0"/>
          <w:szCs w:val="20"/>
        </w:rPr>
        <w:t>,</w:t>
      </w:r>
      <w:r w:rsidRPr="00CC04EC">
        <w:rPr>
          <w:i w:val="0"/>
          <w:szCs w:val="20"/>
        </w:rPr>
        <w:t xml:space="preserve"> micosis diseminada</w:t>
      </w:r>
      <w:r>
        <w:rPr>
          <w:i w:val="0"/>
          <w:szCs w:val="20"/>
        </w:rPr>
        <w:t>, y SIDA</w:t>
      </w:r>
      <w:r w:rsidRPr="00CC04EC">
        <w:rPr>
          <w:rStyle w:val="Refdenotaalpie"/>
          <w:i w:val="0"/>
        </w:rPr>
        <w:footnoteReference w:id="263"/>
      </w:r>
      <w:r>
        <w:rPr>
          <w:i w:val="0"/>
          <w:szCs w:val="20"/>
        </w:rPr>
        <w:t>.</w:t>
      </w:r>
    </w:p>
    <w:p w14:paraId="4405DB76" w14:textId="77777777" w:rsidR="003C2AC6" w:rsidRPr="00CC04EC" w:rsidRDefault="003C2AC6" w:rsidP="003C2AC6">
      <w:pPr>
        <w:pStyle w:val="Estilo1"/>
        <w:tabs>
          <w:tab w:val="left" w:pos="709"/>
          <w:tab w:val="left" w:pos="1134"/>
        </w:tabs>
        <w:spacing w:after="0"/>
        <w:ind w:left="0" w:right="-4" w:firstLine="0"/>
        <w:rPr>
          <w:i w:val="0"/>
          <w:szCs w:val="20"/>
        </w:rPr>
      </w:pPr>
    </w:p>
    <w:p w14:paraId="2FC10AE5"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núcleo familiar de </w:t>
      </w:r>
      <w:proofErr w:type="spellStart"/>
      <w:r w:rsidRPr="00CC04EC">
        <w:rPr>
          <w:i w:val="0"/>
          <w:szCs w:val="20"/>
        </w:rPr>
        <w:t>Ismar</w:t>
      </w:r>
      <w:proofErr w:type="spellEnd"/>
      <w:r w:rsidRPr="00CC04EC">
        <w:rPr>
          <w:i w:val="0"/>
          <w:szCs w:val="20"/>
        </w:rPr>
        <w:t xml:space="preserve"> Ramírez Chajón se integraba por su madre</w:t>
      </w:r>
      <w:r>
        <w:rPr>
          <w:i w:val="0"/>
          <w:szCs w:val="20"/>
        </w:rPr>
        <w:t>, María de Jesús Chajón de León,</w:t>
      </w:r>
      <w:r w:rsidRPr="00CC04EC">
        <w:rPr>
          <w:i w:val="0"/>
          <w:szCs w:val="20"/>
        </w:rPr>
        <w:t xml:space="preserve"> su hermana</w:t>
      </w:r>
      <w:r>
        <w:rPr>
          <w:i w:val="0"/>
          <w:szCs w:val="20"/>
        </w:rPr>
        <w:t xml:space="preserve"> Edna Yolanda Ramírez de Roche,</w:t>
      </w:r>
      <w:r w:rsidRPr="00CC04EC">
        <w:rPr>
          <w:i w:val="0"/>
          <w:szCs w:val="20"/>
        </w:rPr>
        <w:t xml:space="preserve"> sus hermanos Carlos Fernando y Ariel, ambo</w:t>
      </w:r>
      <w:r>
        <w:rPr>
          <w:i w:val="0"/>
          <w:szCs w:val="20"/>
        </w:rPr>
        <w:t xml:space="preserve">s de apellidos </w:t>
      </w:r>
      <w:proofErr w:type="spellStart"/>
      <w:r>
        <w:rPr>
          <w:i w:val="0"/>
          <w:szCs w:val="20"/>
        </w:rPr>
        <w:t>Coc</w:t>
      </w:r>
      <w:proofErr w:type="spellEnd"/>
      <w:r>
        <w:rPr>
          <w:i w:val="0"/>
          <w:szCs w:val="20"/>
        </w:rPr>
        <w:t xml:space="preserve"> Chajón,</w:t>
      </w:r>
      <w:r w:rsidRPr="00CC04EC">
        <w:rPr>
          <w:i w:val="0"/>
          <w:szCs w:val="20"/>
        </w:rPr>
        <w:t xml:space="preserve"> su sobrino Abner Antonio y su sobrina Karla </w:t>
      </w:r>
      <w:proofErr w:type="spellStart"/>
      <w:r w:rsidRPr="00CC04EC">
        <w:rPr>
          <w:i w:val="0"/>
          <w:szCs w:val="20"/>
        </w:rPr>
        <w:t>Susely</w:t>
      </w:r>
      <w:proofErr w:type="spellEnd"/>
      <w:r w:rsidRPr="00CC04EC">
        <w:rPr>
          <w:i w:val="0"/>
          <w:szCs w:val="20"/>
        </w:rPr>
        <w:t>, a</w:t>
      </w:r>
      <w:r>
        <w:rPr>
          <w:i w:val="0"/>
          <w:szCs w:val="20"/>
        </w:rPr>
        <w:t>mbos de apellidos Ramírez Mejía, y</w:t>
      </w:r>
      <w:r w:rsidRPr="00CC04EC">
        <w:rPr>
          <w:i w:val="0"/>
          <w:szCs w:val="20"/>
        </w:rPr>
        <w:t xml:space="preserve"> su pareja sentimental</w:t>
      </w:r>
      <w:r w:rsidRPr="00CC04EC">
        <w:rPr>
          <w:i w:val="0"/>
          <w:szCs w:val="20"/>
          <w:vertAlign w:val="superscript"/>
        </w:rPr>
        <w:footnoteReference w:id="264"/>
      </w:r>
      <w:r w:rsidRPr="00CC04EC">
        <w:rPr>
          <w:i w:val="0"/>
          <w:szCs w:val="20"/>
        </w:rPr>
        <w:t>.</w:t>
      </w:r>
    </w:p>
    <w:p w14:paraId="1BCBC28B" w14:textId="77777777" w:rsidR="003C2AC6" w:rsidRDefault="003C2AC6" w:rsidP="003C2AC6">
      <w:pPr>
        <w:pStyle w:val="PrrafodeSentencia"/>
      </w:pPr>
    </w:p>
    <w:p w14:paraId="72F30FAE" w14:textId="77777777" w:rsidR="003C2AC6" w:rsidRDefault="003C2AC6" w:rsidP="003C2AC6">
      <w:pPr>
        <w:pStyle w:val="PrrafodeSentencia"/>
      </w:pPr>
      <w:r>
        <w:tab/>
        <w:t>A.</w:t>
      </w:r>
      <w:r w:rsidRPr="00CC04EC">
        <w:t>4. Petrona López Robledo</w:t>
      </w:r>
      <w:r w:rsidRPr="00F87540">
        <w:rPr>
          <w:b w:val="0"/>
          <w:vertAlign w:val="superscript"/>
        </w:rPr>
        <w:footnoteReference w:id="265"/>
      </w:r>
    </w:p>
    <w:p w14:paraId="71AD8776" w14:textId="77777777" w:rsidR="003C2AC6" w:rsidRPr="00CC04EC" w:rsidRDefault="003C2AC6" w:rsidP="003C2AC6">
      <w:pPr>
        <w:pStyle w:val="PrrafodeSentencia"/>
      </w:pPr>
    </w:p>
    <w:p w14:paraId="2932A072"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López Robledo nació el 20 de marzo 1980. No contaba con estudios</w:t>
      </w:r>
      <w:r>
        <w:rPr>
          <w:i w:val="0"/>
          <w:szCs w:val="20"/>
        </w:rPr>
        <w:t xml:space="preserve"> y su ocupación era lavandera</w:t>
      </w:r>
      <w:r w:rsidRPr="00CC04EC">
        <w:rPr>
          <w:i w:val="0"/>
          <w:szCs w:val="20"/>
        </w:rPr>
        <w:t>. Residía en el Departamento de Suchitepéquez</w:t>
      </w:r>
      <w:r>
        <w:rPr>
          <w:i w:val="0"/>
          <w:szCs w:val="20"/>
        </w:rPr>
        <w:t>, en Guatemala,</w:t>
      </w:r>
      <w:r w:rsidRPr="00CC04EC">
        <w:rPr>
          <w:i w:val="0"/>
          <w:szCs w:val="20"/>
        </w:rPr>
        <w:t xml:space="preserve"> con su pareja, Miguel Álvarez, quien también </w:t>
      </w:r>
      <w:r>
        <w:rPr>
          <w:i w:val="0"/>
          <w:szCs w:val="20"/>
        </w:rPr>
        <w:t>era una persona que vivía con el</w:t>
      </w:r>
      <w:r w:rsidRPr="00CC04EC">
        <w:rPr>
          <w:i w:val="0"/>
          <w:szCs w:val="20"/>
        </w:rPr>
        <w:t xml:space="preserve"> VIH. Fue diagnosticada el 26 de febrero de 2001, en el Hospital de Mazatenango. Recibía seguimiento médico en el Centro de Salud Pública de San Bernardino, Departamento de Suchitepéquez. No obs</w:t>
      </w:r>
      <w:r>
        <w:rPr>
          <w:i w:val="0"/>
          <w:szCs w:val="20"/>
        </w:rPr>
        <w:t>tante, no recibía tratamiento para combatir el</w:t>
      </w:r>
      <w:r w:rsidRPr="00CC04EC">
        <w:rPr>
          <w:i w:val="0"/>
          <w:szCs w:val="20"/>
        </w:rPr>
        <w:t xml:space="preserve"> VIH, ni tuvo acceso a exámenes CD4 y de carga viral, para iniciar el tratamiento antirretroviral. Inició el tratamiento antirretroviral a mediados de 2003</w:t>
      </w:r>
      <w:r>
        <w:rPr>
          <w:i w:val="0"/>
          <w:szCs w:val="20"/>
        </w:rPr>
        <w:t>. F</w:t>
      </w:r>
      <w:r w:rsidRPr="00CC04EC">
        <w:rPr>
          <w:i w:val="0"/>
          <w:szCs w:val="20"/>
        </w:rPr>
        <w:t>alleció en ener</w:t>
      </w:r>
      <w:r>
        <w:rPr>
          <w:i w:val="0"/>
          <w:szCs w:val="20"/>
        </w:rPr>
        <w:t>o de 2004 debido a una neumonía</w:t>
      </w:r>
      <w:r w:rsidRPr="00CC04EC">
        <w:rPr>
          <w:rStyle w:val="Refdenotaalpie"/>
          <w:i w:val="0"/>
        </w:rPr>
        <w:footnoteReference w:id="266"/>
      </w:r>
      <w:r>
        <w:rPr>
          <w:i w:val="0"/>
          <w:szCs w:val="20"/>
        </w:rPr>
        <w:t>.</w:t>
      </w:r>
    </w:p>
    <w:p w14:paraId="16420285" w14:textId="77777777" w:rsidR="003C2AC6" w:rsidRPr="00CC04EC" w:rsidRDefault="003C2AC6" w:rsidP="003C2AC6">
      <w:pPr>
        <w:pStyle w:val="Estilo1"/>
        <w:tabs>
          <w:tab w:val="left" w:pos="709"/>
          <w:tab w:val="left" w:pos="1134"/>
        </w:tabs>
        <w:spacing w:after="0"/>
        <w:ind w:left="0" w:right="-4" w:firstLine="0"/>
        <w:rPr>
          <w:i w:val="0"/>
          <w:szCs w:val="20"/>
        </w:rPr>
      </w:pPr>
    </w:p>
    <w:p w14:paraId="7D675844"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integraba por sus dos hijas menores de edad </w:t>
      </w:r>
      <w:proofErr w:type="spellStart"/>
      <w:r w:rsidRPr="00CC04EC">
        <w:rPr>
          <w:i w:val="0"/>
          <w:szCs w:val="20"/>
        </w:rPr>
        <w:t>Marelyn</w:t>
      </w:r>
      <w:proofErr w:type="spellEnd"/>
      <w:r w:rsidRPr="00CC04EC">
        <w:rPr>
          <w:i w:val="0"/>
          <w:szCs w:val="20"/>
        </w:rPr>
        <w:t xml:space="preserve"> </w:t>
      </w:r>
      <w:proofErr w:type="spellStart"/>
      <w:r w:rsidRPr="00CC04EC">
        <w:rPr>
          <w:i w:val="0"/>
          <w:szCs w:val="20"/>
        </w:rPr>
        <w:t>Damaisa</w:t>
      </w:r>
      <w:proofErr w:type="spellEnd"/>
      <w:r w:rsidRPr="00CC04EC">
        <w:rPr>
          <w:i w:val="0"/>
          <w:szCs w:val="20"/>
        </w:rPr>
        <w:t xml:space="preserve"> y Juana </w:t>
      </w:r>
      <w:proofErr w:type="spellStart"/>
      <w:r w:rsidRPr="00CC04EC">
        <w:rPr>
          <w:i w:val="0"/>
          <w:szCs w:val="20"/>
        </w:rPr>
        <w:t>Sugeidi</w:t>
      </w:r>
      <w:proofErr w:type="spellEnd"/>
      <w:r w:rsidRPr="00CC04EC">
        <w:rPr>
          <w:i w:val="0"/>
          <w:szCs w:val="20"/>
        </w:rPr>
        <w:t xml:space="preserve">, ambas de apellido </w:t>
      </w:r>
      <w:proofErr w:type="spellStart"/>
      <w:r w:rsidRPr="00CC04EC">
        <w:rPr>
          <w:i w:val="0"/>
          <w:szCs w:val="20"/>
        </w:rPr>
        <w:t>Xum</w:t>
      </w:r>
      <w:proofErr w:type="spellEnd"/>
      <w:r w:rsidRPr="00CC04EC">
        <w:rPr>
          <w:i w:val="0"/>
          <w:szCs w:val="20"/>
        </w:rPr>
        <w:t xml:space="preserve"> López, mismas que quedaron al cuidado de su tía, Marcela </w:t>
      </w:r>
      <w:proofErr w:type="spellStart"/>
      <w:r w:rsidRPr="00CC04EC">
        <w:rPr>
          <w:i w:val="0"/>
          <w:szCs w:val="20"/>
        </w:rPr>
        <w:t>Xum</w:t>
      </w:r>
      <w:proofErr w:type="spellEnd"/>
      <w:r w:rsidRPr="00CC04EC">
        <w:rPr>
          <w:i w:val="0"/>
          <w:szCs w:val="20"/>
        </w:rPr>
        <w:t xml:space="preserve"> Basilio</w:t>
      </w:r>
      <w:r w:rsidRPr="00CC04EC">
        <w:rPr>
          <w:i w:val="0"/>
          <w:szCs w:val="20"/>
          <w:vertAlign w:val="superscript"/>
        </w:rPr>
        <w:footnoteReference w:id="267"/>
      </w:r>
      <w:r w:rsidRPr="002B2260">
        <w:rPr>
          <w:i w:val="0"/>
          <w:szCs w:val="20"/>
        </w:rPr>
        <w:t>.</w:t>
      </w:r>
    </w:p>
    <w:p w14:paraId="00B23280" w14:textId="77777777" w:rsidR="003C2AC6" w:rsidRDefault="003C2AC6" w:rsidP="003C2AC6">
      <w:pPr>
        <w:pStyle w:val="PrrafodeSentencia"/>
      </w:pPr>
    </w:p>
    <w:p w14:paraId="4F480D79" w14:textId="77777777" w:rsidR="003C2AC6" w:rsidRDefault="003C2AC6" w:rsidP="003C2AC6">
      <w:pPr>
        <w:pStyle w:val="PrrafodeSentencia"/>
      </w:pPr>
      <w:r>
        <w:tab/>
        <w:t>A.</w:t>
      </w:r>
      <w:r w:rsidRPr="00CC04EC">
        <w:t>5. Rita Mariana Dubón Orozco</w:t>
      </w:r>
    </w:p>
    <w:p w14:paraId="1A39C4E9" w14:textId="77777777" w:rsidR="003C2AC6" w:rsidRPr="00CC04EC" w:rsidRDefault="003C2AC6" w:rsidP="003C2AC6">
      <w:pPr>
        <w:pStyle w:val="PrrafodeSentencia"/>
      </w:pPr>
    </w:p>
    <w:p w14:paraId="3543D771"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Dubón Orozco</w:t>
      </w:r>
      <w:r>
        <w:rPr>
          <w:i w:val="0"/>
          <w:szCs w:val="20"/>
        </w:rPr>
        <w:t xml:space="preserve"> nació el 29 de marzo de 1979. C</w:t>
      </w:r>
      <w:r w:rsidRPr="00CC04EC">
        <w:rPr>
          <w:i w:val="0"/>
          <w:szCs w:val="20"/>
        </w:rPr>
        <w:t xml:space="preserve">omenzó a recibir atención en 2002, en el Hospital Nacional de Coatepeque. </w:t>
      </w:r>
      <w:r>
        <w:rPr>
          <w:i w:val="0"/>
          <w:szCs w:val="20"/>
        </w:rPr>
        <w:t xml:space="preserve">Recibió tratamiento antirretroviral por parte de MSF desde mediados del año 2003. </w:t>
      </w:r>
      <w:r w:rsidRPr="00CC04EC">
        <w:rPr>
          <w:i w:val="0"/>
          <w:szCs w:val="20"/>
        </w:rPr>
        <w:t xml:space="preserve">No contó con exámenes de CD4, carga viral, genotipo y fenotipo que le permitieran tratar a tiempo sus enfermedades. Padeció sepsis generalizada, </w:t>
      </w:r>
      <w:r w:rsidRPr="00CC04EC">
        <w:rPr>
          <w:i w:val="0"/>
          <w:szCs w:val="20"/>
        </w:rPr>
        <w:lastRenderedPageBreak/>
        <w:t xml:space="preserve">diabetes </w:t>
      </w:r>
      <w:r>
        <w:rPr>
          <w:i w:val="0"/>
          <w:szCs w:val="20"/>
        </w:rPr>
        <w:t>mellitus, hipertensión arterial,</w:t>
      </w:r>
      <w:r w:rsidRPr="00CC04EC">
        <w:rPr>
          <w:i w:val="0"/>
          <w:szCs w:val="20"/>
        </w:rPr>
        <w:t xml:space="preserve"> insuficiencia renal crónica</w:t>
      </w:r>
      <w:r>
        <w:rPr>
          <w:i w:val="0"/>
          <w:szCs w:val="20"/>
        </w:rPr>
        <w:t xml:space="preserve"> y neumonía</w:t>
      </w:r>
      <w:r w:rsidRPr="00CC04EC">
        <w:rPr>
          <w:i w:val="0"/>
          <w:szCs w:val="20"/>
        </w:rPr>
        <w:t xml:space="preserve">. Falleció </w:t>
      </w:r>
      <w:r>
        <w:rPr>
          <w:i w:val="0"/>
          <w:szCs w:val="20"/>
        </w:rPr>
        <w:t>27 de junio de 2006</w:t>
      </w:r>
      <w:r w:rsidRPr="00CC04EC">
        <w:rPr>
          <w:rStyle w:val="Refdenotaalpie"/>
          <w:i w:val="0"/>
        </w:rPr>
        <w:footnoteReference w:id="268"/>
      </w:r>
      <w:r>
        <w:rPr>
          <w:i w:val="0"/>
          <w:szCs w:val="20"/>
        </w:rPr>
        <w:t>.</w:t>
      </w:r>
    </w:p>
    <w:p w14:paraId="06ACD7C1" w14:textId="77777777" w:rsidR="003C2AC6" w:rsidRPr="00CC04EC" w:rsidRDefault="003C2AC6" w:rsidP="003C2AC6">
      <w:pPr>
        <w:pStyle w:val="Estilo1"/>
        <w:tabs>
          <w:tab w:val="left" w:pos="709"/>
          <w:tab w:val="left" w:pos="1134"/>
        </w:tabs>
        <w:spacing w:after="0"/>
        <w:ind w:left="0" w:right="-4" w:firstLine="0"/>
        <w:rPr>
          <w:i w:val="0"/>
          <w:szCs w:val="20"/>
        </w:rPr>
      </w:pPr>
    </w:p>
    <w:p w14:paraId="2FDDC874"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Rita Mariana tenía como personas cercanas a sus amigas, Luz Imelda Lucas de León, Rina Haydée Landaverde y Gladys Minerva Chávez Juárez</w:t>
      </w:r>
      <w:r w:rsidRPr="00CC04EC">
        <w:rPr>
          <w:i w:val="0"/>
          <w:szCs w:val="20"/>
          <w:vertAlign w:val="superscript"/>
        </w:rPr>
        <w:footnoteReference w:id="269"/>
      </w:r>
      <w:r w:rsidRPr="00CC04EC">
        <w:rPr>
          <w:i w:val="0"/>
          <w:szCs w:val="20"/>
        </w:rPr>
        <w:t>.</w:t>
      </w:r>
    </w:p>
    <w:p w14:paraId="6A5FCC9A" w14:textId="77777777" w:rsidR="003C2AC6" w:rsidRDefault="003C2AC6" w:rsidP="003C2AC6">
      <w:pPr>
        <w:pStyle w:val="PrrafodeSentencia"/>
      </w:pPr>
    </w:p>
    <w:p w14:paraId="78390E34" w14:textId="77777777" w:rsidR="003C2AC6" w:rsidRDefault="003C2AC6" w:rsidP="003C2AC6">
      <w:pPr>
        <w:pStyle w:val="PrrafodeSentencia"/>
      </w:pPr>
      <w:r>
        <w:tab/>
        <w:t>A.6. Luis Edwin Cruz Gramajo</w:t>
      </w:r>
    </w:p>
    <w:p w14:paraId="3FE2CE10" w14:textId="77777777" w:rsidR="003C2AC6" w:rsidRPr="00CC04EC" w:rsidRDefault="003C2AC6" w:rsidP="003C2AC6">
      <w:pPr>
        <w:pStyle w:val="PrrafodeSentencia"/>
      </w:pPr>
    </w:p>
    <w:p w14:paraId="7B080850" w14:textId="55F27988"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El señor Cruz Gramajo</w:t>
      </w:r>
      <w:r w:rsidRPr="00CC04EC">
        <w:rPr>
          <w:i w:val="0"/>
          <w:szCs w:val="20"/>
        </w:rPr>
        <w:t xml:space="preserve"> naci</w:t>
      </w:r>
      <w:r>
        <w:rPr>
          <w:i w:val="0"/>
          <w:szCs w:val="20"/>
        </w:rPr>
        <w:t>ó el 29 de julio de 1961. Residí</w:t>
      </w:r>
      <w:r w:rsidRPr="00CC04EC">
        <w:rPr>
          <w:i w:val="0"/>
          <w:szCs w:val="20"/>
        </w:rPr>
        <w:t>a</w:t>
      </w:r>
      <w:r>
        <w:rPr>
          <w:i w:val="0"/>
          <w:szCs w:val="20"/>
        </w:rPr>
        <w:t xml:space="preserve"> en Ciudad de Guatemala</w:t>
      </w:r>
      <w:r w:rsidRPr="00CC04EC">
        <w:rPr>
          <w:i w:val="0"/>
          <w:szCs w:val="20"/>
        </w:rPr>
        <w:t>. Comenzó a recibir tratamiento antirr</w:t>
      </w:r>
      <w:r>
        <w:rPr>
          <w:i w:val="0"/>
          <w:szCs w:val="20"/>
        </w:rPr>
        <w:t>etroviral a partir del año 2002</w:t>
      </w:r>
      <w:r w:rsidRPr="00CC04EC">
        <w:rPr>
          <w:i w:val="0"/>
          <w:szCs w:val="20"/>
        </w:rPr>
        <w:t xml:space="preserve"> por parte de MSF. Este tratamiento duró hasta 2004. Con posterioridad le brindó atención la Fundación Marco Antonio. No tuvo acceso a exámenes de fenotipo ni de genotipo. Falleció</w:t>
      </w:r>
      <w:r>
        <w:rPr>
          <w:i w:val="0"/>
          <w:szCs w:val="20"/>
        </w:rPr>
        <w:t xml:space="preserve"> el 29 de</w:t>
      </w:r>
      <w:r w:rsidRPr="00CC04EC">
        <w:rPr>
          <w:i w:val="0"/>
          <w:szCs w:val="20"/>
        </w:rPr>
        <w:t xml:space="preserve"> enero de 2008</w:t>
      </w:r>
      <w:r>
        <w:rPr>
          <w:i w:val="0"/>
          <w:szCs w:val="20"/>
        </w:rPr>
        <w:t xml:space="preserve"> por un paro respiratorio</w:t>
      </w:r>
      <w:r w:rsidRPr="00F87540">
        <w:rPr>
          <w:rStyle w:val="Refdenotaalpie"/>
          <w:i w:val="0"/>
        </w:rPr>
        <w:footnoteReference w:id="270"/>
      </w:r>
      <w:r>
        <w:rPr>
          <w:i w:val="0"/>
          <w:szCs w:val="20"/>
        </w:rPr>
        <w:t>.</w:t>
      </w:r>
    </w:p>
    <w:p w14:paraId="7E33D05B" w14:textId="77777777" w:rsidR="003C2AC6" w:rsidRPr="00CC04EC" w:rsidRDefault="003C2AC6" w:rsidP="003C2AC6">
      <w:pPr>
        <w:pStyle w:val="Estilo1"/>
        <w:tabs>
          <w:tab w:val="left" w:pos="709"/>
          <w:tab w:val="left" w:pos="1134"/>
        </w:tabs>
        <w:spacing w:after="0"/>
        <w:ind w:left="0" w:right="-4" w:firstLine="0"/>
        <w:rPr>
          <w:i w:val="0"/>
          <w:szCs w:val="20"/>
        </w:rPr>
      </w:pPr>
    </w:p>
    <w:p w14:paraId="24CD3775"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w:t>
      </w:r>
      <w:r>
        <w:rPr>
          <w:i w:val="0"/>
          <w:szCs w:val="20"/>
        </w:rPr>
        <w:t>iar se integraba por su hermana</w:t>
      </w:r>
      <w:r w:rsidRPr="00CC04EC">
        <w:rPr>
          <w:i w:val="0"/>
          <w:szCs w:val="20"/>
        </w:rPr>
        <w:t xml:space="preserve"> Ma</w:t>
      </w:r>
      <w:r>
        <w:rPr>
          <w:i w:val="0"/>
          <w:szCs w:val="20"/>
        </w:rPr>
        <w:t>rí</w:t>
      </w:r>
      <w:r w:rsidRPr="00CC04EC">
        <w:rPr>
          <w:i w:val="0"/>
          <w:szCs w:val="20"/>
        </w:rPr>
        <w:t>a del Ro</w:t>
      </w:r>
      <w:r>
        <w:rPr>
          <w:i w:val="0"/>
          <w:szCs w:val="20"/>
        </w:rPr>
        <w:t>sario Cruz Gramajo y su sobrino</w:t>
      </w:r>
      <w:r w:rsidRPr="00CC04EC">
        <w:rPr>
          <w:i w:val="0"/>
          <w:szCs w:val="20"/>
        </w:rPr>
        <w:t xml:space="preserve"> José Andrés Cruz Gramajo, así como</w:t>
      </w:r>
      <w:r>
        <w:rPr>
          <w:i w:val="0"/>
          <w:szCs w:val="20"/>
        </w:rPr>
        <w:t xml:space="preserve"> su hermano Carlos Cruz Gramajo</w:t>
      </w:r>
      <w:r w:rsidRPr="00CC04EC">
        <w:rPr>
          <w:i w:val="0"/>
          <w:szCs w:val="20"/>
          <w:vertAlign w:val="superscript"/>
        </w:rPr>
        <w:footnoteReference w:id="271"/>
      </w:r>
      <w:r>
        <w:rPr>
          <w:i w:val="0"/>
          <w:szCs w:val="20"/>
        </w:rPr>
        <w:t>.</w:t>
      </w:r>
    </w:p>
    <w:p w14:paraId="6FD55BD7" w14:textId="77777777" w:rsidR="003C2AC6" w:rsidRPr="002B2260" w:rsidRDefault="003C2AC6" w:rsidP="003C2AC6">
      <w:pPr>
        <w:pStyle w:val="PrrafodeSentencia"/>
      </w:pPr>
    </w:p>
    <w:p w14:paraId="67314D3A" w14:textId="77777777" w:rsidR="003C2AC6" w:rsidRDefault="003C2AC6" w:rsidP="003C2AC6">
      <w:pPr>
        <w:pStyle w:val="PrrafodeSentencia"/>
      </w:pPr>
      <w:r>
        <w:tab/>
        <w:t>A.7. María Blanca Vaí</w:t>
      </w:r>
      <w:r w:rsidRPr="00CC04EC">
        <w:t>l López</w:t>
      </w:r>
    </w:p>
    <w:p w14:paraId="696C8927" w14:textId="77777777" w:rsidR="003C2AC6" w:rsidRPr="00CC04EC" w:rsidRDefault="003C2AC6" w:rsidP="003C2AC6">
      <w:pPr>
        <w:pStyle w:val="PrrafodeSentencia"/>
      </w:pPr>
    </w:p>
    <w:p w14:paraId="03D68A44"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 xml:space="preserve">La señora </w:t>
      </w:r>
      <w:proofErr w:type="spellStart"/>
      <w:r>
        <w:rPr>
          <w:i w:val="0"/>
          <w:szCs w:val="20"/>
        </w:rPr>
        <w:t>Vaí</w:t>
      </w:r>
      <w:r w:rsidRPr="00CC04EC">
        <w:rPr>
          <w:i w:val="0"/>
          <w:szCs w:val="20"/>
        </w:rPr>
        <w:t>l</w:t>
      </w:r>
      <w:proofErr w:type="spellEnd"/>
      <w:r w:rsidRPr="00CC04EC">
        <w:rPr>
          <w:i w:val="0"/>
          <w:szCs w:val="20"/>
        </w:rPr>
        <w:t xml:space="preserve"> López nació el 20 de mayo de 1974. Hablaba </w:t>
      </w:r>
      <w:proofErr w:type="spellStart"/>
      <w:r w:rsidRPr="00CC04EC">
        <w:rPr>
          <w:i w:val="0"/>
          <w:szCs w:val="20"/>
        </w:rPr>
        <w:t>mam</w:t>
      </w:r>
      <w:proofErr w:type="spellEnd"/>
      <w:r w:rsidRPr="00CC04EC">
        <w:rPr>
          <w:i w:val="0"/>
          <w:szCs w:val="20"/>
        </w:rPr>
        <w:t xml:space="preserve"> y español. Residía en Sector Colmena, Aldea </w:t>
      </w:r>
      <w:proofErr w:type="spellStart"/>
      <w:r w:rsidRPr="00CC04EC">
        <w:rPr>
          <w:i w:val="0"/>
          <w:szCs w:val="20"/>
        </w:rPr>
        <w:t>Sibaná</w:t>
      </w:r>
      <w:proofErr w:type="spellEnd"/>
      <w:r w:rsidRPr="00CC04EC">
        <w:rPr>
          <w:i w:val="0"/>
          <w:szCs w:val="20"/>
        </w:rPr>
        <w:t xml:space="preserve">, El Municipio de El Asintal, Departamento de Retalhuleu, Guatemala. Era atendida en el Hospital de Coatepeque. Fue diagnosticada con VIH </w:t>
      </w:r>
      <w:r>
        <w:rPr>
          <w:i w:val="0"/>
          <w:szCs w:val="20"/>
        </w:rPr>
        <w:t>el 20 de noviembre de 2001</w:t>
      </w:r>
      <w:r w:rsidRPr="00CC04EC">
        <w:rPr>
          <w:i w:val="0"/>
          <w:szCs w:val="20"/>
        </w:rPr>
        <w:t>, en el programa Proyecto Vida de MSF. Inició tratamiento con esta organización en 2003</w:t>
      </w:r>
      <w:r>
        <w:rPr>
          <w:i w:val="0"/>
          <w:szCs w:val="20"/>
        </w:rPr>
        <w:t>,</w:t>
      </w:r>
      <w:r w:rsidRPr="00CC04EC">
        <w:rPr>
          <w:i w:val="0"/>
          <w:szCs w:val="20"/>
        </w:rPr>
        <w:t xml:space="preserve"> donde recibió tratamiento profiláctico y apoyo nutricional.</w:t>
      </w:r>
      <w:r>
        <w:rPr>
          <w:i w:val="0"/>
          <w:szCs w:val="20"/>
        </w:rPr>
        <w:t xml:space="preserve"> </w:t>
      </w:r>
      <w:r w:rsidRPr="00CC04EC">
        <w:rPr>
          <w:i w:val="0"/>
          <w:szCs w:val="20"/>
        </w:rPr>
        <w:t>A partir del año 2004 fue atendida por MSF, en el Hospital Nacional de Coatepeque, donde recibió tratamiento antirretroviral. Tuvo acceso irregular a exámenes de CD4 (4 veces) y carga viral (1 vez). Padeció herpes genital, candidiasis vaginal, dermatitis, otitis e histoplasmosis.</w:t>
      </w:r>
      <w:r w:rsidRPr="00CC04EC">
        <w:rPr>
          <w:b/>
          <w:i w:val="0"/>
          <w:szCs w:val="20"/>
        </w:rPr>
        <w:t xml:space="preserve"> </w:t>
      </w:r>
      <w:r w:rsidRPr="00CC04EC">
        <w:rPr>
          <w:i w:val="0"/>
          <w:szCs w:val="20"/>
        </w:rPr>
        <w:t>No tenía recursos económicos. Falleció el 27 de marzo de 2011,</w:t>
      </w:r>
      <w:r>
        <w:rPr>
          <w:i w:val="0"/>
          <w:szCs w:val="20"/>
        </w:rPr>
        <w:t xml:space="preserve"> por un paro cardiaco respiratorio y por deshidratación</w:t>
      </w:r>
      <w:r w:rsidRPr="00CC04EC">
        <w:rPr>
          <w:i w:val="0"/>
          <w:szCs w:val="20"/>
        </w:rPr>
        <w:t>.</w:t>
      </w:r>
      <w:r w:rsidRPr="00CC04EC">
        <w:rPr>
          <w:rStyle w:val="Refdenotaalpie"/>
          <w:i w:val="0"/>
        </w:rPr>
        <w:footnoteReference w:id="272"/>
      </w:r>
    </w:p>
    <w:p w14:paraId="58831829" w14:textId="77777777" w:rsidR="003C2AC6" w:rsidRPr="00CC04EC" w:rsidRDefault="003C2AC6" w:rsidP="003C2AC6">
      <w:pPr>
        <w:pStyle w:val="Estilo1"/>
        <w:tabs>
          <w:tab w:val="left" w:pos="709"/>
          <w:tab w:val="left" w:pos="1134"/>
        </w:tabs>
        <w:spacing w:after="0"/>
        <w:ind w:left="0" w:right="-4" w:firstLine="0"/>
        <w:rPr>
          <w:i w:val="0"/>
          <w:szCs w:val="20"/>
        </w:rPr>
      </w:pPr>
    </w:p>
    <w:p w14:paraId="3842C558" w14:textId="01021984"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encontraba integrado po</w:t>
      </w:r>
      <w:r>
        <w:rPr>
          <w:i w:val="0"/>
          <w:szCs w:val="20"/>
        </w:rPr>
        <w:t xml:space="preserve">r su esposo Javier Pérez (fallecido), su hija </w:t>
      </w:r>
      <w:proofErr w:type="spellStart"/>
      <w:r>
        <w:rPr>
          <w:i w:val="0"/>
          <w:szCs w:val="20"/>
        </w:rPr>
        <w:t>Lexana</w:t>
      </w:r>
      <w:proofErr w:type="spellEnd"/>
      <w:r>
        <w:rPr>
          <w:i w:val="0"/>
          <w:szCs w:val="20"/>
        </w:rPr>
        <w:t xml:space="preserve"> </w:t>
      </w:r>
      <w:proofErr w:type="spellStart"/>
      <w:r>
        <w:rPr>
          <w:i w:val="0"/>
          <w:szCs w:val="20"/>
        </w:rPr>
        <w:t>Rosbetty</w:t>
      </w:r>
      <w:proofErr w:type="spellEnd"/>
      <w:r>
        <w:rPr>
          <w:i w:val="0"/>
          <w:szCs w:val="20"/>
        </w:rPr>
        <w:t xml:space="preserve"> Pérez </w:t>
      </w:r>
      <w:proofErr w:type="spellStart"/>
      <w:r>
        <w:rPr>
          <w:i w:val="0"/>
          <w:szCs w:val="20"/>
        </w:rPr>
        <w:t>V</w:t>
      </w:r>
      <w:r w:rsidR="003619A2">
        <w:rPr>
          <w:i w:val="0"/>
          <w:szCs w:val="20"/>
        </w:rPr>
        <w:t>aí</w:t>
      </w:r>
      <w:r>
        <w:rPr>
          <w:i w:val="0"/>
          <w:szCs w:val="20"/>
        </w:rPr>
        <w:t>l</w:t>
      </w:r>
      <w:proofErr w:type="spellEnd"/>
      <w:r>
        <w:rPr>
          <w:i w:val="0"/>
          <w:szCs w:val="20"/>
        </w:rPr>
        <w:t>, sus hermanas</w:t>
      </w:r>
      <w:r w:rsidRPr="00CC04EC">
        <w:rPr>
          <w:i w:val="0"/>
          <w:szCs w:val="20"/>
        </w:rPr>
        <w:t xml:space="preserve"> Alba Azucena y América Leticia</w:t>
      </w:r>
      <w:r>
        <w:rPr>
          <w:i w:val="0"/>
          <w:szCs w:val="20"/>
        </w:rPr>
        <w:t xml:space="preserve">, ambas de </w:t>
      </w:r>
      <w:r w:rsidR="003619A2">
        <w:rPr>
          <w:i w:val="0"/>
          <w:szCs w:val="20"/>
        </w:rPr>
        <w:lastRenderedPageBreak/>
        <w:t xml:space="preserve">apellidos </w:t>
      </w:r>
      <w:proofErr w:type="spellStart"/>
      <w:r w:rsidR="003619A2">
        <w:rPr>
          <w:i w:val="0"/>
          <w:szCs w:val="20"/>
        </w:rPr>
        <w:t>Vaí</w:t>
      </w:r>
      <w:r>
        <w:rPr>
          <w:i w:val="0"/>
          <w:szCs w:val="20"/>
        </w:rPr>
        <w:t>l</w:t>
      </w:r>
      <w:proofErr w:type="spellEnd"/>
      <w:r>
        <w:rPr>
          <w:i w:val="0"/>
          <w:szCs w:val="20"/>
        </w:rPr>
        <w:t xml:space="preserve"> Lópe</w:t>
      </w:r>
      <w:r w:rsidR="003619A2">
        <w:rPr>
          <w:i w:val="0"/>
          <w:szCs w:val="20"/>
        </w:rPr>
        <w:t xml:space="preserve">z, su hermano Marvin Antonio </w:t>
      </w:r>
      <w:proofErr w:type="spellStart"/>
      <w:r w:rsidR="003619A2">
        <w:rPr>
          <w:i w:val="0"/>
          <w:szCs w:val="20"/>
        </w:rPr>
        <w:t>Vaíl</w:t>
      </w:r>
      <w:proofErr w:type="spellEnd"/>
      <w:r w:rsidR="003619A2">
        <w:rPr>
          <w:i w:val="0"/>
          <w:szCs w:val="20"/>
        </w:rPr>
        <w:t xml:space="preserve"> López, su padre Antonio </w:t>
      </w:r>
      <w:proofErr w:type="spellStart"/>
      <w:r w:rsidR="003619A2">
        <w:rPr>
          <w:i w:val="0"/>
          <w:szCs w:val="20"/>
        </w:rPr>
        <w:t>Vaí</w:t>
      </w:r>
      <w:r>
        <w:rPr>
          <w:i w:val="0"/>
          <w:szCs w:val="20"/>
        </w:rPr>
        <w:t>l</w:t>
      </w:r>
      <w:proofErr w:type="spellEnd"/>
      <w:r>
        <w:rPr>
          <w:i w:val="0"/>
          <w:szCs w:val="20"/>
        </w:rPr>
        <w:t xml:space="preserve"> Molina y su sobrina</w:t>
      </w:r>
      <w:r w:rsidR="003619A2">
        <w:rPr>
          <w:i w:val="0"/>
          <w:szCs w:val="20"/>
        </w:rPr>
        <w:t xml:space="preserve"> </w:t>
      </w:r>
      <w:proofErr w:type="spellStart"/>
      <w:r w:rsidR="003619A2">
        <w:rPr>
          <w:i w:val="0"/>
          <w:szCs w:val="20"/>
        </w:rPr>
        <w:t>Krizia</w:t>
      </w:r>
      <w:proofErr w:type="spellEnd"/>
      <w:r w:rsidR="003619A2">
        <w:rPr>
          <w:i w:val="0"/>
          <w:szCs w:val="20"/>
        </w:rPr>
        <w:t xml:space="preserve"> Vanessa </w:t>
      </w:r>
      <w:proofErr w:type="spellStart"/>
      <w:r w:rsidR="003619A2">
        <w:rPr>
          <w:i w:val="0"/>
          <w:szCs w:val="20"/>
        </w:rPr>
        <w:t>Vaí</w:t>
      </w:r>
      <w:r w:rsidRPr="00CC04EC">
        <w:rPr>
          <w:i w:val="0"/>
          <w:szCs w:val="20"/>
        </w:rPr>
        <w:t>l</w:t>
      </w:r>
      <w:proofErr w:type="spellEnd"/>
      <w:r w:rsidRPr="00CC04EC">
        <w:rPr>
          <w:i w:val="0"/>
          <w:szCs w:val="20"/>
        </w:rPr>
        <w:t xml:space="preserve"> Aguilar</w:t>
      </w:r>
      <w:r w:rsidRPr="00CC04EC">
        <w:rPr>
          <w:rStyle w:val="Refdenotaalpie"/>
          <w:i w:val="0"/>
        </w:rPr>
        <w:footnoteReference w:id="273"/>
      </w:r>
      <w:r w:rsidRPr="007132DC">
        <w:rPr>
          <w:i w:val="0"/>
          <w:szCs w:val="20"/>
        </w:rPr>
        <w:t>.</w:t>
      </w:r>
    </w:p>
    <w:p w14:paraId="7499A2BF" w14:textId="77777777" w:rsidR="003C2AC6" w:rsidRDefault="003C2AC6" w:rsidP="003C2AC6">
      <w:pPr>
        <w:pStyle w:val="PrrafodeSentencia"/>
      </w:pPr>
    </w:p>
    <w:p w14:paraId="45057B2A" w14:textId="77777777" w:rsidR="003C2AC6" w:rsidRDefault="003C2AC6" w:rsidP="003C2AC6">
      <w:pPr>
        <w:pStyle w:val="PrrafodeSentencia"/>
      </w:pPr>
      <w:r>
        <w:tab/>
        <w:t>A.8. Guadalupe Herminia Cayaxo</w:t>
      </w:r>
      <w:r w:rsidRPr="00CC04EC">
        <w:t>n García</w:t>
      </w:r>
    </w:p>
    <w:p w14:paraId="7E52C4CF" w14:textId="77777777" w:rsidR="003C2AC6" w:rsidRPr="00CC04EC" w:rsidRDefault="003C2AC6" w:rsidP="003C2AC6">
      <w:pPr>
        <w:pStyle w:val="PrrafodeSentencia"/>
      </w:pPr>
    </w:p>
    <w:p w14:paraId="48552F23" w14:textId="695FA1DA"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 xml:space="preserve">La señora </w:t>
      </w:r>
      <w:proofErr w:type="spellStart"/>
      <w:r>
        <w:rPr>
          <w:i w:val="0"/>
          <w:szCs w:val="20"/>
        </w:rPr>
        <w:t>Cayaxo</w:t>
      </w:r>
      <w:r w:rsidRPr="00CC04EC">
        <w:rPr>
          <w:i w:val="0"/>
          <w:szCs w:val="20"/>
        </w:rPr>
        <w:t>n</w:t>
      </w:r>
      <w:proofErr w:type="spellEnd"/>
      <w:r w:rsidRPr="00CC04EC">
        <w:rPr>
          <w:i w:val="0"/>
          <w:szCs w:val="20"/>
        </w:rPr>
        <w:t xml:space="preserve"> García nació el </w:t>
      </w:r>
      <w:r>
        <w:rPr>
          <w:i w:val="0"/>
          <w:szCs w:val="20"/>
        </w:rPr>
        <w:t>12</w:t>
      </w:r>
      <w:r w:rsidRPr="00CC04EC">
        <w:rPr>
          <w:i w:val="0"/>
          <w:szCs w:val="20"/>
        </w:rPr>
        <w:t xml:space="preserve"> de </w:t>
      </w:r>
      <w:r>
        <w:rPr>
          <w:i w:val="0"/>
          <w:szCs w:val="20"/>
        </w:rPr>
        <w:t>diciembre de 1976. Residía</w:t>
      </w:r>
      <w:r w:rsidRPr="00CC04EC">
        <w:rPr>
          <w:i w:val="0"/>
          <w:szCs w:val="20"/>
        </w:rPr>
        <w:t xml:space="preserve"> en Retal</w:t>
      </w:r>
      <w:r w:rsidR="00F87540">
        <w:rPr>
          <w:i w:val="0"/>
          <w:szCs w:val="20"/>
        </w:rPr>
        <w:t>hu</w:t>
      </w:r>
      <w:r w:rsidRPr="00CC04EC">
        <w:rPr>
          <w:i w:val="0"/>
          <w:szCs w:val="20"/>
        </w:rPr>
        <w:t>l</w:t>
      </w:r>
      <w:r w:rsidR="00F87540">
        <w:rPr>
          <w:i w:val="0"/>
          <w:szCs w:val="20"/>
        </w:rPr>
        <w:t>e</w:t>
      </w:r>
      <w:r w:rsidRPr="00CC04EC">
        <w:rPr>
          <w:i w:val="0"/>
          <w:szCs w:val="20"/>
        </w:rPr>
        <w:t>u</w:t>
      </w:r>
      <w:r>
        <w:rPr>
          <w:i w:val="0"/>
          <w:szCs w:val="20"/>
        </w:rPr>
        <w:t>, República de Guatemala.</w:t>
      </w:r>
      <w:r w:rsidRPr="00CC04EC">
        <w:rPr>
          <w:i w:val="0"/>
          <w:szCs w:val="20"/>
        </w:rPr>
        <w:t xml:space="preserve"> </w:t>
      </w:r>
      <w:r>
        <w:rPr>
          <w:i w:val="0"/>
          <w:szCs w:val="20"/>
        </w:rPr>
        <w:t>C</w:t>
      </w:r>
      <w:r w:rsidRPr="00CC04EC">
        <w:rPr>
          <w:i w:val="0"/>
          <w:szCs w:val="20"/>
        </w:rPr>
        <w:t>ursó hasta tercero de primaria</w:t>
      </w:r>
      <w:r w:rsidRPr="007132DC">
        <w:rPr>
          <w:i w:val="0"/>
          <w:szCs w:val="20"/>
        </w:rPr>
        <w:t>.</w:t>
      </w:r>
      <w:r w:rsidRPr="00CC04EC">
        <w:rPr>
          <w:b/>
          <w:i w:val="0"/>
          <w:szCs w:val="20"/>
        </w:rPr>
        <w:t xml:space="preserve"> </w:t>
      </w:r>
      <w:r w:rsidRPr="00CC04EC">
        <w:rPr>
          <w:i w:val="0"/>
          <w:szCs w:val="20"/>
        </w:rPr>
        <w:t xml:space="preserve">Fue diagnosticada con VIH en 2002 en el Hospital de Retalhuleu. Su tratamiento comenzó en </w:t>
      </w:r>
      <w:r>
        <w:rPr>
          <w:i w:val="0"/>
          <w:szCs w:val="20"/>
        </w:rPr>
        <w:t>mayo del</w:t>
      </w:r>
      <w:r w:rsidRPr="00CC04EC">
        <w:rPr>
          <w:i w:val="0"/>
          <w:szCs w:val="20"/>
        </w:rPr>
        <w:t xml:space="preserve"> 2002 en el Hospital Nacional de Coatepeque</w:t>
      </w:r>
      <w:r>
        <w:rPr>
          <w:i w:val="0"/>
          <w:szCs w:val="20"/>
        </w:rPr>
        <w:t xml:space="preserve"> con la atención de MSF</w:t>
      </w:r>
      <w:r w:rsidRPr="00CC04EC">
        <w:rPr>
          <w:i w:val="0"/>
          <w:szCs w:val="20"/>
        </w:rPr>
        <w:t>, donde inició su tratamiento antirretroviral</w:t>
      </w:r>
      <w:r>
        <w:rPr>
          <w:i w:val="0"/>
          <w:szCs w:val="20"/>
        </w:rPr>
        <w:t xml:space="preserve"> en noviembre de ese año</w:t>
      </w:r>
      <w:r w:rsidRPr="00CC04EC">
        <w:rPr>
          <w:i w:val="0"/>
          <w:szCs w:val="20"/>
        </w:rPr>
        <w:t>. No tuvo acceso</w:t>
      </w:r>
      <w:r>
        <w:rPr>
          <w:i w:val="0"/>
          <w:szCs w:val="20"/>
        </w:rPr>
        <w:t xml:space="preserve"> de forma periódica</w:t>
      </w:r>
      <w:r w:rsidRPr="00CC04EC">
        <w:rPr>
          <w:i w:val="0"/>
          <w:szCs w:val="20"/>
        </w:rPr>
        <w:t xml:space="preserve"> a los exámenes de CD4 y carga viral, ni se le proporcionaron medicamentos de forma periódica. La falta de medicamentos le habría ocasionado una resistencia al tratamiento antirretroviral, lo que permitió que sufriera diversas enfermedades oportunistas.</w:t>
      </w:r>
      <w:r>
        <w:rPr>
          <w:i w:val="0"/>
          <w:szCs w:val="20"/>
        </w:rPr>
        <w:t xml:space="preserve"> Padeció hepatomegalia, herpes, </w:t>
      </w:r>
      <w:proofErr w:type="spellStart"/>
      <w:r>
        <w:rPr>
          <w:i w:val="0"/>
          <w:szCs w:val="20"/>
        </w:rPr>
        <w:t>ciatiza</w:t>
      </w:r>
      <w:proofErr w:type="spellEnd"/>
      <w:r>
        <w:rPr>
          <w:i w:val="0"/>
          <w:szCs w:val="20"/>
        </w:rPr>
        <w:t xml:space="preserve"> severa, hiperactividad </w:t>
      </w:r>
      <w:proofErr w:type="spellStart"/>
      <w:r>
        <w:rPr>
          <w:i w:val="0"/>
          <w:szCs w:val="20"/>
        </w:rPr>
        <w:t>bronqueal</w:t>
      </w:r>
      <w:proofErr w:type="spellEnd"/>
      <w:r>
        <w:rPr>
          <w:i w:val="0"/>
          <w:szCs w:val="20"/>
        </w:rPr>
        <w:t xml:space="preserve"> y faringitis. </w:t>
      </w:r>
      <w:r w:rsidRPr="00CC04EC">
        <w:rPr>
          <w:i w:val="0"/>
          <w:szCs w:val="20"/>
        </w:rPr>
        <w:t xml:space="preserve">Falleció el 9 de octubre de 2012 </w:t>
      </w:r>
      <w:r>
        <w:rPr>
          <w:i w:val="0"/>
          <w:szCs w:val="20"/>
        </w:rPr>
        <w:t>por insuficiencia renal crónica</w:t>
      </w:r>
      <w:r w:rsidRPr="00CC04EC">
        <w:rPr>
          <w:i w:val="0"/>
          <w:szCs w:val="20"/>
        </w:rPr>
        <w:t>.</w:t>
      </w:r>
      <w:r w:rsidRPr="00CC04EC">
        <w:rPr>
          <w:rStyle w:val="Refdenotaalpie"/>
          <w:i w:val="0"/>
        </w:rPr>
        <w:footnoteReference w:id="274"/>
      </w:r>
    </w:p>
    <w:p w14:paraId="06FE27D0" w14:textId="77777777" w:rsidR="003C2AC6" w:rsidRPr="00CC04EC" w:rsidRDefault="003C2AC6" w:rsidP="003C2AC6">
      <w:pPr>
        <w:pStyle w:val="Estilo1"/>
        <w:tabs>
          <w:tab w:val="left" w:pos="709"/>
          <w:tab w:val="left" w:pos="1134"/>
        </w:tabs>
        <w:spacing w:after="0"/>
        <w:ind w:left="0" w:right="-4" w:firstLine="0"/>
        <w:rPr>
          <w:i w:val="0"/>
          <w:szCs w:val="20"/>
        </w:rPr>
      </w:pPr>
    </w:p>
    <w:p w14:paraId="5F49FEB9"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encontraba compuesto por su pareja, Rafael de León (fallecido</w:t>
      </w:r>
      <w:r>
        <w:rPr>
          <w:i w:val="0"/>
          <w:szCs w:val="20"/>
        </w:rPr>
        <w:t>), sus hijas</w:t>
      </w:r>
      <w:r w:rsidRPr="00CC04EC">
        <w:rPr>
          <w:i w:val="0"/>
          <w:szCs w:val="20"/>
        </w:rPr>
        <w:t xml:space="preserve"> Sandra Judith, Guadalupe y </w:t>
      </w:r>
      <w:proofErr w:type="spellStart"/>
      <w:r w:rsidRPr="00CC04EC">
        <w:rPr>
          <w:i w:val="0"/>
          <w:szCs w:val="20"/>
        </w:rPr>
        <w:t>Yensi</w:t>
      </w:r>
      <w:proofErr w:type="spellEnd"/>
      <w:r>
        <w:rPr>
          <w:i w:val="0"/>
          <w:szCs w:val="20"/>
        </w:rPr>
        <w:t xml:space="preserve"> Nohemí</w:t>
      </w:r>
      <w:r w:rsidRPr="00CC04EC">
        <w:rPr>
          <w:i w:val="0"/>
          <w:szCs w:val="20"/>
        </w:rPr>
        <w:t>, todas de ap</w:t>
      </w:r>
      <w:r>
        <w:rPr>
          <w:i w:val="0"/>
          <w:szCs w:val="20"/>
        </w:rPr>
        <w:t xml:space="preserve">ellidos Pérez </w:t>
      </w:r>
      <w:proofErr w:type="spellStart"/>
      <w:r>
        <w:rPr>
          <w:i w:val="0"/>
          <w:szCs w:val="20"/>
        </w:rPr>
        <w:t>Cayaxon</w:t>
      </w:r>
      <w:proofErr w:type="spellEnd"/>
      <w:r>
        <w:rPr>
          <w:i w:val="0"/>
          <w:szCs w:val="20"/>
        </w:rPr>
        <w:t>; su padre</w:t>
      </w:r>
      <w:r w:rsidRPr="00CC04EC">
        <w:rPr>
          <w:i w:val="0"/>
          <w:szCs w:val="20"/>
        </w:rPr>
        <w:t xml:space="preserve"> N</w:t>
      </w:r>
      <w:r>
        <w:rPr>
          <w:i w:val="0"/>
          <w:szCs w:val="20"/>
        </w:rPr>
        <w:t xml:space="preserve">eftalí </w:t>
      </w:r>
      <w:proofErr w:type="spellStart"/>
      <w:r>
        <w:rPr>
          <w:i w:val="0"/>
          <w:szCs w:val="20"/>
        </w:rPr>
        <w:t>Cayaxon</w:t>
      </w:r>
      <w:proofErr w:type="spellEnd"/>
      <w:r>
        <w:rPr>
          <w:i w:val="0"/>
          <w:szCs w:val="20"/>
        </w:rPr>
        <w:t xml:space="preserve"> Pérez y su madre</w:t>
      </w:r>
      <w:r w:rsidRPr="00CC04EC">
        <w:rPr>
          <w:i w:val="0"/>
          <w:szCs w:val="20"/>
        </w:rPr>
        <w:t xml:space="preserve"> Cruz García Ramos</w:t>
      </w:r>
      <w:r w:rsidRPr="00CC04EC">
        <w:rPr>
          <w:rStyle w:val="Refdenotaalpie"/>
          <w:i w:val="0"/>
        </w:rPr>
        <w:footnoteReference w:id="275"/>
      </w:r>
      <w:r w:rsidRPr="00CC04EC">
        <w:rPr>
          <w:i w:val="0"/>
          <w:szCs w:val="20"/>
        </w:rPr>
        <w:t>.</w:t>
      </w:r>
    </w:p>
    <w:p w14:paraId="34BDE6D5" w14:textId="77777777" w:rsidR="003C2AC6" w:rsidRDefault="003C2AC6" w:rsidP="003C2AC6">
      <w:pPr>
        <w:pStyle w:val="PrrafodeSentencia"/>
      </w:pPr>
    </w:p>
    <w:p w14:paraId="744D5B3B" w14:textId="77777777" w:rsidR="003C2AC6" w:rsidRDefault="003C2AC6" w:rsidP="003C2AC6">
      <w:pPr>
        <w:pStyle w:val="PrrafodeSentencia"/>
      </w:pPr>
      <w:r>
        <w:tab/>
        <w:t>A.</w:t>
      </w:r>
      <w:r w:rsidRPr="00CC04EC">
        <w:t>9. José Rubén Delgado López</w:t>
      </w:r>
    </w:p>
    <w:p w14:paraId="56B1EF2D" w14:textId="77777777" w:rsidR="003C2AC6" w:rsidRPr="00CC04EC" w:rsidRDefault="003C2AC6" w:rsidP="003C2AC6">
      <w:pPr>
        <w:pStyle w:val="PrrafodeSentencia"/>
      </w:pPr>
    </w:p>
    <w:p w14:paraId="03317E39" w14:textId="49D4F2C4"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señor Delgado López nació el 21 de julio de 1956, en la Aldea </w:t>
      </w:r>
      <w:proofErr w:type="spellStart"/>
      <w:r w:rsidRPr="00CC04EC">
        <w:rPr>
          <w:i w:val="0"/>
          <w:szCs w:val="20"/>
        </w:rPr>
        <w:t>Xab</w:t>
      </w:r>
      <w:proofErr w:type="spellEnd"/>
      <w:r w:rsidRPr="00CC04EC">
        <w:rPr>
          <w:i w:val="0"/>
          <w:szCs w:val="20"/>
        </w:rPr>
        <w:t>, en el Departamento de Retalhuleu, Guatemala.</w:t>
      </w:r>
      <w:r>
        <w:rPr>
          <w:i w:val="0"/>
          <w:szCs w:val="20"/>
        </w:rPr>
        <w:t xml:space="preserve"> </w:t>
      </w:r>
      <w:r w:rsidRPr="00CC04EC">
        <w:rPr>
          <w:i w:val="0"/>
          <w:szCs w:val="20"/>
        </w:rPr>
        <w:t>Se dedicaba a la siembra. Lo diagnosticaron en</w:t>
      </w:r>
      <w:r>
        <w:rPr>
          <w:i w:val="0"/>
          <w:szCs w:val="20"/>
        </w:rPr>
        <w:t xml:space="preserve"> el año</w:t>
      </w:r>
      <w:r w:rsidRPr="00CC04EC">
        <w:rPr>
          <w:i w:val="0"/>
          <w:szCs w:val="20"/>
        </w:rPr>
        <w:t xml:space="preserve"> 2002,</w:t>
      </w:r>
      <w:r>
        <w:rPr>
          <w:i w:val="0"/>
          <w:szCs w:val="20"/>
        </w:rPr>
        <w:t xml:space="preserve"> en</w:t>
      </w:r>
      <w:r w:rsidRPr="00CC04EC">
        <w:rPr>
          <w:i w:val="0"/>
          <w:szCs w:val="20"/>
        </w:rPr>
        <w:t xml:space="preserve"> una clínica privada.</w:t>
      </w:r>
      <w:r>
        <w:rPr>
          <w:i w:val="0"/>
          <w:szCs w:val="20"/>
        </w:rPr>
        <w:t xml:space="preserve"> En el mismo año</w:t>
      </w:r>
      <w:r w:rsidRPr="00CC04EC">
        <w:rPr>
          <w:i w:val="0"/>
          <w:szCs w:val="20"/>
        </w:rPr>
        <w:t xml:space="preserve"> fue atendido por MSF y después en el </w:t>
      </w:r>
      <w:r>
        <w:rPr>
          <w:i w:val="0"/>
          <w:szCs w:val="20"/>
        </w:rPr>
        <w:t>Hospital Nacional de Coatepeque, e i</w:t>
      </w:r>
      <w:r w:rsidRPr="00CC04EC">
        <w:rPr>
          <w:i w:val="0"/>
          <w:szCs w:val="20"/>
        </w:rPr>
        <w:t>nició</w:t>
      </w:r>
      <w:r>
        <w:rPr>
          <w:i w:val="0"/>
          <w:szCs w:val="20"/>
        </w:rPr>
        <w:t xml:space="preserve"> en 2003</w:t>
      </w:r>
      <w:r w:rsidRPr="00CC04EC">
        <w:rPr>
          <w:i w:val="0"/>
          <w:szCs w:val="20"/>
        </w:rPr>
        <w:t xml:space="preserve"> su tratamiento </w:t>
      </w:r>
      <w:r>
        <w:rPr>
          <w:i w:val="0"/>
          <w:szCs w:val="20"/>
        </w:rPr>
        <w:t>antirretroviral</w:t>
      </w:r>
      <w:r w:rsidRPr="00CC04EC">
        <w:rPr>
          <w:i w:val="0"/>
          <w:szCs w:val="20"/>
        </w:rPr>
        <w:t xml:space="preserve">. Le practicaron exámenes de manera irregular, CD4 (6 veces) y carga viral (3 veces), sin que le dieran a conocer sus resultados. Asimismo, para el año 2008 el Estado reportó que el señor </w:t>
      </w:r>
      <w:r>
        <w:rPr>
          <w:i w:val="0"/>
          <w:szCs w:val="20"/>
        </w:rPr>
        <w:t>Delgado López tení</w:t>
      </w:r>
      <w:r w:rsidRPr="00CC04EC">
        <w:rPr>
          <w:i w:val="0"/>
          <w:szCs w:val="20"/>
        </w:rPr>
        <w:t>a infecciones en tracto respiratorio</w:t>
      </w:r>
      <w:r w:rsidR="00F87540">
        <w:rPr>
          <w:i w:val="0"/>
          <w:szCs w:val="20"/>
        </w:rPr>
        <w:t xml:space="preserve"> y</w:t>
      </w:r>
      <w:r w:rsidRPr="00CC04EC">
        <w:rPr>
          <w:i w:val="0"/>
          <w:szCs w:val="20"/>
        </w:rPr>
        <w:t xml:space="preserve"> candidiasis oral.</w:t>
      </w:r>
      <w:r>
        <w:rPr>
          <w:i w:val="0"/>
          <w:szCs w:val="20"/>
        </w:rPr>
        <w:t xml:space="preserve"> </w:t>
      </w:r>
      <w:r w:rsidRPr="00CC04EC">
        <w:rPr>
          <w:i w:val="0"/>
          <w:szCs w:val="20"/>
        </w:rPr>
        <w:t xml:space="preserve">Padeció </w:t>
      </w:r>
      <w:proofErr w:type="spellStart"/>
      <w:r w:rsidRPr="00CC04EC">
        <w:rPr>
          <w:i w:val="0"/>
          <w:szCs w:val="20"/>
        </w:rPr>
        <w:t>criptococo</w:t>
      </w:r>
      <w:proofErr w:type="spellEnd"/>
      <w:r w:rsidRPr="00CC04EC">
        <w:rPr>
          <w:i w:val="0"/>
          <w:szCs w:val="20"/>
        </w:rPr>
        <w:t xml:space="preserve"> en la piel, </w:t>
      </w:r>
      <w:proofErr w:type="spellStart"/>
      <w:r w:rsidRPr="00CC04EC">
        <w:rPr>
          <w:i w:val="0"/>
          <w:szCs w:val="20"/>
        </w:rPr>
        <w:t>sarcopiosis</w:t>
      </w:r>
      <w:proofErr w:type="spellEnd"/>
      <w:r w:rsidRPr="00CC04EC">
        <w:rPr>
          <w:i w:val="0"/>
          <w:szCs w:val="20"/>
        </w:rPr>
        <w:t xml:space="preserve">, trauma ocular, erupción </w:t>
      </w:r>
      <w:proofErr w:type="spellStart"/>
      <w:r w:rsidRPr="00CC04EC">
        <w:rPr>
          <w:i w:val="0"/>
          <w:szCs w:val="20"/>
        </w:rPr>
        <w:t>papalar</w:t>
      </w:r>
      <w:proofErr w:type="spellEnd"/>
      <w:r w:rsidRPr="00CC04EC">
        <w:rPr>
          <w:i w:val="0"/>
          <w:szCs w:val="20"/>
        </w:rPr>
        <w:t xml:space="preserve"> pruriginosa, herpes, desnutrición grado II, </w:t>
      </w:r>
      <w:proofErr w:type="spellStart"/>
      <w:r>
        <w:rPr>
          <w:i w:val="0"/>
          <w:szCs w:val="20"/>
        </w:rPr>
        <w:t>lipotomía</w:t>
      </w:r>
      <w:proofErr w:type="spellEnd"/>
      <w:r w:rsidRPr="00CC04EC">
        <w:rPr>
          <w:i w:val="0"/>
          <w:szCs w:val="20"/>
        </w:rPr>
        <w:t>, diarrea, mareos</w:t>
      </w:r>
      <w:r>
        <w:rPr>
          <w:i w:val="0"/>
          <w:szCs w:val="20"/>
        </w:rPr>
        <w:t>, otitis</w:t>
      </w:r>
      <w:r w:rsidRPr="00CC04EC">
        <w:rPr>
          <w:i w:val="0"/>
          <w:szCs w:val="20"/>
        </w:rPr>
        <w:t xml:space="preserve"> y cefalea. Le realizaron estudios de resi</w:t>
      </w:r>
      <w:r>
        <w:rPr>
          <w:i w:val="0"/>
          <w:szCs w:val="20"/>
        </w:rPr>
        <w:t>stencia a los antirretrovirales</w:t>
      </w:r>
      <w:r w:rsidRPr="00CC04EC">
        <w:rPr>
          <w:i w:val="0"/>
          <w:szCs w:val="20"/>
        </w:rPr>
        <w:t xml:space="preserve"> con resultados de falla terapéutica por resistencia</w:t>
      </w:r>
      <w:r>
        <w:rPr>
          <w:i w:val="0"/>
          <w:szCs w:val="20"/>
        </w:rPr>
        <w:t xml:space="preserve"> a la</w:t>
      </w:r>
      <w:r w:rsidRPr="00CC04EC">
        <w:rPr>
          <w:i w:val="0"/>
          <w:szCs w:val="20"/>
        </w:rPr>
        <w:t xml:space="preserve"> </w:t>
      </w:r>
      <w:proofErr w:type="spellStart"/>
      <w:r w:rsidRPr="00CC04EC">
        <w:rPr>
          <w:i w:val="0"/>
          <w:szCs w:val="20"/>
        </w:rPr>
        <w:t>lamivudina</w:t>
      </w:r>
      <w:proofErr w:type="spellEnd"/>
      <w:r w:rsidRPr="00CC04EC">
        <w:rPr>
          <w:i w:val="0"/>
          <w:szCs w:val="20"/>
        </w:rPr>
        <w:t xml:space="preserve">, </w:t>
      </w:r>
      <w:proofErr w:type="spellStart"/>
      <w:r w:rsidRPr="00CC04EC">
        <w:rPr>
          <w:i w:val="0"/>
          <w:szCs w:val="20"/>
        </w:rPr>
        <w:t>efavirenz</w:t>
      </w:r>
      <w:proofErr w:type="spellEnd"/>
      <w:r w:rsidRPr="00CC04EC">
        <w:rPr>
          <w:i w:val="0"/>
          <w:szCs w:val="20"/>
        </w:rPr>
        <w:t xml:space="preserve"> y nevirapina. Debido a su enfermedad ya no pudo trabajar.</w:t>
      </w:r>
      <w:r w:rsidRPr="00A10A96">
        <w:rPr>
          <w:i w:val="0"/>
          <w:szCs w:val="20"/>
        </w:rPr>
        <w:t xml:space="preserve"> </w:t>
      </w:r>
      <w:r w:rsidRPr="00CC04EC">
        <w:rPr>
          <w:i w:val="0"/>
          <w:szCs w:val="20"/>
        </w:rPr>
        <w:t>Falleció el 14 de mayo de</w:t>
      </w:r>
      <w:r>
        <w:rPr>
          <w:i w:val="0"/>
          <w:szCs w:val="20"/>
        </w:rPr>
        <w:t xml:space="preserve"> 2010. </w:t>
      </w:r>
      <w:r w:rsidRPr="00CC04EC">
        <w:rPr>
          <w:i w:val="0"/>
          <w:szCs w:val="20"/>
        </w:rPr>
        <w:t>Durante los quince días anteriores a su muerte había estado de gravedad sin poder comer ni orinar y con vómitos</w:t>
      </w:r>
      <w:r w:rsidRPr="00CC04EC">
        <w:rPr>
          <w:rStyle w:val="Refdenotaalpie"/>
          <w:i w:val="0"/>
        </w:rPr>
        <w:footnoteReference w:id="276"/>
      </w:r>
      <w:r>
        <w:rPr>
          <w:i w:val="0"/>
          <w:szCs w:val="20"/>
        </w:rPr>
        <w:t>.</w:t>
      </w:r>
    </w:p>
    <w:p w14:paraId="1CC40143" w14:textId="77777777" w:rsidR="003C2AC6" w:rsidRPr="00CC04EC" w:rsidRDefault="003C2AC6" w:rsidP="003C2AC6">
      <w:pPr>
        <w:pStyle w:val="Estilo1"/>
        <w:tabs>
          <w:tab w:val="left" w:pos="709"/>
          <w:tab w:val="left" w:pos="1134"/>
        </w:tabs>
        <w:spacing w:after="0"/>
        <w:ind w:left="0" w:right="-4" w:firstLine="0"/>
        <w:rPr>
          <w:i w:val="0"/>
          <w:szCs w:val="20"/>
        </w:rPr>
      </w:pPr>
    </w:p>
    <w:p w14:paraId="267135CB"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lastRenderedPageBreak/>
        <w:t xml:space="preserve">Su núcleo familiar se conformaba por su </w:t>
      </w:r>
      <w:r>
        <w:rPr>
          <w:i w:val="0"/>
          <w:szCs w:val="20"/>
        </w:rPr>
        <w:t>hermano Antonio Miranda Méndez, su cuñada Magdalena López de Miranda, sus hijos</w:t>
      </w:r>
      <w:r w:rsidRPr="00CC04EC">
        <w:rPr>
          <w:i w:val="0"/>
          <w:szCs w:val="20"/>
        </w:rPr>
        <w:t xml:space="preserve"> Héctor y Francisco, a</w:t>
      </w:r>
      <w:r>
        <w:rPr>
          <w:i w:val="0"/>
          <w:szCs w:val="20"/>
        </w:rPr>
        <w:t>mbos de apellidos Delgado Pérez, así como su sobrina</w:t>
      </w:r>
      <w:r w:rsidRPr="00CC04EC">
        <w:rPr>
          <w:i w:val="0"/>
          <w:szCs w:val="20"/>
        </w:rPr>
        <w:t xml:space="preserve"> Lidia Mirtala Miranda López</w:t>
      </w:r>
      <w:r w:rsidRPr="00CC04EC">
        <w:rPr>
          <w:rStyle w:val="Refdenotaalpie"/>
          <w:i w:val="0"/>
        </w:rPr>
        <w:footnoteReference w:id="277"/>
      </w:r>
      <w:r>
        <w:rPr>
          <w:i w:val="0"/>
          <w:szCs w:val="20"/>
        </w:rPr>
        <w:t>.</w:t>
      </w:r>
    </w:p>
    <w:p w14:paraId="60297E0B" w14:textId="77777777" w:rsidR="003C2AC6" w:rsidRPr="00FF3859" w:rsidRDefault="003C2AC6" w:rsidP="003C2AC6">
      <w:pPr>
        <w:pStyle w:val="PrrafodeSentencia"/>
      </w:pPr>
    </w:p>
    <w:p w14:paraId="32D548E9" w14:textId="77777777" w:rsidR="003C2AC6" w:rsidRDefault="003C2AC6" w:rsidP="003C2AC6">
      <w:pPr>
        <w:pStyle w:val="PrrafodeSentencia"/>
      </w:pPr>
      <w:r>
        <w:tab/>
        <w:t>A.</w:t>
      </w:r>
      <w:r w:rsidRPr="00CC04EC">
        <w:t>10. E</w:t>
      </w:r>
      <w:r>
        <w:t>lsa Miriam Estrada Ruí</w:t>
      </w:r>
      <w:r w:rsidRPr="00CC04EC">
        <w:t>z</w:t>
      </w:r>
    </w:p>
    <w:p w14:paraId="3B5ACF1D" w14:textId="77777777" w:rsidR="003C2AC6" w:rsidRPr="00CC04EC" w:rsidRDefault="003C2AC6" w:rsidP="003C2AC6">
      <w:pPr>
        <w:pStyle w:val="PrrafodeSentencia"/>
      </w:pPr>
    </w:p>
    <w:p w14:paraId="25C8556B"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La señora Estrada Ruí</w:t>
      </w:r>
      <w:r w:rsidRPr="00CC04EC">
        <w:rPr>
          <w:i w:val="0"/>
          <w:szCs w:val="20"/>
        </w:rPr>
        <w:t>z nació el 2 de marzo de 1948</w:t>
      </w:r>
      <w:r>
        <w:rPr>
          <w:i w:val="0"/>
          <w:szCs w:val="20"/>
        </w:rPr>
        <w:t>, cursó hasta tercero de primaria y era ama de casa</w:t>
      </w:r>
      <w:r w:rsidRPr="00CC04EC">
        <w:rPr>
          <w:i w:val="0"/>
          <w:szCs w:val="20"/>
        </w:rPr>
        <w:t>.</w:t>
      </w:r>
      <w:r w:rsidRPr="00CC04EC" w:rsidDel="00287F51">
        <w:rPr>
          <w:rStyle w:val="Refdenotaalpie"/>
          <w:i w:val="0"/>
        </w:rPr>
        <w:t xml:space="preserve"> </w:t>
      </w:r>
      <w:r w:rsidRPr="00CC04EC">
        <w:rPr>
          <w:i w:val="0"/>
          <w:szCs w:val="20"/>
        </w:rPr>
        <w:t xml:space="preserve">Fue diagnosticada con VIH en el año 2001. </w:t>
      </w:r>
      <w:r>
        <w:rPr>
          <w:i w:val="0"/>
          <w:szCs w:val="20"/>
        </w:rPr>
        <w:t>Fue atendida por MSF en el año 2001 pero c</w:t>
      </w:r>
      <w:r w:rsidRPr="00CC04EC">
        <w:rPr>
          <w:i w:val="0"/>
          <w:szCs w:val="20"/>
        </w:rPr>
        <w:t>omenzó su tratamiento</w:t>
      </w:r>
      <w:r>
        <w:rPr>
          <w:i w:val="0"/>
          <w:szCs w:val="20"/>
        </w:rPr>
        <w:t xml:space="preserve"> antirretroviral hasta el año</w:t>
      </w:r>
      <w:r w:rsidRPr="00CC04EC">
        <w:rPr>
          <w:i w:val="0"/>
          <w:szCs w:val="20"/>
        </w:rPr>
        <w:t xml:space="preserve"> 2006. No le practicaron exámenes de CD4 y carga viral. Padeció de candidiasis oral, herpes zoster y neuropatía. Se encontraba inscrita en el Hospital Nacional de Coatepeque. Falleció el 26 de julio de 2016 en el Hospital Nacional de Coatepeque</w:t>
      </w:r>
      <w:r>
        <w:rPr>
          <w:i w:val="0"/>
          <w:szCs w:val="20"/>
        </w:rPr>
        <w:t>, por enfermedad común</w:t>
      </w:r>
      <w:r w:rsidRPr="00CC04EC">
        <w:rPr>
          <w:rStyle w:val="Refdenotaalpie"/>
          <w:i w:val="0"/>
        </w:rPr>
        <w:footnoteReference w:id="278"/>
      </w:r>
      <w:r>
        <w:rPr>
          <w:i w:val="0"/>
          <w:szCs w:val="20"/>
        </w:rPr>
        <w:t>.</w:t>
      </w:r>
    </w:p>
    <w:p w14:paraId="1181A119" w14:textId="77777777" w:rsidR="003C2AC6" w:rsidRPr="00CC04EC" w:rsidRDefault="003C2AC6" w:rsidP="003C2AC6">
      <w:pPr>
        <w:pStyle w:val="Estilo1"/>
        <w:tabs>
          <w:tab w:val="left" w:pos="709"/>
          <w:tab w:val="left" w:pos="1134"/>
        </w:tabs>
        <w:spacing w:after="0"/>
        <w:ind w:left="0" w:right="-4" w:firstLine="0"/>
        <w:rPr>
          <w:i w:val="0"/>
          <w:szCs w:val="20"/>
        </w:rPr>
      </w:pPr>
    </w:p>
    <w:p w14:paraId="350DEA8A"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w:t>
      </w:r>
      <w:r>
        <w:rPr>
          <w:i w:val="0"/>
          <w:szCs w:val="20"/>
        </w:rPr>
        <w:t>liar se integraba por su marido</w:t>
      </w:r>
      <w:r w:rsidRPr="00CC04EC">
        <w:rPr>
          <w:i w:val="0"/>
          <w:szCs w:val="20"/>
        </w:rPr>
        <w:t xml:space="preserve"> </w:t>
      </w:r>
      <w:r>
        <w:rPr>
          <w:i w:val="0"/>
          <w:szCs w:val="20"/>
        </w:rPr>
        <w:t>José Luis Hernández (fallecido), su madre María Herlinda Ruíz, sus hijos José</w:t>
      </w:r>
      <w:r w:rsidRPr="00CC04EC">
        <w:rPr>
          <w:i w:val="0"/>
          <w:szCs w:val="20"/>
        </w:rPr>
        <w:t xml:space="preserve"> Luis Alberto, Estuardo Edison y Osma Vinicio, todos de apellidos Hernández Estrada, y sus hermanas, Karen Herlinda y Miriam Lisbeth, ambas de apellidos Hernández Estrada</w:t>
      </w:r>
      <w:r w:rsidRPr="00CC04EC">
        <w:rPr>
          <w:rStyle w:val="Refdenotaalpie"/>
          <w:i w:val="0"/>
        </w:rPr>
        <w:footnoteReference w:id="279"/>
      </w:r>
      <w:r>
        <w:rPr>
          <w:i w:val="0"/>
          <w:szCs w:val="20"/>
        </w:rPr>
        <w:t>.</w:t>
      </w:r>
    </w:p>
    <w:p w14:paraId="71EB7B48" w14:textId="77777777" w:rsidR="003C2AC6" w:rsidRDefault="003C2AC6" w:rsidP="003C2AC6">
      <w:pPr>
        <w:pStyle w:val="PrrafodeSentencia"/>
      </w:pPr>
    </w:p>
    <w:p w14:paraId="71E58079" w14:textId="77777777" w:rsidR="003C2AC6" w:rsidRDefault="003C2AC6" w:rsidP="003C2AC6">
      <w:pPr>
        <w:pStyle w:val="PrrafodeSentencia"/>
      </w:pPr>
      <w:r>
        <w:tab/>
        <w:t>A.</w:t>
      </w:r>
      <w:r w:rsidRPr="00CC04EC">
        <w:t>11. Alberto Quiché Cuxeva</w:t>
      </w:r>
    </w:p>
    <w:p w14:paraId="0C7EA3D0" w14:textId="77777777" w:rsidR="003C2AC6" w:rsidRPr="00CC04EC" w:rsidRDefault="003C2AC6" w:rsidP="003C2AC6">
      <w:pPr>
        <w:pStyle w:val="PrrafodeSentencia"/>
      </w:pPr>
    </w:p>
    <w:p w14:paraId="715F0DCB"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señor Quiché </w:t>
      </w:r>
      <w:proofErr w:type="spellStart"/>
      <w:r w:rsidRPr="00CC04EC">
        <w:rPr>
          <w:i w:val="0"/>
          <w:szCs w:val="20"/>
        </w:rPr>
        <w:t>Cuxeva</w:t>
      </w:r>
      <w:proofErr w:type="spellEnd"/>
      <w:r w:rsidRPr="00CC04EC">
        <w:rPr>
          <w:i w:val="0"/>
          <w:szCs w:val="20"/>
        </w:rPr>
        <w:t xml:space="preserve"> residía en el Municipio de Retalhuleu, Departamento de Retalhuleu, Guatemala. Se encontraba bajo el seguimiento del Hospital Roosevelt.</w:t>
      </w:r>
      <w:r>
        <w:rPr>
          <w:i w:val="0"/>
          <w:szCs w:val="20"/>
        </w:rPr>
        <w:t xml:space="preserve"> E</w:t>
      </w:r>
      <w:r w:rsidRPr="00CC04EC">
        <w:rPr>
          <w:i w:val="0"/>
          <w:szCs w:val="20"/>
        </w:rPr>
        <w:t xml:space="preserve">l señor Quiché no tuvo acceso a exámenes de CD4 ni de carga viral que permitieran determinar si el esquema del tratamiento que recibió era el adecuado. </w:t>
      </w:r>
      <w:r w:rsidRPr="00852A6C">
        <w:rPr>
          <w:i w:val="0"/>
          <w:szCs w:val="20"/>
        </w:rPr>
        <w:t>Falleció el 4 de enero de 2001,</w:t>
      </w:r>
      <w:r w:rsidRPr="00CC04EC">
        <w:rPr>
          <w:i w:val="0"/>
          <w:szCs w:val="20"/>
        </w:rPr>
        <w:t xml:space="preserve"> a causa de neumonía.</w:t>
      </w:r>
      <w:r w:rsidRPr="00CC04EC">
        <w:rPr>
          <w:rStyle w:val="Refdenotaalpie"/>
          <w:i w:val="0"/>
        </w:rPr>
        <w:footnoteReference w:id="280"/>
      </w:r>
    </w:p>
    <w:p w14:paraId="66A11D87" w14:textId="77777777" w:rsidR="003C2AC6" w:rsidRPr="00CC04EC" w:rsidRDefault="003C2AC6" w:rsidP="003C2AC6">
      <w:pPr>
        <w:pStyle w:val="Estilo1"/>
        <w:tabs>
          <w:tab w:val="left" w:pos="709"/>
          <w:tab w:val="left" w:pos="1134"/>
        </w:tabs>
        <w:spacing w:after="0"/>
        <w:ind w:left="0" w:right="-4" w:firstLine="0"/>
        <w:rPr>
          <w:i w:val="0"/>
          <w:szCs w:val="20"/>
        </w:rPr>
      </w:pPr>
    </w:p>
    <w:p w14:paraId="4DF6BCC0"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núcleo familiar de Alberto Quiché </w:t>
      </w:r>
      <w:proofErr w:type="spellStart"/>
      <w:r w:rsidRPr="00CC04EC">
        <w:rPr>
          <w:i w:val="0"/>
          <w:szCs w:val="20"/>
        </w:rPr>
        <w:t>Cuxeva</w:t>
      </w:r>
      <w:proofErr w:type="spellEnd"/>
      <w:r w:rsidRPr="00CC04EC">
        <w:rPr>
          <w:i w:val="0"/>
          <w:szCs w:val="20"/>
        </w:rPr>
        <w:t xml:space="preserve"> estaba formado por</w:t>
      </w:r>
      <w:r>
        <w:rPr>
          <w:i w:val="0"/>
          <w:szCs w:val="20"/>
        </w:rPr>
        <w:t xml:space="preserve"> su hija Marisela Quiché </w:t>
      </w:r>
      <w:proofErr w:type="spellStart"/>
      <w:r>
        <w:rPr>
          <w:i w:val="0"/>
          <w:szCs w:val="20"/>
        </w:rPr>
        <w:t>Gualip</w:t>
      </w:r>
      <w:proofErr w:type="spellEnd"/>
      <w:r>
        <w:rPr>
          <w:i w:val="0"/>
          <w:szCs w:val="20"/>
        </w:rPr>
        <w:t>, su padre</w:t>
      </w:r>
      <w:r w:rsidRPr="00CC04EC">
        <w:rPr>
          <w:i w:val="0"/>
          <w:szCs w:val="20"/>
        </w:rPr>
        <w:t xml:space="preserve"> V</w:t>
      </w:r>
      <w:r>
        <w:rPr>
          <w:i w:val="0"/>
          <w:szCs w:val="20"/>
        </w:rPr>
        <w:t xml:space="preserve">íctor Quiché Ramírez, su madre Manuela </w:t>
      </w:r>
      <w:proofErr w:type="spellStart"/>
      <w:r>
        <w:rPr>
          <w:i w:val="0"/>
          <w:szCs w:val="20"/>
        </w:rPr>
        <w:t>Cuxeva</w:t>
      </w:r>
      <w:proofErr w:type="spellEnd"/>
      <w:r>
        <w:rPr>
          <w:i w:val="0"/>
          <w:szCs w:val="20"/>
        </w:rPr>
        <w:t xml:space="preserve"> García</w:t>
      </w:r>
      <w:r w:rsidRPr="00CC04EC">
        <w:rPr>
          <w:i w:val="0"/>
          <w:szCs w:val="20"/>
        </w:rPr>
        <w:t xml:space="preserve"> y su hermana, Lucía Quiché </w:t>
      </w:r>
      <w:proofErr w:type="spellStart"/>
      <w:r w:rsidRPr="00CC04EC">
        <w:rPr>
          <w:i w:val="0"/>
          <w:szCs w:val="20"/>
        </w:rPr>
        <w:t>Cuxeva</w:t>
      </w:r>
      <w:proofErr w:type="spellEnd"/>
      <w:r w:rsidRPr="00CC04EC">
        <w:rPr>
          <w:rStyle w:val="Refdenotaalpie"/>
          <w:i w:val="0"/>
        </w:rPr>
        <w:footnoteReference w:id="281"/>
      </w:r>
      <w:r>
        <w:rPr>
          <w:i w:val="0"/>
          <w:szCs w:val="20"/>
        </w:rPr>
        <w:t>.</w:t>
      </w:r>
    </w:p>
    <w:p w14:paraId="0DB4037F" w14:textId="77777777" w:rsidR="003C2AC6" w:rsidRDefault="003C2AC6" w:rsidP="003C2AC6">
      <w:pPr>
        <w:pStyle w:val="PrrafodeSentencia"/>
      </w:pPr>
    </w:p>
    <w:p w14:paraId="4DF6C846" w14:textId="77777777" w:rsidR="003C2AC6" w:rsidRDefault="003C2AC6" w:rsidP="003C2AC6">
      <w:pPr>
        <w:pStyle w:val="PrrafodeSentencia"/>
      </w:pPr>
      <w:r>
        <w:tab/>
        <w:t>A.12. Silvia Mirtala A</w:t>
      </w:r>
      <w:r w:rsidRPr="00CC04EC">
        <w:t>lvarez Villatoro</w:t>
      </w:r>
    </w:p>
    <w:p w14:paraId="0F6DF48F" w14:textId="77777777" w:rsidR="003C2AC6" w:rsidRPr="00CC04EC" w:rsidRDefault="003C2AC6" w:rsidP="003C2AC6">
      <w:pPr>
        <w:pStyle w:val="PrrafodeSentencia"/>
      </w:pPr>
    </w:p>
    <w:p w14:paraId="084BBE3C" w14:textId="77777777" w:rsidR="003C2AC6" w:rsidRPr="00FF3859"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La señora A</w:t>
      </w:r>
      <w:r w:rsidRPr="00CC04EC">
        <w:rPr>
          <w:i w:val="0"/>
          <w:szCs w:val="20"/>
        </w:rPr>
        <w:t>lvarez Villatoro es originaria del Municipio de Guatemala, Departamento de Guatemala, Guatemal</w:t>
      </w:r>
      <w:r>
        <w:rPr>
          <w:i w:val="0"/>
          <w:szCs w:val="20"/>
        </w:rPr>
        <w:t>a. Nació el 13 de octubre de 197</w:t>
      </w:r>
      <w:r w:rsidRPr="00CC04EC">
        <w:rPr>
          <w:i w:val="0"/>
          <w:szCs w:val="20"/>
        </w:rPr>
        <w:t xml:space="preserve">8. Fue diagnosticada con VIH en 1989, en psiquiatría del IGGS, año en el que inició su tratamiento </w:t>
      </w:r>
      <w:r>
        <w:rPr>
          <w:i w:val="0"/>
          <w:szCs w:val="20"/>
        </w:rPr>
        <w:t>antirretroviral de forma irregular</w:t>
      </w:r>
      <w:r w:rsidRPr="00CC04EC">
        <w:rPr>
          <w:i w:val="0"/>
          <w:szCs w:val="20"/>
        </w:rPr>
        <w:t xml:space="preserve">. </w:t>
      </w:r>
      <w:r>
        <w:rPr>
          <w:i w:val="0"/>
          <w:szCs w:val="20"/>
        </w:rPr>
        <w:lastRenderedPageBreak/>
        <w:t>Le realizaron</w:t>
      </w:r>
      <w:r w:rsidRPr="00CC04EC">
        <w:rPr>
          <w:i w:val="0"/>
          <w:szCs w:val="20"/>
        </w:rPr>
        <w:t xml:space="preserve"> exámenes de CD4 y de carga viral</w:t>
      </w:r>
      <w:r>
        <w:rPr>
          <w:i w:val="0"/>
          <w:szCs w:val="20"/>
        </w:rPr>
        <w:t>, aunque de forma irregular</w:t>
      </w:r>
      <w:r w:rsidRPr="00CC04EC">
        <w:rPr>
          <w:i w:val="0"/>
          <w:szCs w:val="20"/>
        </w:rPr>
        <w:t>. Padeció de hongos. No recibió apoyo psicológico ni nutricional, únicamente a través de ONG recibió pláticas para la buena adherencia y sobre el uso de preservativo. Antes de ser diagnosticada trabajaba en una imprenta y fue despedida debido a su situación de salud. Demora una hora y quince minutos en trasladarse de su domicilio al hospital. Falleció el 13 de marzo de 2016</w:t>
      </w:r>
      <w:r>
        <w:rPr>
          <w:i w:val="0"/>
          <w:szCs w:val="20"/>
        </w:rPr>
        <w:t xml:space="preserve"> por meningitis bacteriana y resistencia a los medicamentos</w:t>
      </w:r>
      <w:r w:rsidRPr="00CC04EC">
        <w:rPr>
          <w:rStyle w:val="Refdenotaalpie"/>
          <w:i w:val="0"/>
        </w:rPr>
        <w:footnoteReference w:id="282"/>
      </w:r>
      <w:r>
        <w:rPr>
          <w:i w:val="0"/>
          <w:szCs w:val="20"/>
        </w:rPr>
        <w:t>.</w:t>
      </w:r>
    </w:p>
    <w:p w14:paraId="5CCDC4AF" w14:textId="77777777" w:rsidR="003C2AC6" w:rsidRPr="00CC04EC" w:rsidRDefault="003C2AC6" w:rsidP="003C2AC6">
      <w:pPr>
        <w:pStyle w:val="Estilo1"/>
        <w:tabs>
          <w:tab w:val="left" w:pos="709"/>
          <w:tab w:val="left" w:pos="1134"/>
        </w:tabs>
        <w:spacing w:after="0"/>
        <w:ind w:left="0" w:right="-4" w:firstLine="0"/>
        <w:rPr>
          <w:i w:val="0"/>
          <w:szCs w:val="20"/>
        </w:rPr>
      </w:pPr>
    </w:p>
    <w:p w14:paraId="5CFF52F3"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w:t>
      </w:r>
      <w:r>
        <w:rPr>
          <w:i w:val="0"/>
          <w:szCs w:val="20"/>
        </w:rPr>
        <w:t xml:space="preserve">ncontraba formado por su pareja Mayra </w:t>
      </w:r>
      <w:proofErr w:type="spellStart"/>
      <w:r>
        <w:rPr>
          <w:i w:val="0"/>
          <w:szCs w:val="20"/>
        </w:rPr>
        <w:t>Aidee</w:t>
      </w:r>
      <w:proofErr w:type="spellEnd"/>
      <w:r>
        <w:rPr>
          <w:i w:val="0"/>
          <w:szCs w:val="20"/>
        </w:rPr>
        <w:t xml:space="preserve"> Mejía Martínez, su hija</w:t>
      </w:r>
      <w:r w:rsidRPr="00CC04EC">
        <w:rPr>
          <w:i w:val="0"/>
          <w:szCs w:val="20"/>
        </w:rPr>
        <w:t xml:space="preserve"> María José Mejía Martínez</w:t>
      </w:r>
      <w:r>
        <w:rPr>
          <w:i w:val="0"/>
          <w:szCs w:val="20"/>
        </w:rPr>
        <w:t>, y su hijo</w:t>
      </w:r>
      <w:r w:rsidRPr="00CC04EC">
        <w:rPr>
          <w:i w:val="0"/>
          <w:szCs w:val="20"/>
        </w:rPr>
        <w:t xml:space="preserve"> </w:t>
      </w:r>
      <w:proofErr w:type="spellStart"/>
      <w:r w:rsidRPr="00CC04EC">
        <w:rPr>
          <w:i w:val="0"/>
          <w:szCs w:val="20"/>
        </w:rPr>
        <w:t>Lay</w:t>
      </w:r>
      <w:r>
        <w:rPr>
          <w:i w:val="0"/>
          <w:szCs w:val="20"/>
        </w:rPr>
        <w:t>onel</w:t>
      </w:r>
      <w:proofErr w:type="spellEnd"/>
      <w:r>
        <w:rPr>
          <w:i w:val="0"/>
          <w:szCs w:val="20"/>
        </w:rPr>
        <w:t xml:space="preserve"> </w:t>
      </w:r>
      <w:proofErr w:type="spellStart"/>
      <w:r>
        <w:rPr>
          <w:i w:val="0"/>
          <w:szCs w:val="20"/>
        </w:rPr>
        <w:t>Ismar</w:t>
      </w:r>
      <w:proofErr w:type="spellEnd"/>
      <w:r>
        <w:rPr>
          <w:i w:val="0"/>
          <w:szCs w:val="20"/>
        </w:rPr>
        <w:t xml:space="preserve"> Josué Mejía Martínez, su hermana</w:t>
      </w:r>
      <w:r w:rsidRPr="00CC04EC">
        <w:rPr>
          <w:i w:val="0"/>
          <w:szCs w:val="20"/>
        </w:rPr>
        <w:t xml:space="preserve"> Lilián </w:t>
      </w:r>
      <w:proofErr w:type="spellStart"/>
      <w:r w:rsidRPr="00CC04EC">
        <w:rPr>
          <w:i w:val="0"/>
          <w:szCs w:val="20"/>
        </w:rPr>
        <w:t>Janethe</w:t>
      </w:r>
      <w:proofErr w:type="spellEnd"/>
      <w:r>
        <w:rPr>
          <w:i w:val="0"/>
          <w:szCs w:val="20"/>
        </w:rPr>
        <w:t xml:space="preserve"> </w:t>
      </w:r>
      <w:proofErr w:type="spellStart"/>
      <w:r>
        <w:rPr>
          <w:i w:val="0"/>
          <w:szCs w:val="20"/>
        </w:rPr>
        <w:t>Alvarez</w:t>
      </w:r>
      <w:proofErr w:type="spellEnd"/>
      <w:r>
        <w:rPr>
          <w:i w:val="0"/>
          <w:szCs w:val="20"/>
        </w:rPr>
        <w:t xml:space="preserve"> Villatoro, su padre Víctor Manuel </w:t>
      </w:r>
      <w:proofErr w:type="spellStart"/>
      <w:r>
        <w:rPr>
          <w:i w:val="0"/>
          <w:szCs w:val="20"/>
        </w:rPr>
        <w:t>A</w:t>
      </w:r>
      <w:r w:rsidRPr="00CC04EC">
        <w:rPr>
          <w:i w:val="0"/>
          <w:szCs w:val="20"/>
        </w:rPr>
        <w:t>lvarez</w:t>
      </w:r>
      <w:proofErr w:type="spellEnd"/>
      <w:r w:rsidRPr="00CC04EC">
        <w:rPr>
          <w:i w:val="0"/>
          <w:szCs w:val="20"/>
        </w:rPr>
        <w:t xml:space="preserve"> </w:t>
      </w:r>
      <w:proofErr w:type="spellStart"/>
      <w:r w:rsidRPr="00CC04EC">
        <w:rPr>
          <w:i w:val="0"/>
          <w:szCs w:val="20"/>
        </w:rPr>
        <w:t>Alvisures</w:t>
      </w:r>
      <w:proofErr w:type="spellEnd"/>
      <w:r>
        <w:rPr>
          <w:i w:val="0"/>
          <w:szCs w:val="20"/>
        </w:rPr>
        <w:t>, y su madre</w:t>
      </w:r>
      <w:r w:rsidRPr="00CC04EC">
        <w:rPr>
          <w:i w:val="0"/>
          <w:szCs w:val="20"/>
        </w:rPr>
        <w:t xml:space="preserve"> </w:t>
      </w:r>
      <w:proofErr w:type="spellStart"/>
      <w:r w:rsidRPr="00CC04EC">
        <w:rPr>
          <w:i w:val="0"/>
          <w:szCs w:val="20"/>
        </w:rPr>
        <w:t>Nibi</w:t>
      </w:r>
      <w:r>
        <w:rPr>
          <w:i w:val="0"/>
          <w:szCs w:val="20"/>
        </w:rPr>
        <w:t>a</w:t>
      </w:r>
      <w:proofErr w:type="spellEnd"/>
      <w:r>
        <w:rPr>
          <w:i w:val="0"/>
          <w:szCs w:val="20"/>
        </w:rPr>
        <w:t xml:space="preserve"> Matilde Villatoro Galicia de A</w:t>
      </w:r>
      <w:r w:rsidRPr="00CC04EC">
        <w:rPr>
          <w:i w:val="0"/>
          <w:szCs w:val="20"/>
        </w:rPr>
        <w:t>lvarez (fallecida)</w:t>
      </w:r>
      <w:r w:rsidRPr="00CC04EC">
        <w:rPr>
          <w:rStyle w:val="Refdenotaalpie"/>
          <w:i w:val="0"/>
        </w:rPr>
        <w:footnoteReference w:id="283"/>
      </w:r>
      <w:r>
        <w:rPr>
          <w:i w:val="0"/>
          <w:szCs w:val="20"/>
        </w:rPr>
        <w:t>.</w:t>
      </w:r>
    </w:p>
    <w:p w14:paraId="4A1E2B43" w14:textId="77777777" w:rsidR="003C2AC6" w:rsidRDefault="003C2AC6" w:rsidP="003C2AC6">
      <w:pPr>
        <w:pStyle w:val="PrrafodeSentencia"/>
      </w:pPr>
    </w:p>
    <w:p w14:paraId="026E9444" w14:textId="77777777" w:rsidR="003C2AC6" w:rsidRDefault="003C2AC6" w:rsidP="003C2AC6">
      <w:pPr>
        <w:pStyle w:val="PrrafodeSentencia"/>
      </w:pPr>
      <w:r>
        <w:tab/>
        <w:t>A.</w:t>
      </w:r>
      <w:r w:rsidRPr="00CC04EC">
        <w:t>13. Juana Aguilar</w:t>
      </w:r>
    </w:p>
    <w:p w14:paraId="673AAFE5" w14:textId="77777777" w:rsidR="003C2AC6" w:rsidRPr="00CC04EC" w:rsidRDefault="003C2AC6" w:rsidP="003C2AC6">
      <w:pPr>
        <w:pStyle w:val="PrrafodeSentencia"/>
      </w:pPr>
    </w:p>
    <w:p w14:paraId="517AD110" w14:textId="77777777" w:rsidR="003C2AC6" w:rsidRPr="00FF3859"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Aguilar es originaria del Municipio de Génova, Departamento de Quetzaltenango, Guatemala. Nació el 13 de julio de 1967. Residía en el Caserío Guadalupe, Génova, Costa Cuca, Guatema</w:t>
      </w:r>
      <w:r>
        <w:rPr>
          <w:i w:val="0"/>
          <w:szCs w:val="20"/>
        </w:rPr>
        <w:t>la. Fue diagnosticada con VIH</w:t>
      </w:r>
      <w:r w:rsidRPr="00CC04EC">
        <w:rPr>
          <w:i w:val="0"/>
          <w:szCs w:val="20"/>
        </w:rPr>
        <w:t xml:space="preserve"> el</w:t>
      </w:r>
      <w:r>
        <w:rPr>
          <w:i w:val="0"/>
          <w:szCs w:val="20"/>
        </w:rPr>
        <w:t xml:space="preserve"> 18 de enero de</w:t>
      </w:r>
      <w:r w:rsidRPr="00CC04EC">
        <w:rPr>
          <w:i w:val="0"/>
          <w:szCs w:val="20"/>
        </w:rPr>
        <w:t xml:space="preserve"> 2000, en</w:t>
      </w:r>
      <w:r>
        <w:rPr>
          <w:i w:val="0"/>
          <w:szCs w:val="20"/>
        </w:rPr>
        <w:t xml:space="preserve"> la Cruz Roja d</w:t>
      </w:r>
      <w:r w:rsidRPr="00CC04EC">
        <w:rPr>
          <w:i w:val="0"/>
          <w:szCs w:val="20"/>
        </w:rPr>
        <w:t>el Puesto de Salud de Guadalupe.</w:t>
      </w:r>
      <w:r>
        <w:rPr>
          <w:i w:val="0"/>
          <w:szCs w:val="20"/>
        </w:rPr>
        <w:t xml:space="preserve"> En marzo del año 2002 comenzó a recibir atención de MSF. I</w:t>
      </w:r>
      <w:r w:rsidRPr="00CC04EC">
        <w:rPr>
          <w:i w:val="0"/>
          <w:szCs w:val="20"/>
        </w:rPr>
        <w:t>nició su tratamiento antirretroviral en noviembre de 2005.</w:t>
      </w:r>
      <w:r w:rsidRPr="00852A6C">
        <w:rPr>
          <w:i w:val="0"/>
          <w:szCs w:val="20"/>
        </w:rPr>
        <w:t xml:space="preserve"> </w:t>
      </w:r>
      <w:r w:rsidRPr="00B45EA1">
        <w:rPr>
          <w:i w:val="0"/>
          <w:szCs w:val="20"/>
        </w:rPr>
        <w:t xml:space="preserve">Padeció de </w:t>
      </w:r>
      <w:r w:rsidRPr="00CC04EC">
        <w:rPr>
          <w:i w:val="0"/>
          <w:szCs w:val="20"/>
        </w:rPr>
        <w:t xml:space="preserve">herpes zoster, infecciones recurrentes del tracto respiratorio, amigdalitis viral, infecciones severas y </w:t>
      </w:r>
      <w:proofErr w:type="spellStart"/>
      <w:r w:rsidRPr="00CC04EC">
        <w:rPr>
          <w:i w:val="0"/>
          <w:szCs w:val="20"/>
        </w:rPr>
        <w:t>sarcopiosis</w:t>
      </w:r>
      <w:proofErr w:type="spellEnd"/>
      <w:r w:rsidRPr="00CC04EC">
        <w:rPr>
          <w:i w:val="0"/>
          <w:szCs w:val="20"/>
        </w:rPr>
        <w:t>.</w:t>
      </w:r>
      <w:r>
        <w:rPr>
          <w:i w:val="0"/>
          <w:szCs w:val="20"/>
        </w:rPr>
        <w:t xml:space="preserve"> Su última cita fue el 30 de abril de 2014.</w:t>
      </w:r>
      <w:r w:rsidRPr="00CC04EC">
        <w:rPr>
          <w:i w:val="0"/>
          <w:szCs w:val="20"/>
        </w:rPr>
        <w:t xml:space="preserve"> Según información allegada por </w:t>
      </w:r>
      <w:r>
        <w:rPr>
          <w:i w:val="0"/>
          <w:szCs w:val="20"/>
        </w:rPr>
        <w:t>la doctora Calderón, la señora Aguilar ya falleció. N</w:t>
      </w:r>
      <w:r w:rsidRPr="00CC04EC">
        <w:rPr>
          <w:i w:val="0"/>
          <w:szCs w:val="20"/>
        </w:rPr>
        <w:t>o obstante, debido a la falta de comunicación con sus familiares se ignoran los datos precisos.</w:t>
      </w:r>
      <w:r w:rsidRPr="00CC04EC">
        <w:rPr>
          <w:rStyle w:val="Refdenotaalpie"/>
          <w:i w:val="0"/>
        </w:rPr>
        <w:footnoteReference w:id="284"/>
      </w:r>
    </w:p>
    <w:p w14:paraId="6FB340BB" w14:textId="77777777" w:rsidR="003C2AC6" w:rsidRPr="00CC04EC" w:rsidRDefault="003C2AC6" w:rsidP="003C2AC6">
      <w:pPr>
        <w:pStyle w:val="Estilo1"/>
        <w:tabs>
          <w:tab w:val="left" w:pos="709"/>
          <w:tab w:val="left" w:pos="1134"/>
        </w:tabs>
        <w:spacing w:after="0"/>
        <w:ind w:left="0" w:right="-4" w:firstLine="0"/>
        <w:rPr>
          <w:i w:val="0"/>
          <w:szCs w:val="20"/>
        </w:rPr>
      </w:pPr>
    </w:p>
    <w:p w14:paraId="4AC731AE" w14:textId="57AE3F7C"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enc</w:t>
      </w:r>
      <w:r>
        <w:rPr>
          <w:i w:val="0"/>
          <w:szCs w:val="20"/>
        </w:rPr>
        <w:t>ontraba integrado por su pareja</w:t>
      </w:r>
      <w:r w:rsidRPr="00CC04EC">
        <w:rPr>
          <w:i w:val="0"/>
          <w:szCs w:val="20"/>
        </w:rPr>
        <w:t xml:space="preserve"> Felipe de Jesús Hernández (fallecido</w:t>
      </w:r>
      <w:r>
        <w:rPr>
          <w:i w:val="0"/>
          <w:szCs w:val="20"/>
        </w:rPr>
        <w:t>), su hija</w:t>
      </w:r>
      <w:r w:rsidRPr="00CC04EC">
        <w:rPr>
          <w:i w:val="0"/>
          <w:szCs w:val="20"/>
        </w:rPr>
        <w:t xml:space="preserve"> Jessenia Carolina y sus hijos Julio César y Felipe Guillermo, </w:t>
      </w:r>
      <w:r>
        <w:rPr>
          <w:i w:val="0"/>
          <w:szCs w:val="20"/>
        </w:rPr>
        <w:t>todos de apellidos Guzmán Aguilar, su padre</w:t>
      </w:r>
      <w:r w:rsidRPr="00CC04EC">
        <w:rPr>
          <w:i w:val="0"/>
          <w:szCs w:val="20"/>
        </w:rPr>
        <w:t xml:space="preserve"> Julián Cabrera Aguilar</w:t>
      </w:r>
      <w:r>
        <w:rPr>
          <w:i w:val="0"/>
          <w:szCs w:val="20"/>
        </w:rPr>
        <w:t>, y sus nietos</w:t>
      </w:r>
      <w:r w:rsidRPr="00CC04EC">
        <w:rPr>
          <w:i w:val="0"/>
          <w:szCs w:val="20"/>
        </w:rPr>
        <w:t xml:space="preserve"> Gerber Gudiel Guzmán Aguilar y </w:t>
      </w:r>
      <w:proofErr w:type="spellStart"/>
      <w:r w:rsidRPr="00CC04EC">
        <w:rPr>
          <w:i w:val="0"/>
          <w:szCs w:val="20"/>
        </w:rPr>
        <w:t>Andi</w:t>
      </w:r>
      <w:proofErr w:type="spellEnd"/>
      <w:r w:rsidRPr="00CC04EC">
        <w:rPr>
          <w:i w:val="0"/>
          <w:szCs w:val="20"/>
        </w:rPr>
        <w:t xml:space="preserve"> Enrique Sales Guzmán</w:t>
      </w:r>
      <w:r w:rsidRPr="00CC04EC">
        <w:rPr>
          <w:rStyle w:val="Refdenotaalpie"/>
          <w:i w:val="0"/>
        </w:rPr>
        <w:footnoteReference w:id="285"/>
      </w:r>
      <w:r>
        <w:rPr>
          <w:i w:val="0"/>
          <w:szCs w:val="20"/>
        </w:rPr>
        <w:t>.</w:t>
      </w:r>
    </w:p>
    <w:p w14:paraId="56C9C1B1" w14:textId="77777777" w:rsidR="003C2AC6" w:rsidRPr="00FF3859" w:rsidRDefault="003C2AC6" w:rsidP="003C2AC6">
      <w:pPr>
        <w:pStyle w:val="PrrafodeSentencia"/>
      </w:pPr>
    </w:p>
    <w:p w14:paraId="15188935" w14:textId="77777777" w:rsidR="003C2AC6" w:rsidRDefault="003C2AC6" w:rsidP="003C2AC6">
      <w:pPr>
        <w:pStyle w:val="PrrafodeSentencia"/>
      </w:pPr>
      <w:r>
        <w:tab/>
        <w:t>A.14. Melvin Yovani Ajtu</w:t>
      </w:r>
      <w:r w:rsidRPr="00CC04EC">
        <w:t>n Escobar</w:t>
      </w:r>
    </w:p>
    <w:p w14:paraId="69546AED" w14:textId="77777777" w:rsidR="003C2AC6" w:rsidRPr="00CC04EC" w:rsidRDefault="003C2AC6" w:rsidP="003C2AC6">
      <w:pPr>
        <w:pStyle w:val="PrrafodeSentencia"/>
      </w:pPr>
    </w:p>
    <w:p w14:paraId="6696FA89" w14:textId="77777777" w:rsidR="003C2AC6" w:rsidRPr="00852A6C"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El señor Ajtu</w:t>
      </w:r>
      <w:r w:rsidRPr="00CC04EC">
        <w:rPr>
          <w:i w:val="0"/>
          <w:szCs w:val="20"/>
        </w:rPr>
        <w:t xml:space="preserve">n Escobar nació el 31 de julio de 1981. Fue diagnosticado en 2001 en el Hospital </w:t>
      </w:r>
      <w:proofErr w:type="spellStart"/>
      <w:r w:rsidRPr="00CC04EC">
        <w:rPr>
          <w:i w:val="0"/>
          <w:szCs w:val="20"/>
        </w:rPr>
        <w:t>Retalhieu</w:t>
      </w:r>
      <w:proofErr w:type="spellEnd"/>
      <w:r w:rsidRPr="00CC04EC">
        <w:rPr>
          <w:i w:val="0"/>
          <w:szCs w:val="20"/>
        </w:rPr>
        <w:t>. Comenzó su tratamiento en 2004, a través de MSF. No se le practicaron los estudios de CD4 y de carga viral de manera regular. Padeció dermatomicosis, fiebres constantes por más de un mes, manifestaciones mico cutáneas, neumonía atípica, candidiasis oral, faringitis, papilomatosis oral y leucoplasia oral vellosa. No contaba con recursos económicos para adquirir los medicamentos.</w:t>
      </w:r>
      <w:r w:rsidRPr="00CC04EC">
        <w:rPr>
          <w:b/>
          <w:i w:val="0"/>
          <w:szCs w:val="20"/>
        </w:rPr>
        <w:t xml:space="preserve"> </w:t>
      </w:r>
      <w:r w:rsidRPr="00CC04EC">
        <w:rPr>
          <w:i w:val="0"/>
          <w:szCs w:val="20"/>
        </w:rPr>
        <w:t xml:space="preserve">Antes de ser diagnosticado, trabajó en un taller de soldadura. </w:t>
      </w:r>
      <w:r>
        <w:rPr>
          <w:i w:val="0"/>
          <w:szCs w:val="20"/>
        </w:rPr>
        <w:t xml:space="preserve">Para el año 2006 asistía </w:t>
      </w:r>
      <w:r w:rsidRPr="00CC04EC">
        <w:rPr>
          <w:i w:val="0"/>
          <w:szCs w:val="20"/>
        </w:rPr>
        <w:t>a la Clínica 12 del Hospital Nacional de Coatepeque</w:t>
      </w:r>
      <w:r>
        <w:rPr>
          <w:i w:val="0"/>
          <w:szCs w:val="20"/>
        </w:rPr>
        <w:t>, donde también recibía antirretrovirales. Recibió pláticas de</w:t>
      </w:r>
      <w:r w:rsidRPr="00CC04EC">
        <w:rPr>
          <w:i w:val="0"/>
          <w:szCs w:val="20"/>
        </w:rPr>
        <w:t xml:space="preserve"> uso del preservativo y de </w:t>
      </w:r>
      <w:r w:rsidRPr="00CC04EC">
        <w:rPr>
          <w:i w:val="0"/>
          <w:szCs w:val="20"/>
        </w:rPr>
        <w:lastRenderedPageBreak/>
        <w:t>prevención de reinfección. Falleció el 17 de junio de 2016, por causas no relacionadas con VIH.</w:t>
      </w:r>
      <w:r w:rsidRPr="00CC04EC">
        <w:rPr>
          <w:rStyle w:val="Refdenotaalpie"/>
          <w:i w:val="0"/>
        </w:rPr>
        <w:footnoteReference w:id="286"/>
      </w:r>
    </w:p>
    <w:p w14:paraId="49163DF3" w14:textId="77777777" w:rsidR="003C2AC6" w:rsidRPr="00CC04EC" w:rsidRDefault="003C2AC6" w:rsidP="003C2AC6">
      <w:pPr>
        <w:pStyle w:val="Estilo1"/>
        <w:tabs>
          <w:tab w:val="left" w:pos="709"/>
          <w:tab w:val="left" w:pos="1134"/>
        </w:tabs>
        <w:spacing w:after="0"/>
        <w:ind w:left="0" w:right="-4" w:firstLine="0"/>
        <w:rPr>
          <w:i w:val="0"/>
          <w:szCs w:val="20"/>
        </w:rPr>
      </w:pPr>
    </w:p>
    <w:p w14:paraId="7553677E"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enc</w:t>
      </w:r>
      <w:r>
        <w:rPr>
          <w:i w:val="0"/>
          <w:szCs w:val="20"/>
        </w:rPr>
        <w:t xml:space="preserve">ontraba integrado por su esposa </w:t>
      </w:r>
      <w:proofErr w:type="spellStart"/>
      <w:r>
        <w:rPr>
          <w:i w:val="0"/>
          <w:szCs w:val="20"/>
        </w:rPr>
        <w:t>Heidy</w:t>
      </w:r>
      <w:proofErr w:type="spellEnd"/>
      <w:r>
        <w:rPr>
          <w:i w:val="0"/>
          <w:szCs w:val="20"/>
        </w:rPr>
        <w:t xml:space="preserve"> Mariela Lucas González,</w:t>
      </w:r>
      <w:r w:rsidRPr="00CC04EC">
        <w:rPr>
          <w:i w:val="0"/>
          <w:szCs w:val="20"/>
        </w:rPr>
        <w:t xml:space="preserve"> sus hijos Elías Emmanuel A</w:t>
      </w:r>
      <w:r>
        <w:rPr>
          <w:i w:val="0"/>
          <w:szCs w:val="20"/>
        </w:rPr>
        <w:t>jtu</w:t>
      </w:r>
      <w:r w:rsidRPr="00CC04EC">
        <w:rPr>
          <w:i w:val="0"/>
          <w:szCs w:val="20"/>
        </w:rPr>
        <w:t>n Lucas y Marvin Jos</w:t>
      </w:r>
      <w:r>
        <w:rPr>
          <w:i w:val="0"/>
          <w:szCs w:val="20"/>
        </w:rPr>
        <w:t>ué Lucas González (fallecido) y su madre</w:t>
      </w:r>
      <w:r w:rsidRPr="00CC04EC">
        <w:rPr>
          <w:i w:val="0"/>
          <w:szCs w:val="20"/>
        </w:rPr>
        <w:t xml:space="preserve"> Bertha Luz Escobar</w:t>
      </w:r>
      <w:r w:rsidRPr="00CC04EC">
        <w:rPr>
          <w:rStyle w:val="Refdenotaalpie"/>
          <w:i w:val="0"/>
        </w:rPr>
        <w:footnoteReference w:id="287"/>
      </w:r>
      <w:r w:rsidRPr="00CC04EC">
        <w:rPr>
          <w:i w:val="0"/>
          <w:szCs w:val="20"/>
        </w:rPr>
        <w:t>.</w:t>
      </w:r>
    </w:p>
    <w:p w14:paraId="1BB65346" w14:textId="77777777" w:rsidR="003C2AC6" w:rsidRDefault="003C2AC6" w:rsidP="003C2AC6">
      <w:pPr>
        <w:pStyle w:val="PrrafodeSentencia"/>
      </w:pPr>
    </w:p>
    <w:p w14:paraId="3CA559B4" w14:textId="77777777" w:rsidR="003C2AC6" w:rsidRDefault="003C2AC6" w:rsidP="003C2AC6">
      <w:pPr>
        <w:pStyle w:val="PrrafodeSentencia"/>
      </w:pPr>
      <w:r>
        <w:tab/>
        <w:t>A.</w:t>
      </w:r>
      <w:r w:rsidRPr="00CC04EC">
        <w:t>15. José Cupertino Ramírez</w:t>
      </w:r>
    </w:p>
    <w:p w14:paraId="2E6F2DDA" w14:textId="77777777" w:rsidR="003C2AC6" w:rsidRPr="00CC04EC" w:rsidRDefault="003C2AC6" w:rsidP="003C2AC6">
      <w:pPr>
        <w:pStyle w:val="PrrafodeSentencia"/>
      </w:pPr>
    </w:p>
    <w:p w14:paraId="7A3EC767"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El señor Cupertino Ramírez nació el 6 de abril de 1970</w:t>
      </w:r>
      <w:r>
        <w:rPr>
          <w:i w:val="0"/>
          <w:szCs w:val="20"/>
        </w:rPr>
        <w:t xml:space="preserve"> en </w:t>
      </w:r>
      <w:proofErr w:type="spellStart"/>
      <w:r>
        <w:rPr>
          <w:i w:val="0"/>
          <w:szCs w:val="20"/>
        </w:rPr>
        <w:t>Suchitepequez</w:t>
      </w:r>
      <w:proofErr w:type="spellEnd"/>
      <w:r>
        <w:rPr>
          <w:i w:val="0"/>
          <w:szCs w:val="20"/>
        </w:rPr>
        <w:t>, Guatemala</w:t>
      </w:r>
      <w:r w:rsidRPr="00CC04EC">
        <w:rPr>
          <w:i w:val="0"/>
          <w:szCs w:val="20"/>
        </w:rPr>
        <w:t>.</w:t>
      </w:r>
      <w:r w:rsidRPr="005C4AF1">
        <w:rPr>
          <w:i w:val="0"/>
          <w:szCs w:val="20"/>
        </w:rPr>
        <w:t xml:space="preserve"> </w:t>
      </w:r>
      <w:r w:rsidRPr="00CC04EC">
        <w:rPr>
          <w:i w:val="0"/>
          <w:szCs w:val="20"/>
        </w:rPr>
        <w:t>Residía en el Sector Buena Vista.</w:t>
      </w:r>
      <w:r>
        <w:rPr>
          <w:i w:val="0"/>
          <w:szCs w:val="20"/>
        </w:rPr>
        <w:t xml:space="preserve"> Era agricultor y no sabía leer ni escribir.</w:t>
      </w:r>
      <w:r w:rsidRPr="00CC04EC">
        <w:rPr>
          <w:i w:val="0"/>
          <w:szCs w:val="20"/>
        </w:rPr>
        <w:t xml:space="preserve"> Fue diagnosticado en</w:t>
      </w:r>
      <w:r>
        <w:rPr>
          <w:i w:val="0"/>
          <w:szCs w:val="20"/>
        </w:rPr>
        <w:t xml:space="preserve"> el año 2003, en el Hospital de Mazatenango</w:t>
      </w:r>
      <w:r w:rsidRPr="00CC04EC">
        <w:rPr>
          <w:i w:val="0"/>
          <w:szCs w:val="20"/>
        </w:rPr>
        <w:t>. Se encontraba adscrito al Hospital Nacional de Coatepeque</w:t>
      </w:r>
      <w:r>
        <w:rPr>
          <w:i w:val="0"/>
          <w:szCs w:val="20"/>
        </w:rPr>
        <w:t>, con el proyecto de MSF, con quienes comenzó a recibir tratamiento antirretroviral el 9 de junio de 2004</w:t>
      </w:r>
      <w:r w:rsidRPr="00CC04EC">
        <w:rPr>
          <w:i w:val="0"/>
          <w:szCs w:val="20"/>
        </w:rPr>
        <w:t xml:space="preserve">. Padeció anorexia, faringitis, micosis, sífilis y herpes genital. Los exámenes de CD4 no </w:t>
      </w:r>
      <w:r>
        <w:rPr>
          <w:i w:val="0"/>
          <w:szCs w:val="20"/>
        </w:rPr>
        <w:t>fueron</w:t>
      </w:r>
      <w:r w:rsidRPr="00CC04EC">
        <w:rPr>
          <w:i w:val="0"/>
          <w:szCs w:val="20"/>
        </w:rPr>
        <w:t xml:space="preserve"> regulares y no </w:t>
      </w:r>
      <w:r>
        <w:rPr>
          <w:i w:val="0"/>
          <w:szCs w:val="20"/>
        </w:rPr>
        <w:t xml:space="preserve">le realizaron </w:t>
      </w:r>
      <w:r w:rsidRPr="00CC04EC">
        <w:rPr>
          <w:i w:val="0"/>
          <w:szCs w:val="20"/>
        </w:rPr>
        <w:t xml:space="preserve">los de carga viral. Debido a su enfermedad lo abandonó su pareja, sus cuatro hijos también se fueron y en las calles le decían </w:t>
      </w:r>
      <w:r>
        <w:rPr>
          <w:i w:val="0"/>
          <w:szCs w:val="20"/>
        </w:rPr>
        <w:t>“</w:t>
      </w:r>
      <w:r w:rsidRPr="00CC04EC">
        <w:rPr>
          <w:i w:val="0"/>
          <w:szCs w:val="20"/>
        </w:rPr>
        <w:t>sidoso</w:t>
      </w:r>
      <w:r>
        <w:rPr>
          <w:i w:val="0"/>
          <w:szCs w:val="20"/>
        </w:rPr>
        <w:t>”</w:t>
      </w:r>
      <w:r w:rsidRPr="00CC04EC">
        <w:rPr>
          <w:i w:val="0"/>
          <w:szCs w:val="20"/>
        </w:rPr>
        <w:t xml:space="preserve">. </w:t>
      </w:r>
      <w:r>
        <w:rPr>
          <w:i w:val="0"/>
          <w:szCs w:val="20"/>
        </w:rPr>
        <w:t>Falleció el 8 de enero de 2013 por asfixia por sumersión</w:t>
      </w:r>
      <w:r w:rsidRPr="00CC04EC">
        <w:rPr>
          <w:rStyle w:val="Refdenotaalpie"/>
          <w:i w:val="0"/>
        </w:rPr>
        <w:footnoteReference w:id="288"/>
      </w:r>
      <w:r>
        <w:rPr>
          <w:i w:val="0"/>
          <w:szCs w:val="20"/>
        </w:rPr>
        <w:t>.</w:t>
      </w:r>
    </w:p>
    <w:p w14:paraId="5574B7FF" w14:textId="77777777" w:rsidR="003C2AC6" w:rsidRPr="00CC04EC" w:rsidRDefault="003C2AC6" w:rsidP="003C2AC6">
      <w:pPr>
        <w:pStyle w:val="Estilo1"/>
        <w:tabs>
          <w:tab w:val="left" w:pos="709"/>
          <w:tab w:val="left" w:pos="1134"/>
        </w:tabs>
        <w:spacing w:after="0"/>
        <w:ind w:left="0" w:right="-4" w:firstLine="0"/>
        <w:rPr>
          <w:i w:val="0"/>
          <w:szCs w:val="20"/>
        </w:rPr>
      </w:pPr>
    </w:p>
    <w:p w14:paraId="79C39BF5"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conformaba por su prima hermana Victoria Ramírez </w:t>
      </w:r>
      <w:r>
        <w:rPr>
          <w:i w:val="0"/>
          <w:szCs w:val="20"/>
        </w:rPr>
        <w:t>Ramos,</w:t>
      </w:r>
      <w:r w:rsidRPr="00CC04EC">
        <w:rPr>
          <w:i w:val="0"/>
          <w:szCs w:val="20"/>
        </w:rPr>
        <w:t xml:space="preserve"> su primo hermano </w:t>
      </w:r>
      <w:proofErr w:type="spellStart"/>
      <w:r w:rsidRPr="00CC04EC">
        <w:rPr>
          <w:i w:val="0"/>
          <w:szCs w:val="20"/>
        </w:rPr>
        <w:t>Valvino</w:t>
      </w:r>
      <w:proofErr w:type="spellEnd"/>
      <w:r w:rsidRPr="00CC04EC">
        <w:rPr>
          <w:i w:val="0"/>
          <w:szCs w:val="20"/>
        </w:rPr>
        <w:t xml:space="preserve"> Ramírez Sabat y su tío </w:t>
      </w:r>
      <w:proofErr w:type="spellStart"/>
      <w:r w:rsidRPr="00CC04EC">
        <w:rPr>
          <w:i w:val="0"/>
          <w:szCs w:val="20"/>
        </w:rPr>
        <w:t>Valvino</w:t>
      </w:r>
      <w:proofErr w:type="spellEnd"/>
      <w:r w:rsidRPr="00CC04EC">
        <w:rPr>
          <w:i w:val="0"/>
          <w:szCs w:val="20"/>
        </w:rPr>
        <w:t xml:space="preserve"> Ramírez Ramos</w:t>
      </w:r>
      <w:r w:rsidRPr="00CC04EC">
        <w:rPr>
          <w:rStyle w:val="Refdenotaalpie"/>
          <w:i w:val="0"/>
        </w:rPr>
        <w:footnoteReference w:id="289"/>
      </w:r>
      <w:r>
        <w:rPr>
          <w:i w:val="0"/>
          <w:szCs w:val="20"/>
        </w:rPr>
        <w:t>.</w:t>
      </w:r>
    </w:p>
    <w:p w14:paraId="6042FC8A" w14:textId="77777777" w:rsidR="003C2AC6" w:rsidRDefault="003C2AC6" w:rsidP="003C2AC6">
      <w:pPr>
        <w:pStyle w:val="PrrafodeSentencia"/>
      </w:pPr>
    </w:p>
    <w:p w14:paraId="04DF219D" w14:textId="77777777" w:rsidR="003C2AC6" w:rsidRPr="005476CC" w:rsidRDefault="003C2AC6" w:rsidP="003C2AC6">
      <w:pPr>
        <w:pStyle w:val="PrrafodeSentencia"/>
      </w:pPr>
      <w:r w:rsidRPr="005476CC">
        <w:t>B. Presuntas víctimas con vida</w:t>
      </w:r>
    </w:p>
    <w:p w14:paraId="7F193197" w14:textId="77777777" w:rsidR="003C2AC6" w:rsidRPr="005476CC" w:rsidRDefault="003C2AC6" w:rsidP="003C2AC6">
      <w:pPr>
        <w:pStyle w:val="PrrafodeSentencia"/>
      </w:pPr>
    </w:p>
    <w:p w14:paraId="0490587B" w14:textId="77777777" w:rsidR="003C2AC6" w:rsidRPr="005476CC" w:rsidRDefault="003C2AC6" w:rsidP="003C2AC6">
      <w:pPr>
        <w:pStyle w:val="PrrafodeSentencia"/>
      </w:pPr>
      <w:r>
        <w:tab/>
      </w:r>
      <w:r w:rsidRPr="005476CC">
        <w:t>B.1. Sebastián Emilio Dueñas</w:t>
      </w:r>
    </w:p>
    <w:p w14:paraId="309F2C71" w14:textId="70A657E2" w:rsidR="003C2AC6" w:rsidRPr="005476CC"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 xml:space="preserve">El señor Dueñas es originario del Municipio de </w:t>
      </w:r>
      <w:r w:rsidR="00F87540" w:rsidRPr="00CC04EC">
        <w:rPr>
          <w:i w:val="0"/>
          <w:szCs w:val="20"/>
        </w:rPr>
        <w:t>Retal</w:t>
      </w:r>
      <w:r w:rsidR="00F87540">
        <w:rPr>
          <w:i w:val="0"/>
          <w:szCs w:val="20"/>
        </w:rPr>
        <w:t>hu</w:t>
      </w:r>
      <w:r w:rsidR="00F87540" w:rsidRPr="00CC04EC">
        <w:rPr>
          <w:i w:val="0"/>
          <w:szCs w:val="20"/>
        </w:rPr>
        <w:t>l</w:t>
      </w:r>
      <w:r w:rsidR="00F87540">
        <w:rPr>
          <w:i w:val="0"/>
          <w:szCs w:val="20"/>
        </w:rPr>
        <w:t>e</w:t>
      </w:r>
      <w:r w:rsidR="00F87540" w:rsidRPr="00CC04EC">
        <w:rPr>
          <w:i w:val="0"/>
          <w:szCs w:val="20"/>
        </w:rPr>
        <w:t>u</w:t>
      </w:r>
      <w:r w:rsidRPr="005476CC">
        <w:rPr>
          <w:i w:val="0"/>
          <w:szCs w:val="20"/>
        </w:rPr>
        <w:t xml:space="preserve">, Departamento de Retalhuleu, Guatemala. Nació el 18 de enero de 1955. Reside en Aldea el </w:t>
      </w:r>
      <w:proofErr w:type="spellStart"/>
      <w:r w:rsidRPr="005476CC">
        <w:rPr>
          <w:i w:val="0"/>
          <w:szCs w:val="20"/>
        </w:rPr>
        <w:t>Xab</w:t>
      </w:r>
      <w:proofErr w:type="spellEnd"/>
      <w:r w:rsidRPr="005476CC">
        <w:rPr>
          <w:i w:val="0"/>
          <w:szCs w:val="20"/>
        </w:rPr>
        <w:t xml:space="preserve"> del Asintal, Retalhuleu. </w:t>
      </w:r>
      <w:r>
        <w:rPr>
          <w:i w:val="0"/>
          <w:szCs w:val="20"/>
        </w:rPr>
        <w:t xml:space="preserve">Cursó hasta tercero de primaria. </w:t>
      </w:r>
      <w:r w:rsidRPr="005476CC">
        <w:rPr>
          <w:i w:val="0"/>
          <w:szCs w:val="20"/>
        </w:rPr>
        <w:t>Fue diagn</w:t>
      </w:r>
      <w:r>
        <w:rPr>
          <w:i w:val="0"/>
          <w:szCs w:val="20"/>
        </w:rPr>
        <w:t>osticado con VIH en el año 2002</w:t>
      </w:r>
      <w:r w:rsidRPr="005476CC">
        <w:rPr>
          <w:i w:val="0"/>
          <w:szCs w:val="20"/>
        </w:rPr>
        <w:t xml:space="preserve"> por un laboratorio privado.</w:t>
      </w:r>
      <w:r>
        <w:rPr>
          <w:i w:val="0"/>
          <w:szCs w:val="20"/>
        </w:rPr>
        <w:t xml:space="preserve"> Antes de su diagnóstico era agricultor y ahora es comerciante.</w:t>
      </w:r>
      <w:r w:rsidRPr="005476CC">
        <w:rPr>
          <w:i w:val="0"/>
          <w:szCs w:val="20"/>
        </w:rPr>
        <w:t xml:space="preserve"> Comenzó su tratamiento antirretrov</w:t>
      </w:r>
      <w:r>
        <w:rPr>
          <w:i w:val="0"/>
          <w:szCs w:val="20"/>
        </w:rPr>
        <w:t>iral en el Proyecto Vida de MSF el 12 de diciembre de 2002. C</w:t>
      </w:r>
      <w:r w:rsidRPr="005476CC">
        <w:rPr>
          <w:i w:val="0"/>
          <w:szCs w:val="20"/>
        </w:rPr>
        <w:t xml:space="preserve">on posterioridad fue transferido a la Clínica 12 del Hospital de Coatepeque. </w:t>
      </w:r>
      <w:r>
        <w:rPr>
          <w:i w:val="0"/>
          <w:szCs w:val="20"/>
        </w:rPr>
        <w:t>N</w:t>
      </w:r>
      <w:r w:rsidRPr="005476CC">
        <w:rPr>
          <w:i w:val="0"/>
          <w:szCs w:val="20"/>
        </w:rPr>
        <w:t>o ha tenido acceso</w:t>
      </w:r>
      <w:r>
        <w:rPr>
          <w:i w:val="0"/>
          <w:szCs w:val="20"/>
        </w:rPr>
        <w:t xml:space="preserve"> regular a exámenes de CD4,</w:t>
      </w:r>
      <w:r w:rsidRPr="005476CC">
        <w:rPr>
          <w:i w:val="0"/>
          <w:szCs w:val="20"/>
        </w:rPr>
        <w:t xml:space="preserve"> carga viral, ni tratamiento para enfermedades oportunistas, lo cual se evidenció en relación con su infección por hongos en la boca. Ha padecido de candidiasis oral recurrente, infección respiratoria superior y diarrea</w:t>
      </w:r>
      <w:r w:rsidRPr="005476CC">
        <w:rPr>
          <w:rStyle w:val="Refdenotaalpie"/>
          <w:i w:val="0"/>
        </w:rPr>
        <w:footnoteReference w:id="290"/>
      </w:r>
      <w:r w:rsidRPr="005476CC">
        <w:rPr>
          <w:i w:val="0"/>
          <w:szCs w:val="20"/>
        </w:rPr>
        <w:t>.</w:t>
      </w:r>
      <w:r>
        <w:rPr>
          <w:i w:val="0"/>
          <w:szCs w:val="20"/>
        </w:rPr>
        <w:t xml:space="preserve"> Manifestó </w:t>
      </w:r>
      <w:r>
        <w:rPr>
          <w:i w:val="0"/>
          <w:szCs w:val="20"/>
        </w:rPr>
        <w:lastRenderedPageBreak/>
        <w:t xml:space="preserve">haber </w:t>
      </w:r>
      <w:r w:rsidRPr="005476CC">
        <w:rPr>
          <w:i w:val="0"/>
          <w:szCs w:val="20"/>
        </w:rPr>
        <w:t xml:space="preserve">sido señalado por personas que asisten a la Clínica 12, quienes se han referido a las personas </w:t>
      </w:r>
      <w:r>
        <w:rPr>
          <w:i w:val="0"/>
          <w:szCs w:val="20"/>
        </w:rPr>
        <w:t>que viven con el</w:t>
      </w:r>
      <w:r w:rsidRPr="005476CC">
        <w:rPr>
          <w:i w:val="0"/>
          <w:szCs w:val="20"/>
        </w:rPr>
        <w:t xml:space="preserve"> VIH como “ahí están los del sida”. Recibe apoyo psicológico cada tres meses, también de un grupo de autoayuda en cuestiones de adherencia y pláticas para evitar reinfec</w:t>
      </w:r>
      <w:r>
        <w:rPr>
          <w:i w:val="0"/>
          <w:szCs w:val="20"/>
        </w:rPr>
        <w:t>ciones, utilizando preservativo</w:t>
      </w:r>
      <w:r w:rsidRPr="005476CC">
        <w:rPr>
          <w:rStyle w:val="Refdenotaalpie"/>
          <w:i w:val="0"/>
        </w:rPr>
        <w:footnoteReference w:id="291"/>
      </w:r>
      <w:r>
        <w:rPr>
          <w:i w:val="0"/>
          <w:szCs w:val="20"/>
        </w:rPr>
        <w:t>.</w:t>
      </w:r>
    </w:p>
    <w:p w14:paraId="6578C902" w14:textId="77777777" w:rsidR="003C2AC6" w:rsidRPr="005476CC"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Su núcleo familiar se compone por su esposa</w:t>
      </w:r>
      <w:r>
        <w:rPr>
          <w:i w:val="0"/>
          <w:szCs w:val="20"/>
        </w:rPr>
        <w:t xml:space="preserve"> Julia Aguilar,</w:t>
      </w:r>
      <w:r w:rsidRPr="005476CC">
        <w:rPr>
          <w:i w:val="0"/>
          <w:szCs w:val="20"/>
        </w:rPr>
        <w:t xml:space="preserve"> sus hijas Lucrecia Izabel y Eva, am</w:t>
      </w:r>
      <w:r>
        <w:rPr>
          <w:i w:val="0"/>
          <w:szCs w:val="20"/>
        </w:rPr>
        <w:t>bas de apellidos Dueñas Aguilar y</w:t>
      </w:r>
      <w:r w:rsidRPr="005476CC">
        <w:rPr>
          <w:i w:val="0"/>
          <w:szCs w:val="20"/>
        </w:rPr>
        <w:t xml:space="preserve"> </w:t>
      </w:r>
      <w:r>
        <w:rPr>
          <w:i w:val="0"/>
          <w:szCs w:val="20"/>
        </w:rPr>
        <w:t>su hijo</w:t>
      </w:r>
      <w:r w:rsidRPr="005476CC">
        <w:rPr>
          <w:i w:val="0"/>
          <w:szCs w:val="20"/>
        </w:rPr>
        <w:t xml:space="preserve"> </w:t>
      </w:r>
      <w:r w:rsidRPr="000871B4">
        <w:rPr>
          <w:i w:val="0"/>
          <w:szCs w:val="20"/>
        </w:rPr>
        <w:t>Fredy Dueñas Aguilar o José Alfredo Ramón Aguilar</w:t>
      </w:r>
      <w:r w:rsidRPr="005476CC">
        <w:rPr>
          <w:rStyle w:val="Refdenotaalpie"/>
          <w:i w:val="0"/>
        </w:rPr>
        <w:footnoteReference w:id="292"/>
      </w:r>
      <w:r w:rsidRPr="005476CC">
        <w:rPr>
          <w:i w:val="0"/>
          <w:szCs w:val="20"/>
        </w:rPr>
        <w:t>.</w:t>
      </w:r>
    </w:p>
    <w:p w14:paraId="65C44963" w14:textId="77777777" w:rsidR="003C2AC6" w:rsidRPr="005476CC" w:rsidRDefault="003C2AC6" w:rsidP="003C2AC6">
      <w:pPr>
        <w:pStyle w:val="PrrafodeSentencia"/>
      </w:pPr>
    </w:p>
    <w:p w14:paraId="364037E0" w14:textId="77777777" w:rsidR="003C2AC6" w:rsidRPr="005476CC" w:rsidRDefault="003C2AC6" w:rsidP="003C2AC6">
      <w:pPr>
        <w:pStyle w:val="PrrafodeSentencia"/>
      </w:pPr>
      <w:r>
        <w:tab/>
      </w:r>
      <w:r w:rsidRPr="005476CC">
        <w:t>B.2. Julia Aguilar</w:t>
      </w:r>
    </w:p>
    <w:p w14:paraId="58AC6F34" w14:textId="169616BB" w:rsidR="003C2AC6"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La señora Aguilar es originaria del Municipio de El Asintal, Departam</w:t>
      </w:r>
      <w:r>
        <w:rPr>
          <w:i w:val="0"/>
          <w:szCs w:val="20"/>
        </w:rPr>
        <w:t xml:space="preserve">ento de Retalhuleu, Guatemala. </w:t>
      </w:r>
      <w:r w:rsidRPr="005476CC">
        <w:rPr>
          <w:i w:val="0"/>
          <w:szCs w:val="20"/>
        </w:rPr>
        <w:t xml:space="preserve">Nació el 28 de julio de 1955. Reside en Aldea el </w:t>
      </w:r>
      <w:proofErr w:type="spellStart"/>
      <w:r w:rsidRPr="005476CC">
        <w:rPr>
          <w:i w:val="0"/>
          <w:szCs w:val="20"/>
        </w:rPr>
        <w:t>Xab</w:t>
      </w:r>
      <w:proofErr w:type="spellEnd"/>
      <w:r w:rsidRPr="005476CC">
        <w:rPr>
          <w:i w:val="0"/>
          <w:szCs w:val="20"/>
        </w:rPr>
        <w:t xml:space="preserve"> del Asintal, Retalhuleu, Guatemala.</w:t>
      </w:r>
      <w:r>
        <w:rPr>
          <w:i w:val="0"/>
          <w:szCs w:val="20"/>
        </w:rPr>
        <w:t xml:space="preserve"> Habla </w:t>
      </w:r>
      <w:proofErr w:type="spellStart"/>
      <w:r>
        <w:rPr>
          <w:i w:val="0"/>
          <w:szCs w:val="20"/>
        </w:rPr>
        <w:t>mam</w:t>
      </w:r>
      <w:proofErr w:type="spellEnd"/>
      <w:r>
        <w:rPr>
          <w:i w:val="0"/>
          <w:szCs w:val="20"/>
        </w:rPr>
        <w:t xml:space="preserve"> y español, y no tiene estudios ni sabe leer ni escribir. Es comerciante.</w:t>
      </w:r>
      <w:r w:rsidRPr="005476CC">
        <w:rPr>
          <w:i w:val="0"/>
          <w:szCs w:val="20"/>
        </w:rPr>
        <w:t xml:space="preserve"> Fue diagnosticada con VIH en el año 20</w:t>
      </w:r>
      <w:r>
        <w:rPr>
          <w:i w:val="0"/>
          <w:szCs w:val="20"/>
        </w:rPr>
        <w:t xml:space="preserve">02, en un laboratorio privado. </w:t>
      </w:r>
      <w:r w:rsidRPr="005476CC">
        <w:rPr>
          <w:i w:val="0"/>
          <w:szCs w:val="20"/>
        </w:rPr>
        <w:t xml:space="preserve">Comenzó su tratamiento antirretroviral </w:t>
      </w:r>
      <w:r>
        <w:rPr>
          <w:i w:val="0"/>
          <w:szCs w:val="20"/>
        </w:rPr>
        <w:t>con MSF y después con el</w:t>
      </w:r>
      <w:r w:rsidRPr="005476CC">
        <w:rPr>
          <w:i w:val="0"/>
          <w:szCs w:val="20"/>
        </w:rPr>
        <w:t xml:space="preserve"> Fondo Mundial</w:t>
      </w:r>
      <w:r>
        <w:rPr>
          <w:i w:val="0"/>
          <w:szCs w:val="20"/>
        </w:rPr>
        <w:t>. F</w:t>
      </w:r>
      <w:r w:rsidRPr="005476CC">
        <w:rPr>
          <w:i w:val="0"/>
          <w:szCs w:val="20"/>
        </w:rPr>
        <w:t>ue transferida a la Clínica 12 del Hospital Nacional de Coatepeque, en el año 2006, donde comenzó su tratamiento</w:t>
      </w:r>
      <w:r>
        <w:rPr>
          <w:i w:val="0"/>
          <w:szCs w:val="20"/>
        </w:rPr>
        <w:t xml:space="preserve"> antirretroviral el 26 de abril de 2007 por parte de MSF. Tras la salida de MSF continuó recibiendo tratamiento médico en dicho hospital. </w:t>
      </w:r>
      <w:r w:rsidRPr="005476CC">
        <w:rPr>
          <w:i w:val="0"/>
          <w:szCs w:val="20"/>
        </w:rPr>
        <w:t>Le han realizado de manera irregular exámenes de CD4 y carga viral</w:t>
      </w:r>
      <w:r>
        <w:rPr>
          <w:i w:val="0"/>
          <w:szCs w:val="20"/>
        </w:rPr>
        <w:t xml:space="preserve"> y no ha podido acceder a todos los medicamentos que le recetaron por su elevado costo.</w:t>
      </w:r>
      <w:r w:rsidRPr="005476CC">
        <w:rPr>
          <w:b/>
          <w:i w:val="0"/>
          <w:szCs w:val="20"/>
        </w:rPr>
        <w:t xml:space="preserve"> </w:t>
      </w:r>
      <w:r>
        <w:rPr>
          <w:i w:val="0"/>
          <w:szCs w:val="20"/>
        </w:rPr>
        <w:t>Tampoco se le han</w:t>
      </w:r>
      <w:r w:rsidRPr="005476CC">
        <w:rPr>
          <w:i w:val="0"/>
          <w:szCs w:val="20"/>
        </w:rPr>
        <w:t xml:space="preserve"> realizado exámenes de genotipo y fenotipo. Ha padecido de amigdalitis aguda, parásitos, faringitis, sarcoidosis, neuropatía, cervicitis moderada, infección urinaria, sinusitis, diarrea,</w:t>
      </w:r>
      <w:r>
        <w:rPr>
          <w:i w:val="0"/>
          <w:szCs w:val="20"/>
        </w:rPr>
        <w:t xml:space="preserve"> </w:t>
      </w:r>
      <w:proofErr w:type="spellStart"/>
      <w:r>
        <w:rPr>
          <w:i w:val="0"/>
          <w:szCs w:val="20"/>
        </w:rPr>
        <w:t>espoleón</w:t>
      </w:r>
      <w:proofErr w:type="spellEnd"/>
      <w:r>
        <w:rPr>
          <w:i w:val="0"/>
          <w:szCs w:val="20"/>
        </w:rPr>
        <w:t xml:space="preserve"> del </w:t>
      </w:r>
      <w:proofErr w:type="spellStart"/>
      <w:r>
        <w:rPr>
          <w:i w:val="0"/>
          <w:szCs w:val="20"/>
        </w:rPr>
        <w:t>coleoneo</w:t>
      </w:r>
      <w:proofErr w:type="spellEnd"/>
      <w:r>
        <w:rPr>
          <w:i w:val="0"/>
          <w:szCs w:val="20"/>
        </w:rPr>
        <w:t>,</w:t>
      </w:r>
      <w:r w:rsidRPr="005476CC">
        <w:rPr>
          <w:i w:val="0"/>
          <w:szCs w:val="20"/>
        </w:rPr>
        <w:t xml:space="preserve"> enfermedad péptica, neuropatía post empatías y obesidad. No recibe apoyo psicológico ni nutricional, solo medicamentos</w:t>
      </w:r>
      <w:r>
        <w:rPr>
          <w:i w:val="0"/>
          <w:szCs w:val="20"/>
        </w:rPr>
        <w:t>. T</w:t>
      </w:r>
      <w:r w:rsidRPr="005476CC">
        <w:rPr>
          <w:i w:val="0"/>
          <w:szCs w:val="20"/>
        </w:rPr>
        <w:t xml:space="preserve">ampoco recibe atención familiar </w:t>
      </w:r>
      <w:r>
        <w:rPr>
          <w:i w:val="0"/>
          <w:szCs w:val="20"/>
        </w:rPr>
        <w:t>ni</w:t>
      </w:r>
      <w:r w:rsidRPr="005476CC">
        <w:rPr>
          <w:i w:val="0"/>
          <w:szCs w:val="20"/>
        </w:rPr>
        <w:t xml:space="preserve"> comunitaria. De su residencia a la clínica tarda una hora de traslado y el pasaje les cuesta en</w:t>
      </w:r>
      <w:r w:rsidR="00F87540">
        <w:rPr>
          <w:i w:val="0"/>
          <w:szCs w:val="20"/>
        </w:rPr>
        <w:t>tre 8 y 15 quetzales</w:t>
      </w:r>
      <w:r>
        <w:rPr>
          <w:i w:val="0"/>
          <w:szCs w:val="20"/>
        </w:rPr>
        <w:t xml:space="preserve"> a cada uno</w:t>
      </w:r>
      <w:r w:rsidRPr="005476CC">
        <w:rPr>
          <w:rStyle w:val="Refdenotaalpie"/>
          <w:i w:val="0"/>
        </w:rPr>
        <w:footnoteReference w:id="293"/>
      </w:r>
      <w:r>
        <w:rPr>
          <w:i w:val="0"/>
          <w:szCs w:val="20"/>
        </w:rPr>
        <w:t>.</w:t>
      </w:r>
    </w:p>
    <w:p w14:paraId="6A330E22" w14:textId="77777777" w:rsidR="003C2AC6" w:rsidRPr="005E506C"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Al igual que su esposo, el señor Sebastián Emilio Dueñas, la señora Aguilar ha manifestado ser objeto de señalamientos por su condición como</w:t>
      </w:r>
      <w:r>
        <w:rPr>
          <w:i w:val="0"/>
          <w:szCs w:val="20"/>
        </w:rPr>
        <w:t xml:space="preserve"> persona con VIH, en particular</w:t>
      </w:r>
      <w:r w:rsidRPr="005476CC">
        <w:rPr>
          <w:i w:val="0"/>
          <w:szCs w:val="20"/>
        </w:rPr>
        <w:t xml:space="preserve"> por parte de sus vecinos que la han identificado a ella y a su esposo como “los sidosos”, lo cual, manifestó que le hace sentir lastimada, así como comentarios que le han hecho en el Hospital Nacional de Coatepeque.</w:t>
      </w:r>
      <w:r w:rsidRPr="005476CC">
        <w:rPr>
          <w:rStyle w:val="Refdenotaalpie"/>
          <w:i w:val="0"/>
        </w:rPr>
        <w:footnoteReference w:id="294"/>
      </w:r>
    </w:p>
    <w:p w14:paraId="43B20BF0" w14:textId="77777777" w:rsidR="003C2AC6" w:rsidRPr="005476CC"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Su núcleo fa</w:t>
      </w:r>
      <w:r>
        <w:rPr>
          <w:i w:val="0"/>
          <w:szCs w:val="20"/>
        </w:rPr>
        <w:t>miliar se compone por su esposo Sebastián Emilio Dueñas,</w:t>
      </w:r>
      <w:r w:rsidRPr="005476CC">
        <w:rPr>
          <w:i w:val="0"/>
          <w:szCs w:val="20"/>
        </w:rPr>
        <w:t xml:space="preserve"> sus hijas Lucrecia Izabel y Eva, ambas de ap</w:t>
      </w:r>
      <w:r>
        <w:rPr>
          <w:i w:val="0"/>
          <w:szCs w:val="20"/>
        </w:rPr>
        <w:t>ellidos Dueñas Aguilar, su hijo</w:t>
      </w:r>
      <w:r w:rsidRPr="005476CC">
        <w:rPr>
          <w:i w:val="0"/>
          <w:szCs w:val="20"/>
        </w:rPr>
        <w:t xml:space="preserve"> </w:t>
      </w:r>
      <w:r w:rsidRPr="000871B4">
        <w:rPr>
          <w:i w:val="0"/>
          <w:szCs w:val="20"/>
        </w:rPr>
        <w:t>Fredy Dueñas Aguilar o José Alfredo Ramón Aguilar,</w:t>
      </w:r>
      <w:r w:rsidRPr="005476CC">
        <w:rPr>
          <w:i w:val="0"/>
          <w:szCs w:val="20"/>
        </w:rPr>
        <w:t xml:space="preserve"> </w:t>
      </w:r>
      <w:r>
        <w:rPr>
          <w:i w:val="0"/>
          <w:szCs w:val="20"/>
        </w:rPr>
        <w:t>y su madre</w:t>
      </w:r>
      <w:r w:rsidRPr="005476CC">
        <w:rPr>
          <w:i w:val="0"/>
          <w:szCs w:val="20"/>
        </w:rPr>
        <w:t xml:space="preserve"> María Dueñas Aguilar</w:t>
      </w:r>
      <w:r w:rsidRPr="005476CC">
        <w:rPr>
          <w:rStyle w:val="Refdenotaalpie"/>
          <w:i w:val="0"/>
        </w:rPr>
        <w:footnoteReference w:id="295"/>
      </w:r>
      <w:r>
        <w:rPr>
          <w:i w:val="0"/>
          <w:szCs w:val="20"/>
        </w:rPr>
        <w:t>.</w:t>
      </w:r>
    </w:p>
    <w:p w14:paraId="2080CB02" w14:textId="77777777" w:rsidR="003C2AC6" w:rsidRPr="005476CC" w:rsidRDefault="003C2AC6" w:rsidP="003C2AC6">
      <w:pPr>
        <w:pStyle w:val="PrrafodeSentencia"/>
      </w:pPr>
    </w:p>
    <w:p w14:paraId="07F8D6E2" w14:textId="77777777" w:rsidR="003C2AC6" w:rsidRPr="005476CC" w:rsidRDefault="003C2AC6" w:rsidP="003C2AC6">
      <w:pPr>
        <w:pStyle w:val="PrrafodeSentencia"/>
      </w:pPr>
      <w:r>
        <w:tab/>
      </w:r>
      <w:r w:rsidRPr="005476CC">
        <w:t>B.3. Felipe Tebalan Ordoñez</w:t>
      </w:r>
    </w:p>
    <w:p w14:paraId="705856B1" w14:textId="77777777" w:rsidR="003C2AC6" w:rsidRPr="008E2A44" w:rsidRDefault="003C2AC6" w:rsidP="003C2AC6">
      <w:pPr>
        <w:pStyle w:val="Estilo1"/>
        <w:numPr>
          <w:ilvl w:val="0"/>
          <w:numId w:val="20"/>
        </w:numPr>
        <w:tabs>
          <w:tab w:val="left" w:pos="709"/>
          <w:tab w:val="left" w:pos="1134"/>
        </w:tabs>
        <w:spacing w:before="240" w:after="0"/>
        <w:ind w:left="0" w:right="-4" w:firstLine="0"/>
        <w:rPr>
          <w:i w:val="0"/>
          <w:szCs w:val="20"/>
        </w:rPr>
      </w:pPr>
      <w:r>
        <w:rPr>
          <w:i w:val="0"/>
          <w:szCs w:val="20"/>
        </w:rPr>
        <w:lastRenderedPageBreak/>
        <w:t xml:space="preserve">El señor </w:t>
      </w:r>
      <w:proofErr w:type="spellStart"/>
      <w:r>
        <w:rPr>
          <w:i w:val="0"/>
          <w:szCs w:val="20"/>
        </w:rPr>
        <w:t>Tebala</w:t>
      </w:r>
      <w:r w:rsidRPr="005476CC">
        <w:rPr>
          <w:i w:val="0"/>
          <w:szCs w:val="20"/>
        </w:rPr>
        <w:t>n</w:t>
      </w:r>
      <w:proofErr w:type="spellEnd"/>
      <w:r w:rsidRPr="005476CC">
        <w:rPr>
          <w:i w:val="0"/>
          <w:szCs w:val="20"/>
        </w:rPr>
        <w:t xml:space="preserve"> Ordoñez es originario del Municipio de Coatepeque, Departamento</w:t>
      </w:r>
      <w:r>
        <w:rPr>
          <w:i w:val="0"/>
          <w:szCs w:val="20"/>
        </w:rPr>
        <w:t xml:space="preserve"> de Quetzaltenango, Guatemala. Nació el 23 de agosto de 1942</w:t>
      </w:r>
      <w:r w:rsidRPr="005476CC">
        <w:rPr>
          <w:i w:val="0"/>
          <w:szCs w:val="20"/>
        </w:rPr>
        <w:t>. Reside en la Comunidad agraria Multicultural San Vicente Champerico, Retalhuleu, Guatemala. Cursó primero de primaria</w:t>
      </w:r>
      <w:r>
        <w:rPr>
          <w:i w:val="0"/>
          <w:szCs w:val="20"/>
        </w:rPr>
        <w:t xml:space="preserve"> </w:t>
      </w:r>
      <w:r w:rsidRPr="005476CC">
        <w:rPr>
          <w:i w:val="0"/>
          <w:szCs w:val="20"/>
        </w:rPr>
        <w:t xml:space="preserve">y estuvo tres años en el ejército. Habla </w:t>
      </w:r>
      <w:proofErr w:type="spellStart"/>
      <w:r w:rsidRPr="005476CC">
        <w:rPr>
          <w:i w:val="0"/>
          <w:szCs w:val="20"/>
        </w:rPr>
        <w:t>k’iche</w:t>
      </w:r>
      <w:proofErr w:type="spellEnd"/>
      <w:r w:rsidRPr="005476CC">
        <w:rPr>
          <w:i w:val="0"/>
          <w:szCs w:val="20"/>
        </w:rPr>
        <w:t xml:space="preserve"> y español.</w:t>
      </w:r>
      <w:r>
        <w:rPr>
          <w:i w:val="0"/>
          <w:szCs w:val="20"/>
        </w:rPr>
        <w:t xml:space="preserve"> </w:t>
      </w:r>
      <w:r w:rsidRPr="005476CC">
        <w:rPr>
          <w:i w:val="0"/>
          <w:szCs w:val="20"/>
        </w:rPr>
        <w:t>Antes del contagio se dedicaba</w:t>
      </w:r>
      <w:r>
        <w:rPr>
          <w:i w:val="0"/>
          <w:szCs w:val="20"/>
        </w:rPr>
        <w:t xml:space="preserve"> a la siembra y cosecha de maíz, sin embargo</w:t>
      </w:r>
      <w:r w:rsidRPr="005476CC">
        <w:rPr>
          <w:i w:val="0"/>
          <w:szCs w:val="20"/>
        </w:rPr>
        <w:t xml:space="preserve"> tuvo que vender su parcela</w:t>
      </w:r>
      <w:r>
        <w:rPr>
          <w:i w:val="0"/>
          <w:szCs w:val="20"/>
        </w:rPr>
        <w:t xml:space="preserve"> pues</w:t>
      </w:r>
      <w:r w:rsidRPr="005476CC">
        <w:rPr>
          <w:i w:val="0"/>
          <w:szCs w:val="20"/>
        </w:rPr>
        <w:t xml:space="preserve"> debido a su enfermedad no pudo continuar. Una vez en tratamiento vendió pollo y posteriormente, por consejo</w:t>
      </w:r>
      <w:r>
        <w:rPr>
          <w:i w:val="0"/>
          <w:szCs w:val="20"/>
        </w:rPr>
        <w:t xml:space="preserve"> de sus hijos, dejó de trabajar</w:t>
      </w:r>
      <w:r w:rsidRPr="005476CC">
        <w:rPr>
          <w:i w:val="0"/>
          <w:szCs w:val="20"/>
        </w:rPr>
        <w:t>.</w:t>
      </w:r>
      <w:r w:rsidRPr="005476CC">
        <w:rPr>
          <w:rStyle w:val="Refdenotaalpie"/>
          <w:i w:val="0"/>
        </w:rPr>
        <w:footnoteReference w:id="296"/>
      </w:r>
      <w:r w:rsidRPr="005476CC">
        <w:rPr>
          <w:i w:val="0"/>
          <w:szCs w:val="20"/>
        </w:rPr>
        <w:t xml:space="preserve"> Fue d</w:t>
      </w:r>
      <w:r>
        <w:rPr>
          <w:i w:val="0"/>
          <w:szCs w:val="20"/>
        </w:rPr>
        <w:t>iagnosticado con VIH en el año 2002</w:t>
      </w:r>
      <w:r w:rsidRPr="005476CC">
        <w:rPr>
          <w:i w:val="0"/>
          <w:szCs w:val="20"/>
        </w:rPr>
        <w:t>, en el Proyecto Vida de MSF.</w:t>
      </w:r>
      <w:r>
        <w:rPr>
          <w:i w:val="0"/>
          <w:szCs w:val="20"/>
        </w:rPr>
        <w:t xml:space="preserve"> A partir de junio de 2003 c</w:t>
      </w:r>
      <w:r w:rsidRPr="005476CC">
        <w:rPr>
          <w:i w:val="0"/>
          <w:szCs w:val="20"/>
        </w:rPr>
        <w:t xml:space="preserve">omenzó su tratamiento antirretroviral en </w:t>
      </w:r>
      <w:r>
        <w:rPr>
          <w:i w:val="0"/>
          <w:szCs w:val="20"/>
        </w:rPr>
        <w:t>MSF,</w:t>
      </w:r>
      <w:r w:rsidRPr="005476CC">
        <w:rPr>
          <w:i w:val="0"/>
          <w:szCs w:val="20"/>
        </w:rPr>
        <w:t xml:space="preserve"> y aproximadamente en el año 2004 fue trasladado a la clínica 12 del Hospital Nacional de Coatepeque, donde se le han realizado pruebas hepáticas y, de manera irregular, exámen</w:t>
      </w:r>
      <w:r>
        <w:rPr>
          <w:i w:val="0"/>
          <w:szCs w:val="20"/>
        </w:rPr>
        <w:t>es de CD4 (4) y carga viral (1). N</w:t>
      </w:r>
      <w:r w:rsidRPr="005476CC">
        <w:rPr>
          <w:i w:val="0"/>
          <w:szCs w:val="20"/>
        </w:rPr>
        <w:t xml:space="preserve">o se le han practicado </w:t>
      </w:r>
      <w:r>
        <w:rPr>
          <w:i w:val="0"/>
          <w:szCs w:val="20"/>
        </w:rPr>
        <w:t>exámenes de genotipo y fenotipo,</w:t>
      </w:r>
      <w:r w:rsidRPr="005476CC">
        <w:rPr>
          <w:i w:val="0"/>
          <w:szCs w:val="20"/>
        </w:rPr>
        <w:t xml:space="preserve"> y se le han entregado los medicamentos que son recetados. Ha padecido de problemas de hígado, sordera leve, desnutrición grado II,</w:t>
      </w:r>
      <w:r>
        <w:rPr>
          <w:i w:val="0"/>
          <w:szCs w:val="20"/>
        </w:rPr>
        <w:t xml:space="preserve"> diarrea aguda,</w:t>
      </w:r>
      <w:r w:rsidRPr="005476CC">
        <w:rPr>
          <w:i w:val="0"/>
          <w:szCs w:val="20"/>
        </w:rPr>
        <w:t xml:space="preserve"> alergias y granos en la boca.</w:t>
      </w:r>
      <w:r w:rsidRPr="00172C84">
        <w:rPr>
          <w:i w:val="0"/>
          <w:szCs w:val="20"/>
        </w:rPr>
        <w:t xml:space="preserve"> </w:t>
      </w:r>
      <w:r w:rsidRPr="005476CC">
        <w:rPr>
          <w:i w:val="0"/>
          <w:szCs w:val="20"/>
        </w:rPr>
        <w:t>No recibe apoyo nutricional, social, ni atención famil</w:t>
      </w:r>
      <w:r>
        <w:rPr>
          <w:i w:val="0"/>
          <w:szCs w:val="20"/>
        </w:rPr>
        <w:t>iar, comunitaria y domiciliaria. A</w:t>
      </w:r>
      <w:r w:rsidRPr="005476CC">
        <w:rPr>
          <w:i w:val="0"/>
          <w:szCs w:val="20"/>
        </w:rPr>
        <w:t>siste una vez al año al psicólogo y le han entregado condones</w:t>
      </w:r>
      <w:r w:rsidRPr="005476CC">
        <w:rPr>
          <w:rStyle w:val="Refdenotaalpie"/>
          <w:i w:val="0"/>
        </w:rPr>
        <w:footnoteReference w:id="297"/>
      </w:r>
      <w:r>
        <w:rPr>
          <w:i w:val="0"/>
          <w:szCs w:val="20"/>
        </w:rPr>
        <w:t>.</w:t>
      </w:r>
    </w:p>
    <w:p w14:paraId="0802C628" w14:textId="77777777" w:rsidR="003C2AC6" w:rsidRPr="005476CC" w:rsidRDefault="003C2AC6" w:rsidP="003C2AC6">
      <w:pPr>
        <w:pStyle w:val="Estilo1"/>
        <w:numPr>
          <w:ilvl w:val="0"/>
          <w:numId w:val="20"/>
        </w:numPr>
        <w:tabs>
          <w:tab w:val="left" w:pos="709"/>
          <w:tab w:val="left" w:pos="1134"/>
        </w:tabs>
        <w:spacing w:before="240" w:after="0"/>
        <w:ind w:left="0" w:right="-4" w:firstLine="0"/>
        <w:rPr>
          <w:i w:val="0"/>
          <w:szCs w:val="20"/>
        </w:rPr>
      </w:pPr>
      <w:r w:rsidRPr="005476CC">
        <w:rPr>
          <w:i w:val="0"/>
          <w:szCs w:val="20"/>
        </w:rPr>
        <w:t xml:space="preserve">Su núcleo familiar se conforma por su </w:t>
      </w:r>
      <w:r>
        <w:rPr>
          <w:i w:val="0"/>
          <w:szCs w:val="20"/>
        </w:rPr>
        <w:t>pareja</w:t>
      </w:r>
      <w:r w:rsidRPr="005476CC">
        <w:rPr>
          <w:i w:val="0"/>
          <w:szCs w:val="20"/>
        </w:rPr>
        <w:t xml:space="preserve"> Mar</w:t>
      </w:r>
      <w:r>
        <w:rPr>
          <w:i w:val="0"/>
          <w:szCs w:val="20"/>
        </w:rPr>
        <w:t>tina Candelaria Alvarez Estrada, sus hijas</w:t>
      </w:r>
      <w:r w:rsidRPr="005476CC">
        <w:rPr>
          <w:i w:val="0"/>
          <w:szCs w:val="20"/>
        </w:rPr>
        <w:t xml:space="preserve"> Candelaria, Argen</w:t>
      </w:r>
      <w:r>
        <w:rPr>
          <w:i w:val="0"/>
          <w:szCs w:val="20"/>
        </w:rPr>
        <w:t>tina, Honoria, Cecilia, Daria y su hijo</w:t>
      </w:r>
      <w:r w:rsidRPr="005476CC">
        <w:rPr>
          <w:i w:val="0"/>
          <w:szCs w:val="20"/>
        </w:rPr>
        <w:t xml:space="preserve"> Juan Carlos, tod</w:t>
      </w:r>
      <w:r>
        <w:rPr>
          <w:i w:val="0"/>
          <w:szCs w:val="20"/>
        </w:rPr>
        <w:t>os de apellidos Ordoñez Alvarez, sus nietos Luis Emiliano Ordo</w:t>
      </w:r>
      <w:r w:rsidRPr="005476CC">
        <w:rPr>
          <w:i w:val="0"/>
          <w:szCs w:val="20"/>
        </w:rPr>
        <w:t>ñez Álvarez, Martín G</w:t>
      </w:r>
      <w:r>
        <w:rPr>
          <w:i w:val="0"/>
          <w:szCs w:val="20"/>
        </w:rPr>
        <w:t xml:space="preserve">ildardo Ordoñez Álvarez, </w:t>
      </w:r>
      <w:proofErr w:type="spellStart"/>
      <w:r>
        <w:rPr>
          <w:i w:val="0"/>
          <w:szCs w:val="20"/>
        </w:rPr>
        <w:t>Ivan</w:t>
      </w:r>
      <w:proofErr w:type="spellEnd"/>
      <w:r>
        <w:rPr>
          <w:i w:val="0"/>
          <w:szCs w:val="20"/>
        </w:rPr>
        <w:t xml:space="preserve"> Juárez Ordo</w:t>
      </w:r>
      <w:r w:rsidRPr="005476CC">
        <w:rPr>
          <w:i w:val="0"/>
          <w:szCs w:val="20"/>
        </w:rPr>
        <w:t xml:space="preserve">ñez y sus nietas Lauris Ernestina y </w:t>
      </w:r>
      <w:proofErr w:type="spellStart"/>
      <w:r w:rsidRPr="005476CC">
        <w:rPr>
          <w:i w:val="0"/>
          <w:szCs w:val="20"/>
        </w:rPr>
        <w:t>Yeslin</w:t>
      </w:r>
      <w:proofErr w:type="spellEnd"/>
      <w:r w:rsidRPr="005476CC">
        <w:rPr>
          <w:i w:val="0"/>
          <w:szCs w:val="20"/>
        </w:rPr>
        <w:t xml:space="preserve"> Janeth</w:t>
      </w:r>
      <w:r>
        <w:rPr>
          <w:i w:val="0"/>
          <w:szCs w:val="20"/>
        </w:rPr>
        <w:t>, ambas de apellidos Juárez Ordo</w:t>
      </w:r>
      <w:r w:rsidRPr="005476CC">
        <w:rPr>
          <w:i w:val="0"/>
          <w:szCs w:val="20"/>
        </w:rPr>
        <w:t>ñez</w:t>
      </w:r>
      <w:r w:rsidRPr="005476CC">
        <w:rPr>
          <w:rStyle w:val="Refdenotaalpie"/>
          <w:i w:val="0"/>
        </w:rPr>
        <w:footnoteReference w:id="298"/>
      </w:r>
      <w:r>
        <w:rPr>
          <w:i w:val="0"/>
          <w:szCs w:val="20"/>
        </w:rPr>
        <w:t>.</w:t>
      </w:r>
    </w:p>
    <w:p w14:paraId="6D7897C3" w14:textId="77777777" w:rsidR="003C2AC6" w:rsidRPr="00B13268" w:rsidRDefault="003C2AC6" w:rsidP="003C2AC6">
      <w:pPr>
        <w:pStyle w:val="PrrafodeSentencia"/>
      </w:pPr>
    </w:p>
    <w:p w14:paraId="46630CA0" w14:textId="77777777" w:rsidR="003C2AC6" w:rsidRDefault="003C2AC6" w:rsidP="003C2AC6">
      <w:pPr>
        <w:pStyle w:val="PrrafodeSentencia"/>
      </w:pPr>
      <w:r>
        <w:tab/>
        <w:t>B.4.</w:t>
      </w:r>
      <w:r w:rsidRPr="00CC04EC">
        <w:t xml:space="preserve"> Mar</w:t>
      </w:r>
      <w:r>
        <w:t>tina Candelaria Alvarez Estrada</w:t>
      </w:r>
    </w:p>
    <w:p w14:paraId="60E82878" w14:textId="77777777" w:rsidR="003C2AC6" w:rsidRPr="00CC04EC" w:rsidRDefault="003C2AC6" w:rsidP="003C2AC6">
      <w:pPr>
        <w:pStyle w:val="PrrafodeSentencia"/>
      </w:pPr>
    </w:p>
    <w:p w14:paraId="45657556"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La señora A</w:t>
      </w:r>
      <w:r w:rsidRPr="00CC04EC">
        <w:rPr>
          <w:i w:val="0"/>
          <w:szCs w:val="20"/>
        </w:rPr>
        <w:t>lvarez Estrada</w:t>
      </w:r>
      <w:r>
        <w:rPr>
          <w:i w:val="0"/>
          <w:szCs w:val="20"/>
        </w:rPr>
        <w:t xml:space="preserve"> n</w:t>
      </w:r>
      <w:r w:rsidRPr="00CC04EC">
        <w:rPr>
          <w:i w:val="0"/>
          <w:szCs w:val="20"/>
        </w:rPr>
        <w:t>ació el 20 de agosto de 1947</w:t>
      </w:r>
      <w:r>
        <w:rPr>
          <w:i w:val="0"/>
          <w:szCs w:val="20"/>
        </w:rPr>
        <w:t xml:space="preserve"> en el</w:t>
      </w:r>
      <w:r w:rsidRPr="00CC04EC">
        <w:rPr>
          <w:i w:val="0"/>
          <w:szCs w:val="20"/>
        </w:rPr>
        <w:t xml:space="preserve"> Municipio de Coatepeque, Departamento</w:t>
      </w:r>
      <w:r>
        <w:rPr>
          <w:i w:val="0"/>
          <w:szCs w:val="20"/>
        </w:rPr>
        <w:t xml:space="preserve"> de Quetzaltenango, Guatemala. </w:t>
      </w:r>
      <w:r w:rsidRPr="00CC04EC">
        <w:rPr>
          <w:i w:val="0"/>
          <w:szCs w:val="20"/>
        </w:rPr>
        <w:t>Reside en la Comunidad agraria Multicultural San Vicente Champerico, Retalhuleu. No estudió y no sabe leer ni escribir. Fue d</w:t>
      </w:r>
      <w:r>
        <w:rPr>
          <w:i w:val="0"/>
          <w:szCs w:val="20"/>
        </w:rPr>
        <w:t>iagnosticada con VIH en el 2001</w:t>
      </w:r>
      <w:r w:rsidRPr="00CC04EC">
        <w:rPr>
          <w:i w:val="0"/>
          <w:szCs w:val="20"/>
        </w:rPr>
        <w:t xml:space="preserve"> en el Proyecto Vida de MSF. Comenzó su tratamiento antirretroviral en dicha </w:t>
      </w:r>
      <w:r>
        <w:rPr>
          <w:i w:val="0"/>
          <w:szCs w:val="20"/>
        </w:rPr>
        <w:t>organización</w:t>
      </w:r>
      <w:r w:rsidRPr="00CC04EC">
        <w:rPr>
          <w:i w:val="0"/>
          <w:szCs w:val="20"/>
        </w:rPr>
        <w:t xml:space="preserve">. Posteriormente fue trasladada a la Clínica 12 del Hospital Nacional de Coatepeque. Le han realizado exámenes de CD4 (4) y de carga viral (2). Ha padecido de neuropatía, artralgia, diarrea, mucho calor en la lengua y cansancio. Tiene dificultades para trasladarse al hospital, pues al igual que su esposo, </w:t>
      </w:r>
      <w:r>
        <w:rPr>
          <w:i w:val="0"/>
          <w:szCs w:val="20"/>
        </w:rPr>
        <w:t xml:space="preserve">el señor Felipe </w:t>
      </w:r>
      <w:proofErr w:type="spellStart"/>
      <w:r>
        <w:rPr>
          <w:i w:val="0"/>
          <w:szCs w:val="20"/>
        </w:rPr>
        <w:t>Te</w:t>
      </w:r>
      <w:r w:rsidRPr="00CC04EC">
        <w:rPr>
          <w:i w:val="0"/>
          <w:szCs w:val="20"/>
        </w:rPr>
        <w:t>balan</w:t>
      </w:r>
      <w:proofErr w:type="spellEnd"/>
      <w:r w:rsidRPr="00CC04EC">
        <w:rPr>
          <w:i w:val="0"/>
          <w:szCs w:val="20"/>
        </w:rPr>
        <w:t xml:space="preserve"> Ordoñez, este se encuentra retirado de su domicilio y no tienen r</w:t>
      </w:r>
      <w:r>
        <w:rPr>
          <w:i w:val="0"/>
          <w:szCs w:val="20"/>
        </w:rPr>
        <w:t>ecursos económicos para hacerlo</w:t>
      </w:r>
      <w:r w:rsidRPr="00CC04EC">
        <w:rPr>
          <w:rStyle w:val="Refdenotaalpie"/>
          <w:i w:val="0"/>
        </w:rPr>
        <w:footnoteReference w:id="299"/>
      </w:r>
      <w:r>
        <w:rPr>
          <w:i w:val="0"/>
          <w:szCs w:val="20"/>
        </w:rPr>
        <w:t>.</w:t>
      </w:r>
    </w:p>
    <w:p w14:paraId="605333BD" w14:textId="77777777" w:rsidR="003C2AC6" w:rsidRPr="00CC04EC" w:rsidRDefault="003C2AC6" w:rsidP="003C2AC6">
      <w:pPr>
        <w:pStyle w:val="Estilo1"/>
        <w:tabs>
          <w:tab w:val="left" w:pos="709"/>
          <w:tab w:val="left" w:pos="1134"/>
        </w:tabs>
        <w:spacing w:after="0"/>
        <w:ind w:left="0" w:right="-4" w:firstLine="0"/>
        <w:rPr>
          <w:i w:val="0"/>
          <w:szCs w:val="20"/>
        </w:rPr>
      </w:pPr>
    </w:p>
    <w:p w14:paraId="72F4CF25" w14:textId="3E82D188"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está formado por su esposo Felipe </w:t>
      </w:r>
      <w:proofErr w:type="spellStart"/>
      <w:r w:rsidRPr="00CC04EC">
        <w:rPr>
          <w:i w:val="0"/>
          <w:szCs w:val="20"/>
        </w:rPr>
        <w:t>Tebalan</w:t>
      </w:r>
      <w:proofErr w:type="spellEnd"/>
      <w:r w:rsidRPr="00CC04EC">
        <w:rPr>
          <w:i w:val="0"/>
          <w:szCs w:val="20"/>
        </w:rPr>
        <w:t xml:space="preserve"> Ordo</w:t>
      </w:r>
      <w:r>
        <w:rPr>
          <w:i w:val="0"/>
          <w:szCs w:val="20"/>
        </w:rPr>
        <w:t>ñez,</w:t>
      </w:r>
      <w:r w:rsidRPr="00CC04EC">
        <w:rPr>
          <w:i w:val="0"/>
          <w:szCs w:val="20"/>
        </w:rPr>
        <w:t xml:space="preserve"> sus hijas Candelaria, Argentina, Honoria, Cecilia, Daria y su hijo Juan Carl</w:t>
      </w:r>
      <w:r w:rsidR="003619A2">
        <w:rPr>
          <w:i w:val="0"/>
          <w:szCs w:val="20"/>
        </w:rPr>
        <w:t>os, todos de apellidos Ordo</w:t>
      </w:r>
      <w:r>
        <w:rPr>
          <w:i w:val="0"/>
          <w:szCs w:val="20"/>
        </w:rPr>
        <w:t>ñez A</w:t>
      </w:r>
      <w:r w:rsidRPr="00CC04EC">
        <w:rPr>
          <w:i w:val="0"/>
          <w:szCs w:val="20"/>
        </w:rPr>
        <w:t xml:space="preserve">lvarez, </w:t>
      </w:r>
      <w:r w:rsidR="003619A2">
        <w:rPr>
          <w:i w:val="0"/>
          <w:szCs w:val="20"/>
        </w:rPr>
        <w:t>sus nietos Luis Emiliano Ordo</w:t>
      </w:r>
      <w:r w:rsidRPr="00CC04EC">
        <w:rPr>
          <w:i w:val="0"/>
          <w:szCs w:val="20"/>
        </w:rPr>
        <w:t>ñ</w:t>
      </w:r>
      <w:r>
        <w:rPr>
          <w:i w:val="0"/>
          <w:szCs w:val="20"/>
        </w:rPr>
        <w:t>ez Álvarez, Martín Gildardo Ordo</w:t>
      </w:r>
      <w:r w:rsidRPr="00CC04EC">
        <w:rPr>
          <w:i w:val="0"/>
          <w:szCs w:val="20"/>
        </w:rPr>
        <w:t xml:space="preserve">ñez </w:t>
      </w:r>
      <w:r>
        <w:rPr>
          <w:i w:val="0"/>
          <w:szCs w:val="20"/>
        </w:rPr>
        <w:t xml:space="preserve">Alvarez, </w:t>
      </w:r>
      <w:r>
        <w:rPr>
          <w:i w:val="0"/>
          <w:szCs w:val="20"/>
        </w:rPr>
        <w:lastRenderedPageBreak/>
        <w:t>Iván Juárez Ordo</w:t>
      </w:r>
      <w:r w:rsidRPr="00CC04EC">
        <w:rPr>
          <w:i w:val="0"/>
          <w:szCs w:val="20"/>
        </w:rPr>
        <w:t xml:space="preserve">ñez y sus nietas Lauris Ernestina y </w:t>
      </w:r>
      <w:proofErr w:type="spellStart"/>
      <w:r w:rsidRPr="00CC04EC">
        <w:rPr>
          <w:i w:val="0"/>
          <w:szCs w:val="20"/>
        </w:rPr>
        <w:t>Yeslin</w:t>
      </w:r>
      <w:proofErr w:type="spellEnd"/>
      <w:r w:rsidRPr="00CC04EC">
        <w:rPr>
          <w:i w:val="0"/>
          <w:szCs w:val="20"/>
        </w:rPr>
        <w:t xml:space="preserve"> Janeth</w:t>
      </w:r>
      <w:r>
        <w:rPr>
          <w:i w:val="0"/>
          <w:szCs w:val="20"/>
        </w:rPr>
        <w:t>, ambas de apellidos Juárez Ordo</w:t>
      </w:r>
      <w:r w:rsidRPr="00CC04EC">
        <w:rPr>
          <w:i w:val="0"/>
          <w:szCs w:val="20"/>
        </w:rPr>
        <w:t>ñez</w:t>
      </w:r>
      <w:r w:rsidRPr="00CC04EC">
        <w:rPr>
          <w:rStyle w:val="Refdenotaalpie"/>
          <w:i w:val="0"/>
        </w:rPr>
        <w:footnoteReference w:id="300"/>
      </w:r>
      <w:r>
        <w:rPr>
          <w:i w:val="0"/>
          <w:szCs w:val="20"/>
        </w:rPr>
        <w:t>.</w:t>
      </w:r>
    </w:p>
    <w:p w14:paraId="34BBB774" w14:textId="77777777" w:rsidR="003C2AC6" w:rsidRDefault="003C2AC6" w:rsidP="003C2AC6">
      <w:pPr>
        <w:pStyle w:val="PrrafodeSentencia"/>
      </w:pPr>
    </w:p>
    <w:p w14:paraId="20799E1B" w14:textId="77777777" w:rsidR="003C2AC6" w:rsidRDefault="003C2AC6" w:rsidP="003C2AC6">
      <w:pPr>
        <w:pStyle w:val="PrrafodeSentencia"/>
      </w:pPr>
      <w:r>
        <w:tab/>
        <w:t>B.5 Luis Rubén Isabel A</w:t>
      </w:r>
      <w:r w:rsidRPr="00CC04EC">
        <w:t>lvarez Flores</w:t>
      </w:r>
    </w:p>
    <w:p w14:paraId="74B337CA" w14:textId="77777777" w:rsidR="003C2AC6" w:rsidRPr="00CC04EC" w:rsidRDefault="003C2AC6" w:rsidP="003C2AC6">
      <w:pPr>
        <w:pStyle w:val="PrrafodeSentencia"/>
      </w:pPr>
    </w:p>
    <w:p w14:paraId="1A703340"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El señor A</w:t>
      </w:r>
      <w:r w:rsidRPr="00CC04EC">
        <w:rPr>
          <w:i w:val="0"/>
          <w:szCs w:val="20"/>
        </w:rPr>
        <w:t>lvarez Flores</w:t>
      </w:r>
      <w:r>
        <w:rPr>
          <w:i w:val="0"/>
          <w:szCs w:val="20"/>
        </w:rPr>
        <w:t xml:space="preserve"> nació el 19 de noviembre de 1962</w:t>
      </w:r>
      <w:r w:rsidRPr="00CC04EC">
        <w:rPr>
          <w:i w:val="0"/>
          <w:szCs w:val="20"/>
        </w:rPr>
        <w:t xml:space="preserve"> </w:t>
      </w:r>
      <w:r>
        <w:rPr>
          <w:i w:val="0"/>
          <w:szCs w:val="20"/>
        </w:rPr>
        <w:t>en el</w:t>
      </w:r>
      <w:r w:rsidRPr="00CC04EC">
        <w:rPr>
          <w:i w:val="0"/>
          <w:szCs w:val="20"/>
        </w:rPr>
        <w:t xml:space="preserve"> Municipio de Mixco, Departamento de Guatemala, Guatemala. Reside en Mixco, Guatemala. Es perito en mercadotecnia y publicidad y maestro en enseñanza media, especializado en pedagogía.</w:t>
      </w:r>
      <w:r>
        <w:rPr>
          <w:i w:val="0"/>
          <w:szCs w:val="20"/>
        </w:rPr>
        <w:t xml:space="preserve"> Estudió</w:t>
      </w:r>
      <w:r w:rsidRPr="00CC04EC">
        <w:rPr>
          <w:i w:val="0"/>
          <w:szCs w:val="20"/>
        </w:rPr>
        <w:t xml:space="preserve"> magisterio y trabajaba en un colegio en</w:t>
      </w:r>
      <w:r>
        <w:rPr>
          <w:i w:val="0"/>
          <w:szCs w:val="20"/>
        </w:rPr>
        <w:t xml:space="preserve"> el año</w:t>
      </w:r>
      <w:r w:rsidRPr="00CC04EC">
        <w:rPr>
          <w:i w:val="0"/>
          <w:szCs w:val="20"/>
        </w:rPr>
        <w:t xml:space="preserve"> 2001. Fue diagnosticado con VIH el 18 de octubre de 2002, en el Hospital </w:t>
      </w:r>
      <w:r>
        <w:rPr>
          <w:i w:val="0"/>
          <w:szCs w:val="20"/>
        </w:rPr>
        <w:t xml:space="preserve">Nacional </w:t>
      </w:r>
      <w:r w:rsidRPr="00CC04EC">
        <w:rPr>
          <w:i w:val="0"/>
          <w:szCs w:val="20"/>
        </w:rPr>
        <w:t>Pedro de Bet</w:t>
      </w:r>
      <w:r>
        <w:rPr>
          <w:i w:val="0"/>
          <w:szCs w:val="20"/>
        </w:rPr>
        <w:t>h</w:t>
      </w:r>
      <w:r w:rsidRPr="00CC04EC">
        <w:rPr>
          <w:i w:val="0"/>
          <w:szCs w:val="20"/>
        </w:rPr>
        <w:t>ancourt</w:t>
      </w:r>
      <w:r>
        <w:rPr>
          <w:i w:val="0"/>
          <w:szCs w:val="20"/>
        </w:rPr>
        <w:t>,</w:t>
      </w:r>
      <w:r w:rsidRPr="00CC04EC">
        <w:rPr>
          <w:i w:val="0"/>
          <w:szCs w:val="20"/>
        </w:rPr>
        <w:t xml:space="preserve"> como resultado de una enfermedad oportunista llamada neumonía por hongo. Después lo tr</w:t>
      </w:r>
      <w:r>
        <w:rPr>
          <w:i w:val="0"/>
          <w:szCs w:val="20"/>
        </w:rPr>
        <w:t>ansfirieron al Hospicio San José. Posteriormente, lo transfirieron</w:t>
      </w:r>
      <w:r w:rsidRPr="00CC04EC">
        <w:rPr>
          <w:i w:val="0"/>
          <w:szCs w:val="20"/>
        </w:rPr>
        <w:t xml:space="preserve"> </w:t>
      </w:r>
      <w:r>
        <w:rPr>
          <w:i w:val="0"/>
          <w:szCs w:val="20"/>
        </w:rPr>
        <w:t>a MSF</w:t>
      </w:r>
      <w:r w:rsidRPr="00CC04EC">
        <w:rPr>
          <w:i w:val="0"/>
          <w:szCs w:val="20"/>
        </w:rPr>
        <w:t xml:space="preserve"> donde comenzó</w:t>
      </w:r>
      <w:r>
        <w:rPr>
          <w:i w:val="0"/>
          <w:szCs w:val="20"/>
        </w:rPr>
        <w:t xml:space="preserve"> su tratamiento antirretroviral en febrero</w:t>
      </w:r>
      <w:r w:rsidRPr="00CC04EC">
        <w:rPr>
          <w:i w:val="0"/>
          <w:szCs w:val="20"/>
        </w:rPr>
        <w:t xml:space="preserve"> de 2003. </w:t>
      </w:r>
      <w:r>
        <w:rPr>
          <w:i w:val="0"/>
          <w:szCs w:val="20"/>
        </w:rPr>
        <w:t>Luego</w:t>
      </w:r>
      <w:r w:rsidRPr="00CC04EC">
        <w:rPr>
          <w:i w:val="0"/>
          <w:szCs w:val="20"/>
        </w:rPr>
        <w:t xml:space="preserve"> lo atendió la fundación Marco Antonio, donde recibió atención psicológica y nutricional</w:t>
      </w:r>
      <w:r>
        <w:rPr>
          <w:i w:val="0"/>
          <w:szCs w:val="20"/>
        </w:rPr>
        <w:t>,</w:t>
      </w:r>
      <w:r w:rsidRPr="00CC04EC">
        <w:rPr>
          <w:i w:val="0"/>
          <w:szCs w:val="20"/>
        </w:rPr>
        <w:t xml:space="preserve"> y fue asistido por una trabajadora social. Desde el año 2008 recibió atención médica en un hospital público de la Ciudad de Antigua. Dicha atención médica fue interrumpida de 2011 a 2013 debido a que estuvo en Honduras, incorporándose al tratamiento con posterioridad.</w:t>
      </w:r>
      <w:r w:rsidRPr="00593AF4">
        <w:rPr>
          <w:i w:val="0"/>
          <w:szCs w:val="20"/>
        </w:rPr>
        <w:t xml:space="preserve"> </w:t>
      </w:r>
      <w:r w:rsidRPr="00CC04EC">
        <w:rPr>
          <w:i w:val="0"/>
          <w:szCs w:val="20"/>
        </w:rPr>
        <w:t>Actualmente recibe tratamiento en el Hospital de Antigua, donde recibe antirretrovirales y le han realizado exámenes de CD4, carga viral y genotipo, aunque hay estudios que</w:t>
      </w:r>
      <w:r>
        <w:rPr>
          <w:i w:val="0"/>
          <w:szCs w:val="20"/>
        </w:rPr>
        <w:t xml:space="preserve"> ha pagado por su propia cuenta. N</w:t>
      </w:r>
      <w:r w:rsidRPr="00CC04EC">
        <w:rPr>
          <w:i w:val="0"/>
          <w:szCs w:val="20"/>
        </w:rPr>
        <w:t xml:space="preserve">o se le ha cambiado el esquema de tratamiento y no ha recibido atención nutricional, ni </w:t>
      </w:r>
      <w:r>
        <w:rPr>
          <w:i w:val="0"/>
          <w:szCs w:val="20"/>
        </w:rPr>
        <w:t>familiar, ni comunitaria, pero sí recibió</w:t>
      </w:r>
      <w:r w:rsidRPr="00CC04EC">
        <w:rPr>
          <w:i w:val="0"/>
          <w:szCs w:val="20"/>
        </w:rPr>
        <w:t xml:space="preserve"> atenc</w:t>
      </w:r>
      <w:r>
        <w:rPr>
          <w:i w:val="0"/>
          <w:szCs w:val="20"/>
        </w:rPr>
        <w:t>ión psicológica cada tres meses</w:t>
      </w:r>
      <w:r w:rsidRPr="00CC04EC">
        <w:rPr>
          <w:rStyle w:val="Refdenotaalpie"/>
          <w:i w:val="0"/>
        </w:rPr>
        <w:footnoteReference w:id="301"/>
      </w:r>
      <w:r>
        <w:rPr>
          <w:i w:val="0"/>
          <w:szCs w:val="20"/>
        </w:rPr>
        <w:t>.</w:t>
      </w:r>
    </w:p>
    <w:p w14:paraId="5D6AE342" w14:textId="77777777" w:rsidR="003C2AC6" w:rsidRPr="00CC04EC" w:rsidRDefault="003C2AC6" w:rsidP="003C2AC6">
      <w:pPr>
        <w:pStyle w:val="Estilo1"/>
        <w:tabs>
          <w:tab w:val="left" w:pos="709"/>
          <w:tab w:val="left" w:pos="1134"/>
        </w:tabs>
        <w:spacing w:after="0"/>
        <w:ind w:left="0" w:right="-4" w:firstLine="0"/>
        <w:rPr>
          <w:i w:val="0"/>
          <w:szCs w:val="20"/>
        </w:rPr>
      </w:pPr>
    </w:p>
    <w:p w14:paraId="689D3FFA"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El señor A</w:t>
      </w:r>
      <w:r w:rsidRPr="00CC04EC">
        <w:rPr>
          <w:i w:val="0"/>
          <w:szCs w:val="20"/>
        </w:rPr>
        <w:t>lvarez Flores manifestó haber tenido que renunciar a su trabajo cuando fue diagnosticado y luego enfrentó obstáculos para insertarse en el mercado laboral por su</w:t>
      </w:r>
      <w:r>
        <w:rPr>
          <w:i w:val="0"/>
          <w:szCs w:val="20"/>
        </w:rPr>
        <w:t xml:space="preserve"> condición como persona con VIH</w:t>
      </w:r>
      <w:r w:rsidRPr="00CC04EC">
        <w:rPr>
          <w:i w:val="0"/>
          <w:szCs w:val="20"/>
        </w:rPr>
        <w:t xml:space="preserve">; asimismo, afirmó haber tenido que realizar gastos de alrededor de 2000 quetzales al </w:t>
      </w:r>
      <w:r>
        <w:rPr>
          <w:i w:val="0"/>
          <w:szCs w:val="20"/>
        </w:rPr>
        <w:t>año para</w:t>
      </w:r>
      <w:r w:rsidRPr="00CC04EC">
        <w:rPr>
          <w:i w:val="0"/>
          <w:szCs w:val="20"/>
        </w:rPr>
        <w:t xml:space="preserve"> trasladarse a la clínica. No se encuentra laborando pero cuenta con el apoyo de sus hermanos, aunque sus padres no saben de su padecimiento.</w:t>
      </w:r>
      <w:r w:rsidRPr="00CC04EC">
        <w:rPr>
          <w:rStyle w:val="Refdenotaalpie"/>
          <w:i w:val="0"/>
        </w:rPr>
        <w:footnoteReference w:id="302"/>
      </w:r>
    </w:p>
    <w:p w14:paraId="73AC5453" w14:textId="77777777" w:rsidR="003C2AC6" w:rsidRPr="00CC04EC" w:rsidRDefault="003C2AC6" w:rsidP="003C2AC6">
      <w:pPr>
        <w:pStyle w:val="Estilo1"/>
        <w:tabs>
          <w:tab w:val="left" w:pos="709"/>
          <w:tab w:val="left" w:pos="1134"/>
        </w:tabs>
        <w:spacing w:after="0"/>
        <w:ind w:left="0" w:right="-4" w:firstLine="0"/>
        <w:rPr>
          <w:i w:val="0"/>
          <w:szCs w:val="20"/>
        </w:rPr>
      </w:pPr>
    </w:p>
    <w:p w14:paraId="352BF3AE"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w:t>
      </w:r>
      <w:r>
        <w:rPr>
          <w:i w:val="0"/>
          <w:szCs w:val="20"/>
        </w:rPr>
        <w:t xml:space="preserve">ar está conformado por su padre Julio </w:t>
      </w:r>
      <w:proofErr w:type="spellStart"/>
      <w:r>
        <w:rPr>
          <w:i w:val="0"/>
          <w:szCs w:val="20"/>
        </w:rPr>
        <w:t>Ruben</w:t>
      </w:r>
      <w:proofErr w:type="spellEnd"/>
      <w:r>
        <w:rPr>
          <w:i w:val="0"/>
          <w:szCs w:val="20"/>
        </w:rPr>
        <w:t xml:space="preserve"> </w:t>
      </w:r>
      <w:proofErr w:type="spellStart"/>
      <w:r>
        <w:rPr>
          <w:i w:val="0"/>
          <w:szCs w:val="20"/>
        </w:rPr>
        <w:t>A</w:t>
      </w:r>
      <w:r w:rsidRPr="00CC04EC">
        <w:rPr>
          <w:i w:val="0"/>
          <w:szCs w:val="20"/>
        </w:rPr>
        <w:t>lvarez</w:t>
      </w:r>
      <w:proofErr w:type="spellEnd"/>
      <w:r>
        <w:rPr>
          <w:i w:val="0"/>
          <w:szCs w:val="20"/>
        </w:rPr>
        <w:t xml:space="preserve"> </w:t>
      </w:r>
      <w:proofErr w:type="spellStart"/>
      <w:r>
        <w:rPr>
          <w:i w:val="0"/>
          <w:szCs w:val="20"/>
        </w:rPr>
        <w:t>Chinchila</w:t>
      </w:r>
      <w:proofErr w:type="spellEnd"/>
      <w:r>
        <w:rPr>
          <w:i w:val="0"/>
          <w:szCs w:val="20"/>
        </w:rPr>
        <w:t xml:space="preserve">, su madre Margarita </w:t>
      </w:r>
      <w:r w:rsidRPr="00CC04EC">
        <w:rPr>
          <w:i w:val="0"/>
          <w:szCs w:val="20"/>
        </w:rPr>
        <w:t>F</w:t>
      </w:r>
      <w:r>
        <w:rPr>
          <w:i w:val="0"/>
          <w:szCs w:val="20"/>
        </w:rPr>
        <w:t xml:space="preserve">lores </w:t>
      </w:r>
      <w:proofErr w:type="spellStart"/>
      <w:r>
        <w:rPr>
          <w:i w:val="0"/>
          <w:szCs w:val="20"/>
        </w:rPr>
        <w:t>Cuiza</w:t>
      </w:r>
      <w:proofErr w:type="spellEnd"/>
      <w:r>
        <w:rPr>
          <w:i w:val="0"/>
          <w:szCs w:val="20"/>
        </w:rPr>
        <w:t xml:space="preserve"> (Fallecida), </w:t>
      </w:r>
      <w:r w:rsidRPr="00CC04EC">
        <w:rPr>
          <w:i w:val="0"/>
          <w:szCs w:val="20"/>
        </w:rPr>
        <w:t xml:space="preserve">su hermana </w:t>
      </w:r>
      <w:proofErr w:type="spellStart"/>
      <w:r w:rsidRPr="00CC04EC">
        <w:rPr>
          <w:i w:val="0"/>
          <w:szCs w:val="20"/>
        </w:rPr>
        <w:t>Lileana</w:t>
      </w:r>
      <w:proofErr w:type="spellEnd"/>
      <w:r>
        <w:rPr>
          <w:i w:val="0"/>
          <w:szCs w:val="20"/>
        </w:rPr>
        <w:t>,</w:t>
      </w:r>
      <w:r w:rsidRPr="00CC04EC">
        <w:rPr>
          <w:i w:val="0"/>
          <w:szCs w:val="20"/>
        </w:rPr>
        <w:t xml:space="preserve"> y sus hermanos Atilio Sabas, Victoriano Estanislao, Julio Antonio y Samu</w:t>
      </w:r>
      <w:r>
        <w:rPr>
          <w:i w:val="0"/>
          <w:szCs w:val="20"/>
        </w:rPr>
        <w:t>el Gonzalo, todos de apellidos A</w:t>
      </w:r>
      <w:r w:rsidRPr="00CC04EC">
        <w:rPr>
          <w:i w:val="0"/>
          <w:szCs w:val="20"/>
        </w:rPr>
        <w:t>lvarez Flores</w:t>
      </w:r>
      <w:r w:rsidRPr="00CC04EC">
        <w:rPr>
          <w:rStyle w:val="Refdenotaalpie"/>
          <w:i w:val="0"/>
        </w:rPr>
        <w:footnoteReference w:id="303"/>
      </w:r>
      <w:r w:rsidRPr="00CC04EC">
        <w:rPr>
          <w:i w:val="0"/>
          <w:szCs w:val="20"/>
        </w:rPr>
        <w:t>.</w:t>
      </w:r>
    </w:p>
    <w:p w14:paraId="723039E4" w14:textId="77777777" w:rsidR="003C2AC6" w:rsidRDefault="003C2AC6" w:rsidP="003C2AC6">
      <w:pPr>
        <w:pStyle w:val="PrrafodeSentencia"/>
      </w:pPr>
    </w:p>
    <w:p w14:paraId="3F29DE4F" w14:textId="77777777" w:rsidR="003C2AC6" w:rsidRDefault="003C2AC6" w:rsidP="003C2AC6">
      <w:pPr>
        <w:pStyle w:val="PrrafodeSentencia"/>
      </w:pPr>
      <w:r>
        <w:tab/>
        <w:t>B.6.</w:t>
      </w:r>
      <w:r w:rsidRPr="00CC04EC">
        <w:t xml:space="preserve"> Ingrid Janeth Barillas Martínez</w:t>
      </w:r>
    </w:p>
    <w:p w14:paraId="4442478D" w14:textId="77777777" w:rsidR="003C2AC6" w:rsidRPr="00CC04EC" w:rsidRDefault="003C2AC6" w:rsidP="003C2AC6">
      <w:pPr>
        <w:pStyle w:val="PrrafodeSentencia"/>
      </w:pPr>
    </w:p>
    <w:p w14:paraId="3DBFD7AC"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Barillas Martínez</w:t>
      </w:r>
      <w:r>
        <w:rPr>
          <w:i w:val="0"/>
          <w:szCs w:val="20"/>
        </w:rPr>
        <w:t xml:space="preserve"> nació el 18 de marzo de 1973</w:t>
      </w:r>
      <w:r w:rsidRPr="00CC04EC">
        <w:rPr>
          <w:i w:val="0"/>
          <w:szCs w:val="20"/>
        </w:rPr>
        <w:t xml:space="preserve"> </w:t>
      </w:r>
      <w:r>
        <w:rPr>
          <w:i w:val="0"/>
          <w:szCs w:val="20"/>
        </w:rPr>
        <w:t xml:space="preserve">en </w:t>
      </w:r>
      <w:r w:rsidRPr="00CC04EC">
        <w:rPr>
          <w:i w:val="0"/>
          <w:szCs w:val="20"/>
        </w:rPr>
        <w:t>el Municipio de Tiquisate, Departamento de Escuintla, Guatemala</w:t>
      </w:r>
      <w:r>
        <w:rPr>
          <w:i w:val="0"/>
          <w:szCs w:val="20"/>
        </w:rPr>
        <w:t>.</w:t>
      </w:r>
      <w:r w:rsidRPr="00CC04EC">
        <w:rPr>
          <w:i w:val="0"/>
          <w:szCs w:val="20"/>
        </w:rPr>
        <w:t xml:space="preserve"> </w:t>
      </w:r>
      <w:r>
        <w:rPr>
          <w:i w:val="0"/>
          <w:szCs w:val="20"/>
        </w:rPr>
        <w:t>Su e</w:t>
      </w:r>
      <w:r w:rsidRPr="00CC04EC">
        <w:rPr>
          <w:i w:val="0"/>
          <w:szCs w:val="20"/>
        </w:rPr>
        <w:t>stado civil</w:t>
      </w:r>
      <w:r>
        <w:rPr>
          <w:i w:val="0"/>
          <w:szCs w:val="20"/>
        </w:rPr>
        <w:t xml:space="preserve"> es soltera y su o</w:t>
      </w:r>
      <w:r w:rsidRPr="00CC04EC">
        <w:rPr>
          <w:i w:val="0"/>
          <w:szCs w:val="20"/>
        </w:rPr>
        <w:t xml:space="preserve">cupación </w:t>
      </w:r>
      <w:r>
        <w:rPr>
          <w:i w:val="0"/>
          <w:szCs w:val="20"/>
        </w:rPr>
        <w:t xml:space="preserve">es realizar </w:t>
      </w:r>
      <w:r w:rsidRPr="00CC04EC">
        <w:rPr>
          <w:i w:val="0"/>
          <w:szCs w:val="20"/>
        </w:rPr>
        <w:t xml:space="preserve">oficios domésticos. </w:t>
      </w:r>
      <w:r>
        <w:rPr>
          <w:i w:val="0"/>
          <w:szCs w:val="20"/>
        </w:rPr>
        <w:t>Reside en el Municipio de Tecún Umá</w:t>
      </w:r>
      <w:r w:rsidRPr="00CC04EC">
        <w:rPr>
          <w:i w:val="0"/>
          <w:szCs w:val="20"/>
        </w:rPr>
        <w:t xml:space="preserve">n, Departamento </w:t>
      </w:r>
      <w:r>
        <w:rPr>
          <w:i w:val="0"/>
          <w:szCs w:val="20"/>
        </w:rPr>
        <w:t>de San Marcos, Guatemala, y s</w:t>
      </w:r>
      <w:r w:rsidRPr="00CC04EC">
        <w:rPr>
          <w:i w:val="0"/>
          <w:szCs w:val="20"/>
        </w:rPr>
        <w:t xml:space="preserve">e encuentra adscrita al </w:t>
      </w:r>
      <w:r>
        <w:rPr>
          <w:i w:val="0"/>
          <w:szCs w:val="20"/>
        </w:rPr>
        <w:t>Hospital Nacional de Coatepeque</w:t>
      </w:r>
      <w:r w:rsidRPr="00CC04EC">
        <w:rPr>
          <w:rStyle w:val="Refdenotaalpie"/>
          <w:i w:val="0"/>
        </w:rPr>
        <w:footnoteReference w:id="304"/>
      </w:r>
      <w:r>
        <w:rPr>
          <w:i w:val="0"/>
          <w:szCs w:val="20"/>
        </w:rPr>
        <w:t>.</w:t>
      </w:r>
    </w:p>
    <w:p w14:paraId="03C1A719" w14:textId="77777777" w:rsidR="003C2AC6" w:rsidRDefault="003C2AC6" w:rsidP="003C2AC6">
      <w:pPr>
        <w:pStyle w:val="PrrafodeSentencia"/>
      </w:pPr>
    </w:p>
    <w:p w14:paraId="373413BE" w14:textId="77777777" w:rsidR="003C2AC6" w:rsidRDefault="003C2AC6" w:rsidP="003C2AC6">
      <w:pPr>
        <w:pStyle w:val="PrrafodeSentencia"/>
      </w:pPr>
      <w:r>
        <w:tab/>
        <w:t>B.7.</w:t>
      </w:r>
      <w:r w:rsidRPr="00CC04EC">
        <w:t xml:space="preserve"> Saira Elisa Barrios</w:t>
      </w:r>
    </w:p>
    <w:p w14:paraId="63E63990" w14:textId="77777777" w:rsidR="003C2AC6" w:rsidRPr="00CC04EC" w:rsidRDefault="003C2AC6" w:rsidP="003C2AC6">
      <w:pPr>
        <w:pStyle w:val="PrrafodeSentencia"/>
      </w:pPr>
    </w:p>
    <w:p w14:paraId="123B257A" w14:textId="50A60155"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Barrios</w:t>
      </w:r>
      <w:r>
        <w:rPr>
          <w:i w:val="0"/>
          <w:szCs w:val="20"/>
        </w:rPr>
        <w:t xml:space="preserve"> nació el 30 de agosto de 1972</w:t>
      </w:r>
      <w:r w:rsidRPr="00CC04EC">
        <w:rPr>
          <w:i w:val="0"/>
          <w:szCs w:val="20"/>
        </w:rPr>
        <w:t xml:space="preserve"> </w:t>
      </w:r>
      <w:r>
        <w:rPr>
          <w:i w:val="0"/>
          <w:szCs w:val="20"/>
        </w:rPr>
        <w:t xml:space="preserve">en </w:t>
      </w:r>
      <w:r w:rsidRPr="00CC04EC">
        <w:rPr>
          <w:i w:val="0"/>
          <w:szCs w:val="20"/>
        </w:rPr>
        <w:t>el Municipio de Nuevo San Carlos, Departamento de Retalhuleu, Guatemala, donde reside actualmente. Estudió hasta quinto de primaria. Fue diagnosticada con VIH en el año 2002, cuando tenía siete meses de embarazo. Comenzó su tratamiento antirretroviral en ese mismo año, en el Proyecto Vida de MSF. Con posterioridad fue transferida al Hospital Nacional de Coatepeque y, a petición suya, fue transferida al Hospital Retalhuleu</w:t>
      </w:r>
      <w:r>
        <w:rPr>
          <w:i w:val="0"/>
          <w:szCs w:val="20"/>
        </w:rPr>
        <w:t>,</w:t>
      </w:r>
      <w:r w:rsidRPr="00CC04EC">
        <w:rPr>
          <w:i w:val="0"/>
          <w:szCs w:val="20"/>
        </w:rPr>
        <w:t xml:space="preserve"> en donde recibió un tratamiento irregular por lo que respecta a los exámenes de CD4 y carga viral.</w:t>
      </w:r>
      <w:r w:rsidRPr="0067454C">
        <w:rPr>
          <w:i w:val="0"/>
          <w:szCs w:val="20"/>
        </w:rPr>
        <w:t xml:space="preserve"> </w:t>
      </w:r>
      <w:r w:rsidRPr="00CC04EC">
        <w:rPr>
          <w:i w:val="0"/>
          <w:szCs w:val="20"/>
        </w:rPr>
        <w:t xml:space="preserve">Ha padecido de diversas enfermedades oportunistas, tales como parásitos intestinales, manifestaciones </w:t>
      </w:r>
      <w:proofErr w:type="spellStart"/>
      <w:r w:rsidRPr="00CC04EC">
        <w:rPr>
          <w:i w:val="0"/>
          <w:szCs w:val="20"/>
        </w:rPr>
        <w:t>muco</w:t>
      </w:r>
      <w:proofErr w:type="spellEnd"/>
      <w:r w:rsidRPr="00CC04EC">
        <w:rPr>
          <w:i w:val="0"/>
          <w:szCs w:val="20"/>
        </w:rPr>
        <w:t xml:space="preserve"> cutáneas, infecciones respiratorias e infección bacteriana severa. No ha recibido apoyo nutricional, social, ni atención fami</w:t>
      </w:r>
      <w:r>
        <w:rPr>
          <w:i w:val="0"/>
          <w:szCs w:val="20"/>
        </w:rPr>
        <w:t>liar</w:t>
      </w:r>
      <w:r w:rsidR="00F87540">
        <w:rPr>
          <w:i w:val="0"/>
          <w:szCs w:val="20"/>
        </w:rPr>
        <w:t>,</w:t>
      </w:r>
      <w:r>
        <w:rPr>
          <w:i w:val="0"/>
          <w:szCs w:val="20"/>
        </w:rPr>
        <w:t xml:space="preserve"> comunitaria y domiciliaria. S</w:t>
      </w:r>
      <w:r w:rsidRPr="00CC04EC">
        <w:rPr>
          <w:i w:val="0"/>
          <w:szCs w:val="20"/>
        </w:rPr>
        <w:t>in embargo, cada tres meses recibe apoyo psicológico y l</w:t>
      </w:r>
      <w:r>
        <w:rPr>
          <w:i w:val="0"/>
          <w:szCs w:val="20"/>
        </w:rPr>
        <w:t>e proporcionan preservativos. Só</w:t>
      </w:r>
      <w:r w:rsidRPr="00CC04EC">
        <w:rPr>
          <w:i w:val="0"/>
          <w:szCs w:val="20"/>
        </w:rPr>
        <w:t>lo recibe medicamentos para el VIH, pero no para las enfermedades conexas u oportunistas. La señora Barrios manifestó que antes de ser diagnosticada con VIH se desempeñaba trabajando en limpieza de casas,</w:t>
      </w:r>
      <w:r>
        <w:rPr>
          <w:i w:val="0"/>
          <w:szCs w:val="20"/>
        </w:rPr>
        <w:t xml:space="preserve"> cocinando</w:t>
      </w:r>
      <w:r w:rsidR="00F87540">
        <w:rPr>
          <w:i w:val="0"/>
          <w:szCs w:val="20"/>
        </w:rPr>
        <w:t>,</w:t>
      </w:r>
      <w:r w:rsidRPr="00CC04EC">
        <w:rPr>
          <w:i w:val="0"/>
          <w:szCs w:val="20"/>
        </w:rPr>
        <w:t xml:space="preserve"> lavando y planchando, actividades que tuvo que suspender por los padecimientos físicos que sufrió con motivo del deterioro de salud. Asimismo</w:t>
      </w:r>
      <w:r>
        <w:rPr>
          <w:i w:val="0"/>
          <w:szCs w:val="20"/>
        </w:rPr>
        <w:t>,</w:t>
      </w:r>
      <w:r w:rsidRPr="00CC04EC">
        <w:rPr>
          <w:i w:val="0"/>
          <w:szCs w:val="20"/>
        </w:rPr>
        <w:t xml:space="preserve"> </w:t>
      </w:r>
      <w:r>
        <w:rPr>
          <w:i w:val="0"/>
          <w:szCs w:val="20"/>
        </w:rPr>
        <w:t>afirmó</w:t>
      </w:r>
      <w:r w:rsidRPr="00CC04EC">
        <w:rPr>
          <w:i w:val="0"/>
          <w:szCs w:val="20"/>
        </w:rPr>
        <w:t xml:space="preserve"> que demora una hora y </w:t>
      </w:r>
      <w:r>
        <w:rPr>
          <w:i w:val="0"/>
          <w:szCs w:val="20"/>
        </w:rPr>
        <w:t>treinta</w:t>
      </w:r>
      <w:r w:rsidRPr="00CC04EC">
        <w:rPr>
          <w:i w:val="0"/>
          <w:szCs w:val="20"/>
        </w:rPr>
        <w:t xml:space="preserve"> minutos en arribar de su domicilio al Hospital </w:t>
      </w:r>
      <w:r w:rsidR="00F87540" w:rsidRPr="00CC04EC">
        <w:rPr>
          <w:i w:val="0"/>
          <w:szCs w:val="20"/>
        </w:rPr>
        <w:t>Retal</w:t>
      </w:r>
      <w:r w:rsidR="00F87540">
        <w:rPr>
          <w:i w:val="0"/>
          <w:szCs w:val="20"/>
        </w:rPr>
        <w:t>hu</w:t>
      </w:r>
      <w:r w:rsidR="00F87540" w:rsidRPr="00CC04EC">
        <w:rPr>
          <w:i w:val="0"/>
          <w:szCs w:val="20"/>
        </w:rPr>
        <w:t>l</w:t>
      </w:r>
      <w:r w:rsidR="00F87540">
        <w:rPr>
          <w:i w:val="0"/>
          <w:szCs w:val="20"/>
        </w:rPr>
        <w:t>e</w:t>
      </w:r>
      <w:r w:rsidR="00F87540" w:rsidRPr="00CC04EC">
        <w:rPr>
          <w:i w:val="0"/>
          <w:szCs w:val="20"/>
        </w:rPr>
        <w:t>u</w:t>
      </w:r>
      <w:r w:rsidR="00F87540" w:rsidRPr="00CC04EC">
        <w:rPr>
          <w:rStyle w:val="Refdenotaalpie"/>
          <w:i w:val="0"/>
        </w:rPr>
        <w:t xml:space="preserve"> </w:t>
      </w:r>
      <w:r w:rsidRPr="00CC04EC">
        <w:rPr>
          <w:rStyle w:val="Refdenotaalpie"/>
          <w:i w:val="0"/>
        </w:rPr>
        <w:footnoteReference w:id="305"/>
      </w:r>
      <w:r>
        <w:rPr>
          <w:i w:val="0"/>
          <w:szCs w:val="20"/>
        </w:rPr>
        <w:t>.</w:t>
      </w:r>
    </w:p>
    <w:p w14:paraId="02197CD6" w14:textId="77777777" w:rsidR="003C2AC6" w:rsidRPr="009952CE" w:rsidRDefault="003C2AC6" w:rsidP="003C2AC6">
      <w:pPr>
        <w:pStyle w:val="Estilo1"/>
        <w:tabs>
          <w:tab w:val="left" w:pos="709"/>
          <w:tab w:val="left" w:pos="1134"/>
        </w:tabs>
        <w:spacing w:after="0"/>
        <w:ind w:left="0" w:right="-4" w:firstLine="0"/>
        <w:rPr>
          <w:i w:val="0"/>
          <w:szCs w:val="20"/>
        </w:rPr>
      </w:pPr>
    </w:p>
    <w:p w14:paraId="26D6C41B"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integraba por el padre de sus hijas </w:t>
      </w:r>
      <w:r>
        <w:rPr>
          <w:i w:val="0"/>
          <w:szCs w:val="20"/>
        </w:rPr>
        <w:t>Erick Jonás Sánchez (fallecido), su actual esposo Guillermo Donis,</w:t>
      </w:r>
      <w:r w:rsidRPr="00CC04EC">
        <w:rPr>
          <w:i w:val="0"/>
          <w:szCs w:val="20"/>
        </w:rPr>
        <w:t xml:space="preserve"> sus hijas Edilma Evelina, </w:t>
      </w:r>
      <w:proofErr w:type="spellStart"/>
      <w:r w:rsidRPr="00CC04EC">
        <w:rPr>
          <w:i w:val="0"/>
          <w:szCs w:val="20"/>
        </w:rPr>
        <w:t>Darlin</w:t>
      </w:r>
      <w:proofErr w:type="spellEnd"/>
      <w:r w:rsidRPr="00CC04EC">
        <w:rPr>
          <w:i w:val="0"/>
          <w:szCs w:val="20"/>
        </w:rPr>
        <w:t xml:space="preserve"> </w:t>
      </w:r>
      <w:proofErr w:type="spellStart"/>
      <w:r w:rsidRPr="00CC04EC">
        <w:rPr>
          <w:i w:val="0"/>
          <w:szCs w:val="20"/>
        </w:rPr>
        <w:t>Sureima</w:t>
      </w:r>
      <w:proofErr w:type="spellEnd"/>
      <w:r w:rsidRPr="00CC04EC">
        <w:rPr>
          <w:i w:val="0"/>
          <w:szCs w:val="20"/>
        </w:rPr>
        <w:t xml:space="preserve">, </w:t>
      </w:r>
      <w:proofErr w:type="spellStart"/>
      <w:r w:rsidRPr="00CC04EC">
        <w:rPr>
          <w:i w:val="0"/>
          <w:szCs w:val="20"/>
        </w:rPr>
        <w:t>Kendi</w:t>
      </w:r>
      <w:proofErr w:type="spellEnd"/>
      <w:r w:rsidRPr="00CC04EC">
        <w:rPr>
          <w:i w:val="0"/>
          <w:szCs w:val="20"/>
        </w:rPr>
        <w:t xml:space="preserve"> </w:t>
      </w:r>
      <w:proofErr w:type="spellStart"/>
      <w:r w:rsidRPr="00CC04EC">
        <w:rPr>
          <w:i w:val="0"/>
          <w:szCs w:val="20"/>
        </w:rPr>
        <w:t>Liserli</w:t>
      </w:r>
      <w:proofErr w:type="spellEnd"/>
      <w:r w:rsidRPr="00CC04EC">
        <w:rPr>
          <w:i w:val="0"/>
          <w:szCs w:val="20"/>
        </w:rPr>
        <w:t xml:space="preserve"> y </w:t>
      </w:r>
      <w:proofErr w:type="spellStart"/>
      <w:r w:rsidRPr="00CC04EC">
        <w:rPr>
          <w:i w:val="0"/>
          <w:szCs w:val="20"/>
        </w:rPr>
        <w:t>Noret</w:t>
      </w:r>
      <w:proofErr w:type="spellEnd"/>
      <w:r w:rsidRPr="00CC04EC">
        <w:rPr>
          <w:i w:val="0"/>
          <w:szCs w:val="20"/>
        </w:rPr>
        <w:t xml:space="preserve"> </w:t>
      </w:r>
      <w:proofErr w:type="spellStart"/>
      <w:r w:rsidRPr="00CC04EC">
        <w:rPr>
          <w:i w:val="0"/>
          <w:szCs w:val="20"/>
        </w:rPr>
        <w:t>A</w:t>
      </w:r>
      <w:r>
        <w:rPr>
          <w:i w:val="0"/>
          <w:szCs w:val="20"/>
        </w:rPr>
        <w:t>dali</w:t>
      </w:r>
      <w:proofErr w:type="spellEnd"/>
      <w:r>
        <w:rPr>
          <w:i w:val="0"/>
          <w:szCs w:val="20"/>
        </w:rPr>
        <w:t>, todas de apellido Barrios, su padre</w:t>
      </w:r>
      <w:r w:rsidRPr="00CC04EC">
        <w:rPr>
          <w:i w:val="0"/>
          <w:szCs w:val="20"/>
        </w:rPr>
        <w:t xml:space="preserve"> Moisés Israel Rodas López</w:t>
      </w:r>
      <w:r>
        <w:rPr>
          <w:i w:val="0"/>
          <w:szCs w:val="20"/>
        </w:rPr>
        <w:t>,</w:t>
      </w:r>
      <w:r w:rsidRPr="00CC04EC">
        <w:rPr>
          <w:i w:val="0"/>
          <w:szCs w:val="20"/>
        </w:rPr>
        <w:t xml:space="preserve"> y su madre </w:t>
      </w:r>
      <w:proofErr w:type="spellStart"/>
      <w:r w:rsidRPr="00CC04EC">
        <w:rPr>
          <w:i w:val="0"/>
          <w:szCs w:val="20"/>
        </w:rPr>
        <w:t>Eiselda</w:t>
      </w:r>
      <w:proofErr w:type="spellEnd"/>
      <w:r w:rsidRPr="00CC04EC">
        <w:rPr>
          <w:i w:val="0"/>
          <w:szCs w:val="20"/>
        </w:rPr>
        <w:t xml:space="preserve"> de Jesús Mazariegos de Rodas</w:t>
      </w:r>
      <w:r w:rsidRPr="00CC04EC">
        <w:rPr>
          <w:rStyle w:val="Refdenotaalpie"/>
          <w:i w:val="0"/>
        </w:rPr>
        <w:footnoteReference w:id="306"/>
      </w:r>
      <w:r w:rsidRPr="00CC04EC">
        <w:rPr>
          <w:i w:val="0"/>
          <w:szCs w:val="20"/>
        </w:rPr>
        <w:t>.</w:t>
      </w:r>
    </w:p>
    <w:p w14:paraId="182E19A7" w14:textId="77777777" w:rsidR="003C2AC6" w:rsidRDefault="003C2AC6" w:rsidP="003C2AC6">
      <w:pPr>
        <w:pStyle w:val="PrrafodeSentencia"/>
      </w:pPr>
    </w:p>
    <w:p w14:paraId="3B9ADDFB" w14:textId="77777777" w:rsidR="003C2AC6" w:rsidRPr="00CC04EC" w:rsidRDefault="003C2AC6" w:rsidP="003C2AC6">
      <w:pPr>
        <w:pStyle w:val="PrrafodeSentencia"/>
      </w:pPr>
      <w:r>
        <w:tab/>
        <w:t>B.8. Fe</w:t>
      </w:r>
      <w:r w:rsidRPr="00CC04EC">
        <w:t>lix de Jesús Cabrera Morales</w:t>
      </w:r>
    </w:p>
    <w:p w14:paraId="3F42B682" w14:textId="77777777" w:rsidR="003C2AC6" w:rsidRDefault="003C2AC6" w:rsidP="003C2AC6">
      <w:pPr>
        <w:pStyle w:val="Estilo1"/>
        <w:tabs>
          <w:tab w:val="left" w:pos="709"/>
          <w:tab w:val="left" w:pos="1134"/>
        </w:tabs>
        <w:spacing w:after="0"/>
        <w:ind w:left="0" w:right="-4" w:firstLine="0"/>
        <w:rPr>
          <w:i w:val="0"/>
          <w:szCs w:val="20"/>
        </w:rPr>
      </w:pPr>
    </w:p>
    <w:p w14:paraId="7D606846" w14:textId="77777777" w:rsidR="003C2AC6" w:rsidRPr="00AD13E4" w:rsidRDefault="003C2AC6" w:rsidP="003C2AC6">
      <w:pPr>
        <w:pStyle w:val="Estilo1"/>
        <w:numPr>
          <w:ilvl w:val="0"/>
          <w:numId w:val="20"/>
        </w:numPr>
        <w:tabs>
          <w:tab w:val="left" w:pos="709"/>
          <w:tab w:val="left" w:pos="1134"/>
        </w:tabs>
        <w:spacing w:after="0"/>
        <w:ind w:left="0" w:right="-4" w:firstLine="0"/>
        <w:rPr>
          <w:i w:val="0"/>
          <w:strike/>
          <w:szCs w:val="20"/>
        </w:rPr>
      </w:pPr>
      <w:r w:rsidRPr="00CC04EC">
        <w:rPr>
          <w:i w:val="0"/>
          <w:szCs w:val="20"/>
        </w:rPr>
        <w:t xml:space="preserve">El señor Cabrera Morales </w:t>
      </w:r>
      <w:r>
        <w:rPr>
          <w:i w:val="0"/>
          <w:szCs w:val="20"/>
        </w:rPr>
        <w:t xml:space="preserve">nació el 20 de noviembre de 1978 en </w:t>
      </w:r>
      <w:r w:rsidRPr="00CC04EC">
        <w:rPr>
          <w:i w:val="0"/>
          <w:szCs w:val="20"/>
        </w:rPr>
        <w:t>el Municipio de Rio Hondo, Departamento de Zacapa, Guatemala. Tiene estudios inconclusos.</w:t>
      </w:r>
      <w:r>
        <w:rPr>
          <w:i w:val="0"/>
          <w:szCs w:val="20"/>
        </w:rPr>
        <w:t xml:space="preserve"> </w:t>
      </w:r>
      <w:r w:rsidRPr="00CC04EC">
        <w:rPr>
          <w:i w:val="0"/>
          <w:szCs w:val="20"/>
        </w:rPr>
        <w:t>Fue d</w:t>
      </w:r>
      <w:r>
        <w:rPr>
          <w:i w:val="0"/>
          <w:szCs w:val="20"/>
        </w:rPr>
        <w:t>iagnosticado en octubre de 2001</w:t>
      </w:r>
      <w:r w:rsidRPr="00CC04EC">
        <w:rPr>
          <w:i w:val="0"/>
          <w:szCs w:val="20"/>
        </w:rPr>
        <w:t xml:space="preserve"> en el laboratorio Casa Central. </w:t>
      </w:r>
      <w:r w:rsidRPr="00B03DDE">
        <w:rPr>
          <w:i w:val="0"/>
          <w:szCs w:val="20"/>
        </w:rPr>
        <w:t>Comenzó su tratamiento antirretroviral en diciembre de 2001 en el IGSS, donde no había abastecimiento de medicamentos.</w:t>
      </w:r>
      <w:r w:rsidRPr="00CC04EC">
        <w:rPr>
          <w:i w:val="0"/>
          <w:szCs w:val="20"/>
        </w:rPr>
        <w:t xml:space="preserve"> Le han realizado de manera irregular exámenes de CD4 y carga viral, no le han realizado exámenes de genotipo</w:t>
      </w:r>
      <w:r>
        <w:rPr>
          <w:i w:val="0"/>
          <w:szCs w:val="20"/>
        </w:rPr>
        <w:t xml:space="preserve"> y fenotipo</w:t>
      </w:r>
      <w:r w:rsidRPr="00CC04EC">
        <w:rPr>
          <w:i w:val="0"/>
          <w:szCs w:val="20"/>
        </w:rPr>
        <w:t>, a pesar de haberle cambiado el tratamiento en varias ocasiones</w:t>
      </w:r>
      <w:r>
        <w:rPr>
          <w:i w:val="0"/>
          <w:szCs w:val="20"/>
        </w:rPr>
        <w:t>,</w:t>
      </w:r>
      <w:r w:rsidRPr="00CC04EC">
        <w:rPr>
          <w:i w:val="0"/>
          <w:szCs w:val="20"/>
        </w:rPr>
        <w:t xml:space="preserve"> y no ha tenido acceso regular a medicamentos debido al desabastecimiento de los mismos, ni atención integral. En relación con el desabastecimiento de los</w:t>
      </w:r>
      <w:r>
        <w:rPr>
          <w:i w:val="0"/>
          <w:szCs w:val="20"/>
        </w:rPr>
        <w:t xml:space="preserve"> medicamentos</w:t>
      </w:r>
      <w:r w:rsidRPr="00CC04EC">
        <w:rPr>
          <w:i w:val="0"/>
          <w:szCs w:val="20"/>
        </w:rPr>
        <w:t>, el señor Cabrera Mor</w:t>
      </w:r>
      <w:r>
        <w:rPr>
          <w:i w:val="0"/>
          <w:szCs w:val="20"/>
        </w:rPr>
        <w:t>ales ha manifestado su angustia</w:t>
      </w:r>
      <w:r w:rsidRPr="00CC04EC">
        <w:rPr>
          <w:i w:val="0"/>
          <w:szCs w:val="20"/>
        </w:rPr>
        <w:t xml:space="preserve"> provocada específicamente por el temor de contraer enfermedades oportunistas y a generar</w:t>
      </w:r>
      <w:r>
        <w:rPr>
          <w:i w:val="0"/>
          <w:szCs w:val="20"/>
        </w:rPr>
        <w:t xml:space="preserve"> resistencia a los medicamentos</w:t>
      </w:r>
      <w:r w:rsidRPr="00CC04EC">
        <w:rPr>
          <w:rStyle w:val="Refdenotaalpie"/>
          <w:i w:val="0"/>
        </w:rPr>
        <w:footnoteReference w:id="307"/>
      </w:r>
      <w:r>
        <w:rPr>
          <w:i w:val="0"/>
          <w:szCs w:val="20"/>
        </w:rPr>
        <w:t>.</w:t>
      </w:r>
    </w:p>
    <w:p w14:paraId="768D3778" w14:textId="77777777" w:rsidR="003C2AC6" w:rsidRPr="0067454C" w:rsidRDefault="003C2AC6" w:rsidP="003C2AC6">
      <w:pPr>
        <w:pStyle w:val="Estilo1"/>
        <w:tabs>
          <w:tab w:val="left" w:pos="709"/>
          <w:tab w:val="left" w:pos="1134"/>
        </w:tabs>
        <w:spacing w:after="0"/>
        <w:ind w:left="0" w:right="-4" w:firstLine="0"/>
        <w:rPr>
          <w:i w:val="0"/>
          <w:strike/>
          <w:szCs w:val="20"/>
        </w:rPr>
      </w:pPr>
    </w:p>
    <w:p w14:paraId="2295E1F8"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señor Cabrera Morales sufrió consecuencias cuando se tuvo conocimiento de su condición de persona </w:t>
      </w:r>
      <w:r>
        <w:rPr>
          <w:i w:val="0"/>
          <w:szCs w:val="20"/>
        </w:rPr>
        <w:t xml:space="preserve">que vive </w:t>
      </w:r>
      <w:r w:rsidRPr="00CC04EC">
        <w:rPr>
          <w:i w:val="0"/>
          <w:szCs w:val="20"/>
        </w:rPr>
        <w:t>con</w:t>
      </w:r>
      <w:r>
        <w:rPr>
          <w:i w:val="0"/>
          <w:szCs w:val="20"/>
        </w:rPr>
        <w:t xml:space="preserve"> el</w:t>
      </w:r>
      <w:r w:rsidRPr="00CC04EC">
        <w:rPr>
          <w:i w:val="0"/>
          <w:szCs w:val="20"/>
        </w:rPr>
        <w:t xml:space="preserve"> VIH, pues fue señalado por sus compañeros y despedido de su lugar de</w:t>
      </w:r>
      <w:r>
        <w:rPr>
          <w:i w:val="0"/>
          <w:szCs w:val="20"/>
        </w:rPr>
        <w:t xml:space="preserve"> trabajo</w:t>
      </w:r>
      <w:r w:rsidRPr="00734711">
        <w:rPr>
          <w:i w:val="0"/>
          <w:szCs w:val="20"/>
        </w:rPr>
        <w:t xml:space="preserve">. </w:t>
      </w:r>
      <w:r w:rsidRPr="00CC04EC">
        <w:rPr>
          <w:i w:val="0"/>
          <w:szCs w:val="20"/>
        </w:rPr>
        <w:t>Con motivo de su</w:t>
      </w:r>
      <w:r>
        <w:rPr>
          <w:i w:val="0"/>
          <w:szCs w:val="20"/>
        </w:rPr>
        <w:t xml:space="preserve"> despido presentó una demanda a su empleador</w:t>
      </w:r>
      <w:r w:rsidRPr="00CC04EC">
        <w:rPr>
          <w:i w:val="0"/>
          <w:szCs w:val="20"/>
        </w:rPr>
        <w:t xml:space="preserve">, </w:t>
      </w:r>
      <w:r>
        <w:rPr>
          <w:i w:val="0"/>
          <w:szCs w:val="20"/>
        </w:rPr>
        <w:t>en la cual se acreditó la</w:t>
      </w:r>
      <w:r w:rsidRPr="00CC04EC">
        <w:rPr>
          <w:i w:val="0"/>
          <w:szCs w:val="20"/>
        </w:rPr>
        <w:t xml:space="preserve"> discriminación laboral. </w:t>
      </w:r>
      <w:r>
        <w:rPr>
          <w:i w:val="0"/>
          <w:szCs w:val="20"/>
        </w:rPr>
        <w:t>S</w:t>
      </w:r>
      <w:r w:rsidRPr="00CC04EC">
        <w:rPr>
          <w:i w:val="0"/>
          <w:szCs w:val="20"/>
        </w:rPr>
        <w:t xml:space="preserve">e desempeña como actor y no recibe un salario fijo. Intentó suicidarse con pastillas y acudió a emergencias del IGSS. No recibe atención </w:t>
      </w:r>
      <w:r w:rsidRPr="00CC04EC">
        <w:rPr>
          <w:i w:val="0"/>
          <w:szCs w:val="20"/>
        </w:rPr>
        <w:lastRenderedPageBreak/>
        <w:t>médica por enfermedades que no derivan del VIH, ni recibe atención de enfermedades oportunis</w:t>
      </w:r>
      <w:r>
        <w:rPr>
          <w:i w:val="0"/>
          <w:szCs w:val="20"/>
        </w:rPr>
        <w:t>tas porque no las ha presentado</w:t>
      </w:r>
      <w:r w:rsidRPr="00CC04EC">
        <w:rPr>
          <w:rStyle w:val="Refdenotaalpie"/>
          <w:i w:val="0"/>
        </w:rPr>
        <w:footnoteReference w:id="308"/>
      </w:r>
      <w:r>
        <w:rPr>
          <w:i w:val="0"/>
          <w:szCs w:val="20"/>
        </w:rPr>
        <w:t>.</w:t>
      </w:r>
    </w:p>
    <w:p w14:paraId="6B0AA5CE" w14:textId="77777777" w:rsidR="003C2AC6" w:rsidRPr="00CC04EC" w:rsidRDefault="003C2AC6" w:rsidP="003C2AC6">
      <w:pPr>
        <w:pStyle w:val="Estilo1"/>
        <w:tabs>
          <w:tab w:val="left" w:pos="709"/>
          <w:tab w:val="left" w:pos="1134"/>
        </w:tabs>
        <w:spacing w:after="0"/>
        <w:ind w:left="0" w:right="-4" w:firstLine="0"/>
        <w:rPr>
          <w:i w:val="0"/>
          <w:szCs w:val="20"/>
        </w:rPr>
      </w:pPr>
    </w:p>
    <w:p w14:paraId="1287D151"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w:t>
      </w:r>
      <w:r>
        <w:rPr>
          <w:i w:val="0"/>
          <w:szCs w:val="20"/>
        </w:rPr>
        <w:t xml:space="preserve">ar se integra por su madre </w:t>
      </w:r>
      <w:proofErr w:type="spellStart"/>
      <w:r>
        <w:rPr>
          <w:i w:val="0"/>
          <w:szCs w:val="20"/>
        </w:rPr>
        <w:t>Ma</w:t>
      </w:r>
      <w:r w:rsidRPr="00CC04EC">
        <w:rPr>
          <w:i w:val="0"/>
          <w:szCs w:val="20"/>
        </w:rPr>
        <w:t>villa</w:t>
      </w:r>
      <w:proofErr w:type="spellEnd"/>
      <w:r w:rsidRPr="00CC04EC">
        <w:rPr>
          <w:i w:val="0"/>
          <w:szCs w:val="20"/>
        </w:rPr>
        <w:t xml:space="preserve"> Ester Morales </w:t>
      </w:r>
      <w:r>
        <w:rPr>
          <w:i w:val="0"/>
          <w:szCs w:val="20"/>
        </w:rPr>
        <w:t>Agustín, su padre</w:t>
      </w:r>
      <w:r w:rsidRPr="00CC04EC">
        <w:rPr>
          <w:i w:val="0"/>
          <w:szCs w:val="20"/>
        </w:rPr>
        <w:t xml:space="preserve"> Juan Pablo Cabrera Gatica</w:t>
      </w:r>
      <w:r>
        <w:rPr>
          <w:i w:val="0"/>
          <w:szCs w:val="20"/>
        </w:rPr>
        <w:t xml:space="preserve">, y </w:t>
      </w:r>
      <w:r w:rsidRPr="00F8392A">
        <w:rPr>
          <w:i w:val="0"/>
          <w:szCs w:val="20"/>
        </w:rPr>
        <w:t>su hijo Jesús Alberto González Cabrera</w:t>
      </w:r>
      <w:r w:rsidRPr="00CC04EC">
        <w:rPr>
          <w:rStyle w:val="Refdenotaalpie"/>
          <w:i w:val="0"/>
        </w:rPr>
        <w:footnoteReference w:id="309"/>
      </w:r>
      <w:r>
        <w:rPr>
          <w:i w:val="0"/>
          <w:szCs w:val="20"/>
        </w:rPr>
        <w:t>.</w:t>
      </w:r>
    </w:p>
    <w:p w14:paraId="7F75BF1A" w14:textId="77777777" w:rsidR="003C2AC6" w:rsidRDefault="003C2AC6" w:rsidP="003C2AC6">
      <w:pPr>
        <w:pStyle w:val="PrrafodeSentencia"/>
      </w:pPr>
    </w:p>
    <w:p w14:paraId="63314EDD" w14:textId="77777777" w:rsidR="003C2AC6" w:rsidRDefault="003C2AC6" w:rsidP="003C2AC6">
      <w:pPr>
        <w:pStyle w:val="PrrafodeSentencia"/>
      </w:pPr>
      <w:r>
        <w:tab/>
        <w:t>B.9. Cé</w:t>
      </w:r>
      <w:r w:rsidRPr="00CC04EC">
        <w:t>sar Noé Cancinos Gómez</w:t>
      </w:r>
    </w:p>
    <w:p w14:paraId="75AB6F3D" w14:textId="77777777" w:rsidR="003C2AC6" w:rsidRPr="00CC04EC" w:rsidRDefault="003C2AC6" w:rsidP="003C2AC6">
      <w:pPr>
        <w:pStyle w:val="PrrafodeSentencia"/>
      </w:pPr>
    </w:p>
    <w:p w14:paraId="4CD77A22"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señor Cancinos Gómez </w:t>
      </w:r>
      <w:r>
        <w:rPr>
          <w:i w:val="0"/>
          <w:szCs w:val="20"/>
        </w:rPr>
        <w:t xml:space="preserve">nació el 21 de junio de 1980 en </w:t>
      </w:r>
      <w:r w:rsidRPr="00CC04EC">
        <w:rPr>
          <w:i w:val="0"/>
          <w:szCs w:val="20"/>
        </w:rPr>
        <w:t xml:space="preserve">el Municipio de Coatepeque, Departamento de Quetzaltenango, Guatemala. </w:t>
      </w:r>
      <w:r>
        <w:rPr>
          <w:i w:val="0"/>
          <w:szCs w:val="20"/>
        </w:rPr>
        <w:t>Reside en la Aldea San Rafael Pa</w:t>
      </w:r>
      <w:r w:rsidRPr="00CC04EC">
        <w:rPr>
          <w:i w:val="0"/>
          <w:szCs w:val="20"/>
        </w:rPr>
        <w:t>caya, Quetzaltenango. Estudió hasta sexto de primaria. Fue diagnosticado</w:t>
      </w:r>
      <w:r>
        <w:rPr>
          <w:i w:val="0"/>
          <w:szCs w:val="20"/>
        </w:rPr>
        <w:t xml:space="preserve"> con VIH</w:t>
      </w:r>
      <w:r w:rsidRPr="00CC04EC">
        <w:rPr>
          <w:i w:val="0"/>
          <w:szCs w:val="20"/>
        </w:rPr>
        <w:t xml:space="preserve"> el 18 de junio de 2002</w:t>
      </w:r>
      <w:r>
        <w:rPr>
          <w:i w:val="0"/>
          <w:szCs w:val="20"/>
        </w:rPr>
        <w:t>,</w:t>
      </w:r>
      <w:r w:rsidRPr="00CC04EC" w:rsidDel="002D448D">
        <w:rPr>
          <w:rStyle w:val="Refdenotaalpie"/>
          <w:i w:val="0"/>
        </w:rPr>
        <w:t xml:space="preserve"> </w:t>
      </w:r>
      <w:r w:rsidRPr="00CC04EC">
        <w:rPr>
          <w:i w:val="0"/>
          <w:szCs w:val="20"/>
        </w:rPr>
        <w:t>y el 12 de junio de 2003 comenzó</w:t>
      </w:r>
      <w:r>
        <w:rPr>
          <w:i w:val="0"/>
          <w:szCs w:val="20"/>
        </w:rPr>
        <w:t xml:space="preserve"> el tratamiento antirretroviral</w:t>
      </w:r>
      <w:r w:rsidRPr="00CC04EC">
        <w:rPr>
          <w:i w:val="0"/>
          <w:szCs w:val="20"/>
        </w:rPr>
        <w:t xml:space="preserve"> en el programa Proyecto Vida de MSF. Posteriormente fue transferido a la Clínica 12 del Hospital Nacional de Coatepeque, donde le fueron realizados</w:t>
      </w:r>
      <w:r>
        <w:rPr>
          <w:i w:val="0"/>
          <w:szCs w:val="20"/>
        </w:rPr>
        <w:t xml:space="preserve"> algunos</w:t>
      </w:r>
      <w:r w:rsidRPr="00CC04EC">
        <w:rPr>
          <w:i w:val="0"/>
          <w:szCs w:val="20"/>
        </w:rPr>
        <w:t xml:space="preserve"> exámenes de CD4 y de carga viral. Actualmente le han realizado de manera regular exámenes de CD4 y carga viral, aunque en las últimas ocasiones le solicitaron una </w:t>
      </w:r>
      <w:r>
        <w:rPr>
          <w:i w:val="0"/>
          <w:szCs w:val="20"/>
        </w:rPr>
        <w:t>“</w:t>
      </w:r>
      <w:r w:rsidRPr="00CC04EC">
        <w:rPr>
          <w:i w:val="0"/>
          <w:szCs w:val="20"/>
        </w:rPr>
        <w:t>colaboración</w:t>
      </w:r>
      <w:r>
        <w:rPr>
          <w:i w:val="0"/>
          <w:szCs w:val="20"/>
        </w:rPr>
        <w:t>”</w:t>
      </w:r>
      <w:r w:rsidRPr="00CC04EC">
        <w:rPr>
          <w:i w:val="0"/>
          <w:szCs w:val="20"/>
        </w:rPr>
        <w:t xml:space="preserve"> económica de 10 o 5 quetzales. No ha padecido enfermedades oportunistas</w:t>
      </w:r>
      <w:r>
        <w:rPr>
          <w:i w:val="0"/>
          <w:szCs w:val="20"/>
        </w:rPr>
        <w:t>,</w:t>
      </w:r>
      <w:r w:rsidRPr="00CC04EC">
        <w:rPr>
          <w:i w:val="0"/>
          <w:szCs w:val="20"/>
        </w:rPr>
        <w:t xml:space="preserve"> ni le han realizado exámenes de genotipo y fenotipo. No recibe apoyo nutricional. Tardaba una hora en trasladarse de su domicilio a Coatepeque. En ocasiones no hay suficiente medicamento para tres meses y le entregan únicamente para un mes. Trabajaba en una fábrica en la Capital, pero dejó de hacerlo debido al deterioro físico que sufrió por la enfermedad</w:t>
      </w:r>
      <w:r>
        <w:rPr>
          <w:i w:val="0"/>
          <w:szCs w:val="20"/>
        </w:rPr>
        <w:t>,</w:t>
      </w:r>
      <w:r w:rsidRPr="00CC04EC">
        <w:rPr>
          <w:i w:val="0"/>
          <w:szCs w:val="20"/>
        </w:rPr>
        <w:t xml:space="preserve"> y con posterioridad regresó a Coatepeque y se dedicó a la agricultura.</w:t>
      </w:r>
      <w:r w:rsidRPr="00CC04EC">
        <w:rPr>
          <w:rStyle w:val="Refdenotaalpie"/>
          <w:i w:val="0"/>
        </w:rPr>
        <w:footnoteReference w:id="310"/>
      </w:r>
    </w:p>
    <w:p w14:paraId="017557AD" w14:textId="77777777" w:rsidR="003C2AC6" w:rsidRPr="00CC04EC" w:rsidRDefault="003C2AC6" w:rsidP="003C2AC6">
      <w:pPr>
        <w:pStyle w:val="Estilo1"/>
        <w:tabs>
          <w:tab w:val="left" w:pos="709"/>
          <w:tab w:val="left" w:pos="1134"/>
        </w:tabs>
        <w:spacing w:after="0"/>
        <w:ind w:left="0" w:right="-4" w:firstLine="0"/>
        <w:rPr>
          <w:i w:val="0"/>
          <w:szCs w:val="20"/>
        </w:rPr>
      </w:pPr>
    </w:p>
    <w:p w14:paraId="0DB13BDA"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integra por su espo</w:t>
      </w:r>
      <w:r>
        <w:rPr>
          <w:i w:val="0"/>
          <w:szCs w:val="20"/>
        </w:rPr>
        <w:t>sa Irma Leticia Vicente Morales, su hija</w:t>
      </w:r>
      <w:r w:rsidRPr="00CC04EC">
        <w:rPr>
          <w:i w:val="0"/>
          <w:szCs w:val="20"/>
        </w:rPr>
        <w:t xml:space="preserve"> Leticia Yami</w:t>
      </w:r>
      <w:r>
        <w:rPr>
          <w:i w:val="0"/>
          <w:szCs w:val="20"/>
        </w:rPr>
        <w:t>let Cancinos Vicente, su hijo César Antonio Cancinos Vicente,</w:t>
      </w:r>
      <w:r w:rsidRPr="00CC04EC">
        <w:rPr>
          <w:i w:val="0"/>
          <w:szCs w:val="20"/>
        </w:rPr>
        <w:t xml:space="preserve"> su</w:t>
      </w:r>
      <w:r>
        <w:rPr>
          <w:i w:val="0"/>
          <w:szCs w:val="20"/>
        </w:rPr>
        <w:t xml:space="preserve"> padre</w:t>
      </w:r>
      <w:r w:rsidRPr="00CC04EC">
        <w:rPr>
          <w:i w:val="0"/>
          <w:szCs w:val="20"/>
        </w:rPr>
        <w:t xml:space="preserve"> </w:t>
      </w:r>
      <w:proofErr w:type="spellStart"/>
      <w:r w:rsidRPr="00CC04EC">
        <w:rPr>
          <w:i w:val="0"/>
          <w:szCs w:val="20"/>
        </w:rPr>
        <w:t>Demecio</w:t>
      </w:r>
      <w:proofErr w:type="spellEnd"/>
      <w:r w:rsidRPr="00CC04EC">
        <w:rPr>
          <w:i w:val="0"/>
          <w:szCs w:val="20"/>
        </w:rPr>
        <w:t xml:space="preserve"> Rogelio Cancinos Díaz, y su ma</w:t>
      </w:r>
      <w:r>
        <w:rPr>
          <w:i w:val="0"/>
          <w:szCs w:val="20"/>
        </w:rPr>
        <w:t xml:space="preserve">dre Macedonia Gómez </w:t>
      </w:r>
      <w:proofErr w:type="spellStart"/>
      <w:r>
        <w:rPr>
          <w:i w:val="0"/>
          <w:szCs w:val="20"/>
        </w:rPr>
        <w:t>Oxlaj</w:t>
      </w:r>
      <w:proofErr w:type="spellEnd"/>
      <w:r w:rsidRPr="00CC04EC">
        <w:rPr>
          <w:rStyle w:val="Refdenotaalpie"/>
          <w:i w:val="0"/>
        </w:rPr>
        <w:footnoteReference w:id="311"/>
      </w:r>
      <w:r>
        <w:rPr>
          <w:i w:val="0"/>
          <w:szCs w:val="20"/>
        </w:rPr>
        <w:t>.</w:t>
      </w:r>
    </w:p>
    <w:p w14:paraId="6351CFEB" w14:textId="77777777" w:rsidR="003C2AC6" w:rsidRDefault="003C2AC6" w:rsidP="003C2AC6">
      <w:pPr>
        <w:pStyle w:val="PrrafodeSentencia"/>
      </w:pPr>
    </w:p>
    <w:p w14:paraId="54A258C7" w14:textId="77777777" w:rsidR="003C2AC6" w:rsidRDefault="003C2AC6" w:rsidP="003C2AC6">
      <w:pPr>
        <w:pStyle w:val="PrrafodeSentencia"/>
      </w:pPr>
      <w:r>
        <w:tab/>
        <w:t>B.10.</w:t>
      </w:r>
      <w:r w:rsidRPr="00CC04EC">
        <w:t xml:space="preserve"> Aracely Cinto</w:t>
      </w:r>
    </w:p>
    <w:p w14:paraId="7334A9D3" w14:textId="77777777" w:rsidR="003C2AC6" w:rsidRPr="00CC04EC" w:rsidRDefault="003C2AC6" w:rsidP="003C2AC6">
      <w:pPr>
        <w:pStyle w:val="PrrafodeSentencia"/>
      </w:pPr>
    </w:p>
    <w:p w14:paraId="4663F432"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La señora Cinto</w:t>
      </w:r>
      <w:r>
        <w:rPr>
          <w:i w:val="0"/>
          <w:szCs w:val="20"/>
        </w:rPr>
        <w:t xml:space="preserve"> nació el 31 de marzo de 1970</w:t>
      </w:r>
      <w:r w:rsidRPr="00CC04EC">
        <w:rPr>
          <w:i w:val="0"/>
          <w:szCs w:val="20"/>
        </w:rPr>
        <w:t xml:space="preserve"> </w:t>
      </w:r>
      <w:r>
        <w:rPr>
          <w:i w:val="0"/>
          <w:szCs w:val="20"/>
        </w:rPr>
        <w:t xml:space="preserve">en </w:t>
      </w:r>
      <w:r w:rsidRPr="00CC04EC">
        <w:rPr>
          <w:i w:val="0"/>
          <w:szCs w:val="20"/>
        </w:rPr>
        <w:t xml:space="preserve">el Municipio de </w:t>
      </w:r>
      <w:proofErr w:type="spellStart"/>
      <w:r w:rsidRPr="00CC04EC">
        <w:rPr>
          <w:i w:val="0"/>
          <w:szCs w:val="20"/>
        </w:rPr>
        <w:t>Pajapita</w:t>
      </w:r>
      <w:proofErr w:type="spellEnd"/>
      <w:r w:rsidRPr="00CC04EC">
        <w:rPr>
          <w:i w:val="0"/>
          <w:szCs w:val="20"/>
        </w:rPr>
        <w:t>, Departamento de San Marcos, Guatemala</w:t>
      </w:r>
      <w:r>
        <w:rPr>
          <w:i w:val="0"/>
          <w:szCs w:val="20"/>
        </w:rPr>
        <w:t>, donde también reside</w:t>
      </w:r>
      <w:r w:rsidRPr="00CC04EC">
        <w:rPr>
          <w:i w:val="0"/>
          <w:szCs w:val="20"/>
        </w:rPr>
        <w:t>. Estudió primero de primaria. Fue diagnosticada con VIH en 1994</w:t>
      </w:r>
      <w:r w:rsidRPr="00CC04EC" w:rsidDel="00766D4F">
        <w:rPr>
          <w:rStyle w:val="Refdenotaalpie"/>
          <w:i w:val="0"/>
        </w:rPr>
        <w:t xml:space="preserve"> </w:t>
      </w:r>
      <w:r>
        <w:rPr>
          <w:i w:val="0"/>
          <w:szCs w:val="20"/>
        </w:rPr>
        <w:t>en el Centro de Salud de Tecún Umá</w:t>
      </w:r>
      <w:r w:rsidRPr="00CC04EC">
        <w:rPr>
          <w:i w:val="0"/>
          <w:szCs w:val="20"/>
        </w:rPr>
        <w:t xml:space="preserve">n, Departamento de San Marcos, pero le confirmaron </w:t>
      </w:r>
      <w:r>
        <w:rPr>
          <w:i w:val="0"/>
          <w:szCs w:val="20"/>
        </w:rPr>
        <w:t>su condición como persona con</w:t>
      </w:r>
      <w:r w:rsidRPr="00CC04EC">
        <w:rPr>
          <w:i w:val="0"/>
          <w:szCs w:val="20"/>
        </w:rPr>
        <w:t xml:space="preserve"> VIH en Coatepeque</w:t>
      </w:r>
      <w:r w:rsidRPr="00CC04EC">
        <w:rPr>
          <w:szCs w:val="20"/>
        </w:rPr>
        <w:t>.</w:t>
      </w:r>
      <w:r w:rsidRPr="000027BF">
        <w:rPr>
          <w:i w:val="0"/>
          <w:szCs w:val="20"/>
        </w:rPr>
        <w:t xml:space="preserve"> </w:t>
      </w:r>
      <w:r>
        <w:rPr>
          <w:i w:val="0"/>
          <w:szCs w:val="20"/>
        </w:rPr>
        <w:t>Desde 1994</w:t>
      </w:r>
      <w:r w:rsidRPr="000027BF">
        <w:rPr>
          <w:i w:val="0"/>
          <w:szCs w:val="20"/>
        </w:rPr>
        <w:t xml:space="preserve"> hasta 2005 fue atendida en la Cruz Roja. Después le prestó atención médica el Proyecto Vida de MSF</w:t>
      </w:r>
      <w:r>
        <w:rPr>
          <w:i w:val="0"/>
          <w:szCs w:val="20"/>
        </w:rPr>
        <w:t>,</w:t>
      </w:r>
      <w:r w:rsidRPr="000027BF">
        <w:rPr>
          <w:i w:val="0"/>
          <w:szCs w:val="20"/>
        </w:rPr>
        <w:t xml:space="preserve"> y finalmente fue transferida a la Clínica 12 del Hospital Nacional de Coatepeque, donde comenzó a recibir tratamiento antirretroviral en el año 2009</w:t>
      </w:r>
      <w:r>
        <w:rPr>
          <w:i w:val="0"/>
          <w:szCs w:val="20"/>
        </w:rPr>
        <w:t>.</w:t>
      </w:r>
      <w:r w:rsidRPr="00CC04EC">
        <w:rPr>
          <w:i w:val="0"/>
          <w:szCs w:val="20"/>
        </w:rPr>
        <w:t xml:space="preserve"> En ese entonces había abastecimiento de medicamentos. Le han realizado de manera irregular exámenes de CD4 (3) y de carga viral, de los cuales no ha recibido resultados.</w:t>
      </w:r>
      <w:r>
        <w:rPr>
          <w:b/>
          <w:i w:val="0"/>
          <w:szCs w:val="20"/>
        </w:rPr>
        <w:t xml:space="preserve"> </w:t>
      </w:r>
      <w:r w:rsidRPr="00CC04EC">
        <w:rPr>
          <w:i w:val="0"/>
          <w:szCs w:val="20"/>
        </w:rPr>
        <w:t xml:space="preserve">La señora Cinto manifestó no haber padecido ninguna enfermedad oportunista. Trabaja lavando ropa </w:t>
      </w:r>
      <w:r>
        <w:rPr>
          <w:i w:val="0"/>
          <w:szCs w:val="20"/>
        </w:rPr>
        <w:t>y vendiendo helados, a</w:t>
      </w:r>
      <w:r w:rsidRPr="00CC04EC">
        <w:rPr>
          <w:i w:val="0"/>
          <w:szCs w:val="20"/>
        </w:rPr>
        <w:t xml:space="preserve">siste a grupos de auto apoyo. La señora Cinto manifestó que debido a </w:t>
      </w:r>
      <w:r w:rsidRPr="00CC04EC">
        <w:rPr>
          <w:i w:val="0"/>
          <w:szCs w:val="20"/>
        </w:rPr>
        <w:lastRenderedPageBreak/>
        <w:t>que la clínica</w:t>
      </w:r>
      <w:r>
        <w:rPr>
          <w:i w:val="0"/>
          <w:szCs w:val="20"/>
        </w:rPr>
        <w:t xml:space="preserve"> a la que acude</w:t>
      </w:r>
      <w:r w:rsidRPr="00CC04EC">
        <w:rPr>
          <w:i w:val="0"/>
          <w:szCs w:val="20"/>
        </w:rPr>
        <w:t xml:space="preserve"> es muy pequeña permite que todas las personas que asisten los señalen y se refieran a ellos como “los sidosos”,</w:t>
      </w:r>
      <w:r>
        <w:rPr>
          <w:i w:val="0"/>
          <w:szCs w:val="20"/>
        </w:rPr>
        <w:t xml:space="preserve"> lo cual le genera desconfianza</w:t>
      </w:r>
      <w:r w:rsidRPr="00CC04EC">
        <w:rPr>
          <w:rStyle w:val="Refdenotaalpie"/>
          <w:i w:val="0"/>
        </w:rPr>
        <w:footnoteReference w:id="312"/>
      </w:r>
      <w:r>
        <w:rPr>
          <w:i w:val="0"/>
          <w:szCs w:val="20"/>
        </w:rPr>
        <w:t>.</w:t>
      </w:r>
    </w:p>
    <w:p w14:paraId="039BF543" w14:textId="77777777" w:rsidR="003C2AC6" w:rsidRPr="00CC04EC" w:rsidRDefault="003C2AC6" w:rsidP="003C2AC6">
      <w:pPr>
        <w:pStyle w:val="Estilo1"/>
        <w:tabs>
          <w:tab w:val="left" w:pos="709"/>
          <w:tab w:val="left" w:pos="1134"/>
        </w:tabs>
        <w:spacing w:after="0"/>
        <w:ind w:left="0" w:right="-4" w:firstLine="0"/>
        <w:rPr>
          <w:i w:val="0"/>
          <w:szCs w:val="20"/>
        </w:rPr>
      </w:pPr>
    </w:p>
    <w:p w14:paraId="111CCFAD"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integra por su madre María Teresa </w:t>
      </w:r>
      <w:r>
        <w:rPr>
          <w:i w:val="0"/>
          <w:szCs w:val="20"/>
        </w:rPr>
        <w:t>de Maldonado Cinto,</w:t>
      </w:r>
      <w:r w:rsidRPr="00CC04EC">
        <w:rPr>
          <w:i w:val="0"/>
          <w:szCs w:val="20"/>
        </w:rPr>
        <w:t xml:space="preserve"> sus hijos Leonel Celestino Mazariegos Cinto y Edwin Amílcar Maldonado Cinto, y su hija Gladys Francisca Mazariegos Cinto (fallecida)</w:t>
      </w:r>
      <w:r w:rsidRPr="00CC04EC">
        <w:rPr>
          <w:rStyle w:val="Refdenotaalpie"/>
          <w:i w:val="0"/>
        </w:rPr>
        <w:footnoteReference w:id="313"/>
      </w:r>
      <w:r w:rsidRPr="00CC04EC">
        <w:rPr>
          <w:i w:val="0"/>
          <w:szCs w:val="20"/>
        </w:rPr>
        <w:t>.</w:t>
      </w:r>
    </w:p>
    <w:p w14:paraId="1957EC81" w14:textId="77777777" w:rsidR="003C2AC6" w:rsidRDefault="003C2AC6" w:rsidP="003C2AC6">
      <w:pPr>
        <w:pStyle w:val="PrrafodeSentencia"/>
      </w:pPr>
    </w:p>
    <w:p w14:paraId="5D18BD5F" w14:textId="77777777" w:rsidR="003C2AC6" w:rsidRDefault="003C2AC6" w:rsidP="003C2AC6">
      <w:pPr>
        <w:pStyle w:val="PrrafodeSentencia"/>
      </w:pPr>
      <w:r>
        <w:tab/>
        <w:t>B.11.</w:t>
      </w:r>
      <w:r w:rsidRPr="00CC04EC">
        <w:t xml:space="preserve"> Luis Rolando Cuscul Pivaral</w:t>
      </w:r>
    </w:p>
    <w:p w14:paraId="1925BB4F" w14:textId="77777777" w:rsidR="003C2AC6" w:rsidRPr="00CC04EC" w:rsidRDefault="003C2AC6" w:rsidP="003C2AC6">
      <w:pPr>
        <w:pStyle w:val="PrrafodeSentencia"/>
      </w:pPr>
    </w:p>
    <w:p w14:paraId="578F785A" w14:textId="40A08681"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El señor </w:t>
      </w:r>
      <w:proofErr w:type="spellStart"/>
      <w:r w:rsidRPr="00CC04EC">
        <w:rPr>
          <w:i w:val="0"/>
          <w:szCs w:val="20"/>
        </w:rPr>
        <w:t>Cuscul</w:t>
      </w:r>
      <w:proofErr w:type="spellEnd"/>
      <w:r w:rsidRPr="00CC04EC">
        <w:rPr>
          <w:i w:val="0"/>
          <w:szCs w:val="20"/>
        </w:rPr>
        <w:t xml:space="preserve"> Pivaral</w:t>
      </w:r>
      <w:r>
        <w:rPr>
          <w:i w:val="0"/>
          <w:szCs w:val="20"/>
        </w:rPr>
        <w:t xml:space="preserve"> nació el 12 de enero de 1968</w:t>
      </w:r>
      <w:r w:rsidRPr="00CC04EC">
        <w:rPr>
          <w:i w:val="0"/>
          <w:szCs w:val="20"/>
        </w:rPr>
        <w:t xml:space="preserve"> </w:t>
      </w:r>
      <w:r>
        <w:rPr>
          <w:i w:val="0"/>
          <w:szCs w:val="20"/>
        </w:rPr>
        <w:t xml:space="preserve">en </w:t>
      </w:r>
      <w:r w:rsidRPr="00CC04EC">
        <w:rPr>
          <w:i w:val="0"/>
          <w:szCs w:val="20"/>
        </w:rPr>
        <w:t>el Municipio de Guatemala, Departamento de Guatemala, Guatemala. Es residente en Villa Canales, Depa</w:t>
      </w:r>
      <w:r>
        <w:rPr>
          <w:i w:val="0"/>
          <w:szCs w:val="20"/>
        </w:rPr>
        <w:t>rtamento de Guatemala</w:t>
      </w:r>
      <w:r w:rsidRPr="00CC04EC">
        <w:rPr>
          <w:i w:val="0"/>
          <w:szCs w:val="20"/>
        </w:rPr>
        <w:t>. Fue diagno</w:t>
      </w:r>
      <w:r>
        <w:rPr>
          <w:i w:val="0"/>
          <w:szCs w:val="20"/>
        </w:rPr>
        <w:t>sticado el 31 de octubre de 1993</w:t>
      </w:r>
      <w:r w:rsidRPr="00CC04EC">
        <w:rPr>
          <w:i w:val="0"/>
          <w:szCs w:val="20"/>
        </w:rPr>
        <w:t xml:space="preserve">, en el IGSS, donde </w:t>
      </w:r>
      <w:r>
        <w:rPr>
          <w:i w:val="0"/>
          <w:szCs w:val="20"/>
        </w:rPr>
        <w:t>manifestó haber sido</w:t>
      </w:r>
      <w:r w:rsidRPr="00CC04EC">
        <w:rPr>
          <w:i w:val="0"/>
          <w:szCs w:val="20"/>
        </w:rPr>
        <w:t xml:space="preserve"> objeto de señalamientos y burlas por parte del personal médico donde fue atendido y se le puso un señalamiento que indicaba que era “paciente con SIDA”. Comenzó su tratamiento antirretroviral en el Proyecto Vida de MSF, en el Hospital Roosevelt, en septiembre del 2000. Le han realizado exámenes de CD4, carga viral, triglicéridos, riñones e hígado. Ha padecido de lipodistrofia, en virtud de haber sido sometido a un tratamiento experimental antes de comenzar el tratamiento antirretroviral. No ha padecido enfermedades oportunistas o conexas. No le han practicado exámenes de genotipo. Cuando se enteró de su diagnóstico tuvo sentimientos de depresión y perdió el interés en todo, e intentó suicidarse en varias ocasiones.</w:t>
      </w:r>
      <w:r w:rsidRPr="00F87540">
        <w:rPr>
          <w:i w:val="0"/>
          <w:szCs w:val="20"/>
        </w:rPr>
        <w:t xml:space="preserve"> </w:t>
      </w:r>
      <w:r w:rsidRPr="00CC04EC">
        <w:rPr>
          <w:i w:val="0"/>
          <w:szCs w:val="20"/>
        </w:rPr>
        <w:t>No ha recibido atención social, familiar, comunitaria y domiciliaria.</w:t>
      </w:r>
      <w:r w:rsidRPr="00CC04EC">
        <w:rPr>
          <w:rStyle w:val="Refdenotaalpie"/>
          <w:i w:val="0"/>
        </w:rPr>
        <w:footnoteReference w:id="314"/>
      </w:r>
    </w:p>
    <w:p w14:paraId="3608E671" w14:textId="77777777" w:rsidR="003C2AC6" w:rsidRPr="00CC04EC" w:rsidRDefault="003C2AC6" w:rsidP="003C2AC6">
      <w:pPr>
        <w:pStyle w:val="Estilo1"/>
        <w:tabs>
          <w:tab w:val="left" w:pos="709"/>
          <w:tab w:val="left" w:pos="1134"/>
        </w:tabs>
        <w:spacing w:after="0"/>
        <w:ind w:left="0" w:right="-4" w:firstLine="0"/>
        <w:rPr>
          <w:i w:val="0"/>
          <w:szCs w:val="20"/>
        </w:rPr>
      </w:pPr>
    </w:p>
    <w:p w14:paraId="0E7D5D69"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w:t>
      </w:r>
      <w:r>
        <w:rPr>
          <w:i w:val="0"/>
          <w:szCs w:val="20"/>
        </w:rPr>
        <w:t>e integra por su madre adoptiva María de la Cruz Mundo Zelaya,</w:t>
      </w:r>
      <w:r w:rsidRPr="00CC04EC">
        <w:rPr>
          <w:i w:val="0"/>
          <w:szCs w:val="20"/>
        </w:rPr>
        <w:t xml:space="preserve"> sus hermanos </w:t>
      </w:r>
      <w:proofErr w:type="spellStart"/>
      <w:r w:rsidRPr="00CC04EC">
        <w:rPr>
          <w:i w:val="0"/>
          <w:szCs w:val="20"/>
        </w:rPr>
        <w:t>Isaias</w:t>
      </w:r>
      <w:proofErr w:type="spellEnd"/>
      <w:r w:rsidRPr="00CC04EC">
        <w:rPr>
          <w:i w:val="0"/>
          <w:szCs w:val="20"/>
        </w:rPr>
        <w:t>, Manuel Antonio, Adolfo y Raúl, to</w:t>
      </w:r>
      <w:r>
        <w:rPr>
          <w:i w:val="0"/>
          <w:szCs w:val="20"/>
        </w:rPr>
        <w:t xml:space="preserve">dos de apellidos </w:t>
      </w:r>
      <w:proofErr w:type="spellStart"/>
      <w:r>
        <w:rPr>
          <w:i w:val="0"/>
          <w:szCs w:val="20"/>
        </w:rPr>
        <w:t>Cuscul</w:t>
      </w:r>
      <w:proofErr w:type="spellEnd"/>
      <w:r>
        <w:rPr>
          <w:i w:val="0"/>
          <w:szCs w:val="20"/>
        </w:rPr>
        <w:t xml:space="preserve"> Mundo,</w:t>
      </w:r>
      <w:r w:rsidRPr="00CC04EC">
        <w:rPr>
          <w:i w:val="0"/>
          <w:szCs w:val="20"/>
        </w:rPr>
        <w:t xml:space="preserve"> s</w:t>
      </w:r>
      <w:r>
        <w:rPr>
          <w:i w:val="0"/>
          <w:szCs w:val="20"/>
        </w:rPr>
        <w:t xml:space="preserve">u hermana Etelvina </w:t>
      </w:r>
      <w:proofErr w:type="spellStart"/>
      <w:r>
        <w:rPr>
          <w:i w:val="0"/>
          <w:szCs w:val="20"/>
        </w:rPr>
        <w:t>Cuscul</w:t>
      </w:r>
      <w:proofErr w:type="spellEnd"/>
      <w:r>
        <w:rPr>
          <w:i w:val="0"/>
          <w:szCs w:val="20"/>
        </w:rPr>
        <w:t xml:space="preserve"> Mundo,</w:t>
      </w:r>
      <w:r w:rsidRPr="00CC04EC">
        <w:rPr>
          <w:i w:val="0"/>
          <w:szCs w:val="20"/>
        </w:rPr>
        <w:t xml:space="preserve"> sus sobrinos </w:t>
      </w:r>
      <w:r>
        <w:rPr>
          <w:i w:val="0"/>
          <w:szCs w:val="20"/>
        </w:rPr>
        <w:t>y sobrinas</w:t>
      </w:r>
      <w:r w:rsidRPr="00CC04EC">
        <w:rPr>
          <w:i w:val="0"/>
          <w:szCs w:val="20"/>
        </w:rPr>
        <w:t xml:space="preserve"> Eduardo Isaías </w:t>
      </w:r>
      <w:proofErr w:type="spellStart"/>
      <w:r w:rsidRPr="00CC04EC">
        <w:rPr>
          <w:i w:val="0"/>
          <w:szCs w:val="20"/>
        </w:rPr>
        <w:t>Cuscul</w:t>
      </w:r>
      <w:proofErr w:type="spellEnd"/>
      <w:r w:rsidRPr="00CC04EC">
        <w:rPr>
          <w:i w:val="0"/>
          <w:szCs w:val="20"/>
        </w:rPr>
        <w:t xml:space="preserve"> Antonio, Patricia Judith </w:t>
      </w:r>
      <w:proofErr w:type="spellStart"/>
      <w:r w:rsidRPr="00CC04EC">
        <w:rPr>
          <w:i w:val="0"/>
          <w:szCs w:val="20"/>
        </w:rPr>
        <w:t>Cuscul</w:t>
      </w:r>
      <w:proofErr w:type="spellEnd"/>
      <w:r w:rsidRPr="00CC04EC">
        <w:rPr>
          <w:i w:val="0"/>
          <w:szCs w:val="20"/>
        </w:rPr>
        <w:t xml:space="preserve"> Antonio, Luis Pablo </w:t>
      </w:r>
      <w:proofErr w:type="spellStart"/>
      <w:r w:rsidRPr="00CC04EC">
        <w:rPr>
          <w:i w:val="0"/>
          <w:szCs w:val="20"/>
        </w:rPr>
        <w:t>Cuscul</w:t>
      </w:r>
      <w:proofErr w:type="spellEnd"/>
      <w:r w:rsidRPr="00CC04EC">
        <w:rPr>
          <w:i w:val="0"/>
          <w:szCs w:val="20"/>
        </w:rPr>
        <w:t xml:space="preserve"> Antonio, Bryan Alexander Adolfo </w:t>
      </w:r>
      <w:proofErr w:type="spellStart"/>
      <w:r w:rsidRPr="00CC04EC">
        <w:rPr>
          <w:i w:val="0"/>
          <w:szCs w:val="20"/>
        </w:rPr>
        <w:t>Cuscul</w:t>
      </w:r>
      <w:proofErr w:type="spellEnd"/>
      <w:r w:rsidRPr="00CC04EC">
        <w:rPr>
          <w:i w:val="0"/>
          <w:szCs w:val="20"/>
        </w:rPr>
        <w:t xml:space="preserve"> Quiñonez, Andy Joe </w:t>
      </w:r>
      <w:proofErr w:type="spellStart"/>
      <w:r w:rsidRPr="00CC04EC">
        <w:rPr>
          <w:i w:val="0"/>
          <w:szCs w:val="20"/>
        </w:rPr>
        <w:t>Cuscul</w:t>
      </w:r>
      <w:proofErr w:type="spellEnd"/>
      <w:r w:rsidRPr="00CC04EC">
        <w:rPr>
          <w:i w:val="0"/>
          <w:szCs w:val="20"/>
        </w:rPr>
        <w:t xml:space="preserve"> Quiñonez, Manuel </w:t>
      </w:r>
      <w:proofErr w:type="spellStart"/>
      <w:r w:rsidRPr="00CC04EC">
        <w:rPr>
          <w:i w:val="0"/>
          <w:szCs w:val="20"/>
        </w:rPr>
        <w:t>Cuscul</w:t>
      </w:r>
      <w:proofErr w:type="spellEnd"/>
      <w:r w:rsidRPr="00CC04EC">
        <w:rPr>
          <w:i w:val="0"/>
          <w:szCs w:val="20"/>
        </w:rPr>
        <w:t xml:space="preserve"> Álvarez, Kevin </w:t>
      </w:r>
      <w:proofErr w:type="spellStart"/>
      <w:r w:rsidRPr="00CC04EC">
        <w:rPr>
          <w:i w:val="0"/>
          <w:szCs w:val="20"/>
        </w:rPr>
        <w:t>Raul</w:t>
      </w:r>
      <w:proofErr w:type="spellEnd"/>
      <w:r w:rsidRPr="00CC04EC">
        <w:rPr>
          <w:i w:val="0"/>
          <w:szCs w:val="20"/>
        </w:rPr>
        <w:t xml:space="preserve"> </w:t>
      </w:r>
      <w:proofErr w:type="spellStart"/>
      <w:r w:rsidRPr="00CC04EC">
        <w:rPr>
          <w:i w:val="0"/>
          <w:szCs w:val="20"/>
        </w:rPr>
        <w:t>Cu</w:t>
      </w:r>
      <w:r>
        <w:rPr>
          <w:i w:val="0"/>
          <w:szCs w:val="20"/>
        </w:rPr>
        <w:t>s</w:t>
      </w:r>
      <w:r w:rsidRPr="00CC04EC">
        <w:rPr>
          <w:i w:val="0"/>
          <w:szCs w:val="20"/>
        </w:rPr>
        <w:t>cul</w:t>
      </w:r>
      <w:proofErr w:type="spellEnd"/>
      <w:r w:rsidRPr="00CC04EC">
        <w:rPr>
          <w:i w:val="0"/>
          <w:szCs w:val="20"/>
        </w:rPr>
        <w:t xml:space="preserve"> Flores, Marlon Daniel </w:t>
      </w:r>
      <w:proofErr w:type="spellStart"/>
      <w:r w:rsidRPr="00CC04EC">
        <w:rPr>
          <w:i w:val="0"/>
          <w:szCs w:val="20"/>
        </w:rPr>
        <w:t>Cuscul</w:t>
      </w:r>
      <w:proofErr w:type="spellEnd"/>
      <w:r w:rsidRPr="00CC04EC">
        <w:rPr>
          <w:i w:val="0"/>
          <w:szCs w:val="20"/>
        </w:rPr>
        <w:t xml:space="preserve"> Flores, Ángel Gabriel </w:t>
      </w:r>
      <w:proofErr w:type="spellStart"/>
      <w:r w:rsidRPr="00CC04EC">
        <w:rPr>
          <w:i w:val="0"/>
          <w:szCs w:val="20"/>
        </w:rPr>
        <w:t>Cuscul</w:t>
      </w:r>
      <w:proofErr w:type="spellEnd"/>
      <w:r w:rsidRPr="00CC04EC">
        <w:rPr>
          <w:i w:val="0"/>
          <w:szCs w:val="20"/>
        </w:rPr>
        <w:t xml:space="preserve"> Flores, Andrea Etelvina Sanchez </w:t>
      </w:r>
      <w:proofErr w:type="spellStart"/>
      <w:r w:rsidRPr="00CC04EC">
        <w:rPr>
          <w:i w:val="0"/>
          <w:szCs w:val="20"/>
        </w:rPr>
        <w:t>Cuscu</w:t>
      </w:r>
      <w:r>
        <w:rPr>
          <w:i w:val="0"/>
          <w:szCs w:val="20"/>
        </w:rPr>
        <w:t>l</w:t>
      </w:r>
      <w:proofErr w:type="spellEnd"/>
      <w:r>
        <w:rPr>
          <w:i w:val="0"/>
          <w:szCs w:val="20"/>
        </w:rPr>
        <w:t xml:space="preserve">, Roxana Pamela Sanchez </w:t>
      </w:r>
      <w:proofErr w:type="spellStart"/>
      <w:r>
        <w:rPr>
          <w:i w:val="0"/>
          <w:szCs w:val="20"/>
        </w:rPr>
        <w:t>Cuscul</w:t>
      </w:r>
      <w:proofErr w:type="spellEnd"/>
      <w:r>
        <w:rPr>
          <w:i w:val="0"/>
          <w:szCs w:val="20"/>
        </w:rPr>
        <w:t xml:space="preserve">, y </w:t>
      </w:r>
      <w:r w:rsidRPr="000871B4">
        <w:rPr>
          <w:i w:val="0"/>
          <w:szCs w:val="20"/>
        </w:rPr>
        <w:t>su pareja sentimental</w:t>
      </w:r>
      <w:r w:rsidRPr="00CC04EC">
        <w:rPr>
          <w:rStyle w:val="Refdenotaalpie"/>
          <w:i w:val="0"/>
        </w:rPr>
        <w:footnoteReference w:id="315"/>
      </w:r>
      <w:r>
        <w:rPr>
          <w:i w:val="0"/>
          <w:szCs w:val="20"/>
        </w:rPr>
        <w:t>.</w:t>
      </w:r>
    </w:p>
    <w:p w14:paraId="7A754F3F" w14:textId="77777777" w:rsidR="003C2AC6" w:rsidRDefault="003C2AC6" w:rsidP="003C2AC6">
      <w:pPr>
        <w:pStyle w:val="PrrafodeSentencia"/>
      </w:pPr>
    </w:p>
    <w:p w14:paraId="016E1662" w14:textId="77777777" w:rsidR="003C2AC6" w:rsidRDefault="003C2AC6" w:rsidP="003C2AC6">
      <w:pPr>
        <w:pStyle w:val="PrrafodeSentencia"/>
      </w:pPr>
      <w:r>
        <w:tab/>
        <w:t>B.12.</w:t>
      </w:r>
      <w:r w:rsidRPr="00CC04EC">
        <w:t xml:space="preserve"> Olga Marina Castillo</w:t>
      </w:r>
    </w:p>
    <w:p w14:paraId="775D4FB1" w14:textId="77777777" w:rsidR="003C2AC6" w:rsidRPr="00CC04EC" w:rsidRDefault="003C2AC6" w:rsidP="003C2AC6">
      <w:pPr>
        <w:pStyle w:val="PrrafodeSentencia"/>
      </w:pPr>
    </w:p>
    <w:p w14:paraId="51C72BF1"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 xml:space="preserve">La señora Marina Castillo nació el 27 de octubre de 1976 en </w:t>
      </w:r>
      <w:r w:rsidRPr="00CC04EC">
        <w:rPr>
          <w:i w:val="0"/>
          <w:szCs w:val="20"/>
        </w:rPr>
        <w:t>el Municipio de Guatemala, Departamento de Guatemala, Guatemala. En el año 2003 recibía tratamiento antirretroviral de MSF</w:t>
      </w:r>
      <w:r w:rsidRPr="00CC04EC">
        <w:rPr>
          <w:rStyle w:val="Refdenotaalpie"/>
          <w:i w:val="0"/>
        </w:rPr>
        <w:footnoteReference w:id="316"/>
      </w:r>
      <w:r w:rsidRPr="00D03834">
        <w:rPr>
          <w:i w:val="0"/>
          <w:szCs w:val="20"/>
        </w:rPr>
        <w:t>.</w:t>
      </w:r>
    </w:p>
    <w:p w14:paraId="60ED9E7B" w14:textId="77777777" w:rsidR="003C2AC6" w:rsidRDefault="003C2AC6" w:rsidP="003C2AC6">
      <w:pPr>
        <w:pStyle w:val="PrrafodeSentencia"/>
      </w:pPr>
    </w:p>
    <w:p w14:paraId="16E5BE09" w14:textId="77777777" w:rsidR="003C2AC6" w:rsidRDefault="003C2AC6" w:rsidP="003C2AC6">
      <w:pPr>
        <w:pStyle w:val="PrrafodeSentencia"/>
      </w:pPr>
      <w:r>
        <w:tab/>
        <w:t>B.13.</w:t>
      </w:r>
      <w:r w:rsidRPr="00CC04EC">
        <w:t xml:space="preserve"> María Felipe Pérez</w:t>
      </w:r>
    </w:p>
    <w:p w14:paraId="06B82196" w14:textId="77777777" w:rsidR="003C2AC6" w:rsidRPr="00CC04EC" w:rsidRDefault="003C2AC6" w:rsidP="003C2AC6">
      <w:pPr>
        <w:pStyle w:val="PrrafodeSentencia"/>
      </w:pPr>
    </w:p>
    <w:p w14:paraId="60ED2173"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La señora </w:t>
      </w:r>
      <w:r>
        <w:rPr>
          <w:i w:val="0"/>
          <w:szCs w:val="20"/>
        </w:rPr>
        <w:t xml:space="preserve">Felipe </w:t>
      </w:r>
      <w:r w:rsidRPr="00CC04EC">
        <w:rPr>
          <w:i w:val="0"/>
          <w:szCs w:val="20"/>
        </w:rPr>
        <w:t>Pérez</w:t>
      </w:r>
      <w:r>
        <w:rPr>
          <w:i w:val="0"/>
          <w:szCs w:val="20"/>
        </w:rPr>
        <w:t xml:space="preserve"> nació el 20 de agosto de 1964</w:t>
      </w:r>
      <w:r w:rsidRPr="00CC04EC">
        <w:rPr>
          <w:i w:val="0"/>
          <w:szCs w:val="20"/>
        </w:rPr>
        <w:t xml:space="preserve"> </w:t>
      </w:r>
      <w:r>
        <w:rPr>
          <w:i w:val="0"/>
          <w:szCs w:val="20"/>
        </w:rPr>
        <w:t xml:space="preserve">en </w:t>
      </w:r>
      <w:r w:rsidRPr="00CC04EC">
        <w:rPr>
          <w:i w:val="0"/>
          <w:szCs w:val="20"/>
        </w:rPr>
        <w:t xml:space="preserve">el Municipio de San Ildefonso </w:t>
      </w:r>
      <w:proofErr w:type="spellStart"/>
      <w:r w:rsidRPr="00CC04EC">
        <w:rPr>
          <w:i w:val="0"/>
          <w:szCs w:val="20"/>
        </w:rPr>
        <w:t>Ixtahuacán</w:t>
      </w:r>
      <w:proofErr w:type="spellEnd"/>
      <w:r w:rsidRPr="00CC04EC">
        <w:rPr>
          <w:i w:val="0"/>
          <w:szCs w:val="20"/>
        </w:rPr>
        <w:t>, Departamento de Huehuetenango, Guatemala. Reside en Aldea Monte Cristo, Sector Santa Rosa, Champerico</w:t>
      </w:r>
      <w:r>
        <w:rPr>
          <w:i w:val="0"/>
          <w:szCs w:val="20"/>
        </w:rPr>
        <w:t>,</w:t>
      </w:r>
      <w:r w:rsidRPr="00CC04EC">
        <w:rPr>
          <w:i w:val="0"/>
          <w:szCs w:val="20"/>
        </w:rPr>
        <w:t xml:space="preserve"> Retalhuleu, Guatemala. Habla </w:t>
      </w:r>
      <w:proofErr w:type="spellStart"/>
      <w:r w:rsidRPr="00CC04EC">
        <w:rPr>
          <w:i w:val="0"/>
          <w:szCs w:val="20"/>
        </w:rPr>
        <w:t>mam</w:t>
      </w:r>
      <w:proofErr w:type="spellEnd"/>
      <w:r w:rsidRPr="00CC04EC">
        <w:rPr>
          <w:i w:val="0"/>
          <w:szCs w:val="20"/>
        </w:rPr>
        <w:t xml:space="preserve"> y español. Estudió hasta </w:t>
      </w:r>
      <w:r w:rsidRPr="00CC04EC">
        <w:rPr>
          <w:i w:val="0"/>
          <w:szCs w:val="20"/>
        </w:rPr>
        <w:lastRenderedPageBreak/>
        <w:t xml:space="preserve">segundo de primaria. Fue diagnosticada en 1999, en Proyecto Vida de MSF. Comenzó su tratamiento en 2001. Fue transferida al Hospital Nacional de Coatepeque, pero debido a la lejanía y a su posibilidad económica, se trasladó al Hospital de Retalhuleu. Le han realizado exámenes de CD4 (6) y carga viral (2), de manera irregular. No le han practicado estudios de genotipo ni de fenotipo. </w:t>
      </w:r>
      <w:r>
        <w:rPr>
          <w:i w:val="0"/>
          <w:szCs w:val="20"/>
        </w:rPr>
        <w:t>Manifestó que no ha recibido</w:t>
      </w:r>
      <w:r w:rsidRPr="00CC04EC">
        <w:rPr>
          <w:i w:val="0"/>
          <w:szCs w:val="20"/>
        </w:rPr>
        <w:t xml:space="preserve"> tratamiento para enfermedades </w:t>
      </w:r>
      <w:r>
        <w:rPr>
          <w:i w:val="0"/>
          <w:szCs w:val="20"/>
        </w:rPr>
        <w:t>relacionadas</w:t>
      </w:r>
      <w:r w:rsidRPr="00CC04EC">
        <w:rPr>
          <w:i w:val="0"/>
          <w:szCs w:val="20"/>
        </w:rPr>
        <w:t xml:space="preserve"> al VIH. No trabaja. Sus hijos la apoyan económicamente, porque no tiene recursos. No ha recibido apoyo nutricional, social, ni atención familiar, comunitaria y domiciliaria. Recibe apoyo psicológico y preservativos. La señora</w:t>
      </w:r>
      <w:r>
        <w:rPr>
          <w:i w:val="0"/>
          <w:szCs w:val="20"/>
        </w:rPr>
        <w:t xml:space="preserve"> Felipe</w:t>
      </w:r>
      <w:r w:rsidRPr="00CC04EC">
        <w:rPr>
          <w:i w:val="0"/>
          <w:szCs w:val="20"/>
        </w:rPr>
        <w:t xml:space="preserve"> Pérez manifestó que sus hijos recibían comentarios por personas en la calle y por amigos de sus hijos, quienes les decían que “tienen SIDA ustedes porque su mamá tiene SIDA”. Vendió algunos terren</w:t>
      </w:r>
      <w:r>
        <w:rPr>
          <w:i w:val="0"/>
          <w:szCs w:val="20"/>
        </w:rPr>
        <w:t>os para ayudarse económicamente</w:t>
      </w:r>
      <w:r w:rsidRPr="00CC04EC">
        <w:rPr>
          <w:rStyle w:val="Refdenotaalpie"/>
          <w:i w:val="0"/>
        </w:rPr>
        <w:footnoteReference w:id="317"/>
      </w:r>
      <w:r>
        <w:rPr>
          <w:i w:val="0"/>
          <w:szCs w:val="20"/>
        </w:rPr>
        <w:t>.</w:t>
      </w:r>
    </w:p>
    <w:p w14:paraId="04292E32" w14:textId="77777777" w:rsidR="003C2AC6" w:rsidRPr="00CC04EC" w:rsidRDefault="003C2AC6" w:rsidP="003C2AC6">
      <w:pPr>
        <w:pStyle w:val="Estilo1"/>
        <w:tabs>
          <w:tab w:val="left" w:pos="709"/>
          <w:tab w:val="left" w:pos="1134"/>
        </w:tabs>
        <w:spacing w:after="0"/>
        <w:ind w:left="0" w:right="-4" w:firstLine="0"/>
        <w:rPr>
          <w:i w:val="0"/>
          <w:szCs w:val="20"/>
        </w:rPr>
      </w:pPr>
    </w:p>
    <w:p w14:paraId="3ADDD97B"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integraba por el padre de sus hijos, Roberto G</w:t>
      </w:r>
      <w:r>
        <w:rPr>
          <w:i w:val="0"/>
          <w:szCs w:val="20"/>
        </w:rPr>
        <w:t>ómez García (fallecido),</w:t>
      </w:r>
      <w:r w:rsidRPr="00CC04EC">
        <w:rPr>
          <w:i w:val="0"/>
          <w:szCs w:val="20"/>
        </w:rPr>
        <w:t xml:space="preserve"> sus hijas Margarita y Ana Patricia, de apel</w:t>
      </w:r>
      <w:r>
        <w:rPr>
          <w:i w:val="0"/>
          <w:szCs w:val="20"/>
        </w:rPr>
        <w:t>lidos Gómez Felipe, y sus hijos</w:t>
      </w:r>
      <w:r w:rsidRPr="00CC04EC">
        <w:rPr>
          <w:i w:val="0"/>
          <w:szCs w:val="20"/>
        </w:rPr>
        <w:t xml:space="preserve"> Rocael, Jaime, Miguel, Carlos y Francisco, de apellidos Gómez Felipe</w:t>
      </w:r>
      <w:r w:rsidRPr="00CC04EC">
        <w:rPr>
          <w:rStyle w:val="Refdenotaalpie"/>
          <w:i w:val="0"/>
        </w:rPr>
        <w:footnoteReference w:id="318"/>
      </w:r>
      <w:r w:rsidRPr="00CC04EC">
        <w:rPr>
          <w:i w:val="0"/>
          <w:szCs w:val="20"/>
        </w:rPr>
        <w:t>.</w:t>
      </w:r>
    </w:p>
    <w:p w14:paraId="6BED08B1" w14:textId="77777777" w:rsidR="003C2AC6" w:rsidRDefault="003C2AC6" w:rsidP="003C2AC6">
      <w:pPr>
        <w:pStyle w:val="PrrafodeSentencia"/>
      </w:pPr>
    </w:p>
    <w:p w14:paraId="7F73534D" w14:textId="77777777" w:rsidR="003C2AC6" w:rsidRDefault="003C2AC6" w:rsidP="003C2AC6">
      <w:pPr>
        <w:pStyle w:val="PrrafodeSentencia"/>
      </w:pPr>
      <w:r>
        <w:tab/>
        <w:t>B.14.</w:t>
      </w:r>
      <w:r w:rsidRPr="00CC04EC">
        <w:t xml:space="preserve"> Ismerai Olibia García Castañon</w:t>
      </w:r>
    </w:p>
    <w:p w14:paraId="064FAB7C" w14:textId="77777777" w:rsidR="003C2AC6" w:rsidRPr="00CC04EC" w:rsidRDefault="003C2AC6" w:rsidP="003C2AC6">
      <w:pPr>
        <w:pStyle w:val="PrrafodeSentencia"/>
      </w:pPr>
    </w:p>
    <w:p w14:paraId="397266ED" w14:textId="24381D80"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La señora García </w:t>
      </w:r>
      <w:proofErr w:type="spellStart"/>
      <w:r w:rsidRPr="00CC04EC">
        <w:rPr>
          <w:i w:val="0"/>
          <w:szCs w:val="20"/>
        </w:rPr>
        <w:t>Castañon</w:t>
      </w:r>
      <w:proofErr w:type="spellEnd"/>
      <w:r>
        <w:rPr>
          <w:i w:val="0"/>
          <w:szCs w:val="20"/>
        </w:rPr>
        <w:t xml:space="preserve"> nació el 14 de enero de 1964</w:t>
      </w:r>
      <w:r w:rsidRPr="00CC04EC">
        <w:rPr>
          <w:i w:val="0"/>
          <w:szCs w:val="20"/>
        </w:rPr>
        <w:t xml:space="preserve"> </w:t>
      </w:r>
      <w:r>
        <w:rPr>
          <w:i w:val="0"/>
          <w:szCs w:val="20"/>
        </w:rPr>
        <w:t xml:space="preserve">en </w:t>
      </w:r>
      <w:r w:rsidRPr="00CC04EC">
        <w:rPr>
          <w:i w:val="0"/>
          <w:szCs w:val="20"/>
        </w:rPr>
        <w:t xml:space="preserve">el Municipio de </w:t>
      </w:r>
      <w:proofErr w:type="spellStart"/>
      <w:r w:rsidRPr="00CC04EC">
        <w:rPr>
          <w:i w:val="0"/>
          <w:szCs w:val="20"/>
        </w:rPr>
        <w:t>Pajapita</w:t>
      </w:r>
      <w:proofErr w:type="spellEnd"/>
      <w:r w:rsidRPr="00CC04EC">
        <w:rPr>
          <w:i w:val="0"/>
          <w:szCs w:val="20"/>
        </w:rPr>
        <w:t xml:space="preserve">, Departamento de San Marcos, Guatemala. Reside en Cantón de la Ceiba, </w:t>
      </w:r>
      <w:proofErr w:type="spellStart"/>
      <w:r w:rsidRPr="00CC04EC">
        <w:rPr>
          <w:i w:val="0"/>
          <w:szCs w:val="20"/>
        </w:rPr>
        <w:t>Pajapita</w:t>
      </w:r>
      <w:proofErr w:type="spellEnd"/>
      <w:r w:rsidRPr="00CC04EC">
        <w:rPr>
          <w:i w:val="0"/>
          <w:szCs w:val="20"/>
        </w:rPr>
        <w:t>, San Ma</w:t>
      </w:r>
      <w:r>
        <w:rPr>
          <w:i w:val="0"/>
          <w:szCs w:val="20"/>
        </w:rPr>
        <w:t>rcos. Fue diagnosticada en 2003 por Proyecto Vida de MSF, c</w:t>
      </w:r>
      <w:r w:rsidRPr="00CC04EC">
        <w:rPr>
          <w:i w:val="0"/>
          <w:szCs w:val="20"/>
        </w:rPr>
        <w:t>omenzó a recibir atención médica por MSF</w:t>
      </w:r>
      <w:r>
        <w:rPr>
          <w:i w:val="0"/>
          <w:szCs w:val="20"/>
        </w:rPr>
        <w:t xml:space="preserve"> ese mismo año</w:t>
      </w:r>
      <w:r w:rsidRPr="00CC04EC">
        <w:rPr>
          <w:i w:val="0"/>
          <w:szCs w:val="20"/>
        </w:rPr>
        <w:t xml:space="preserve">. </w:t>
      </w:r>
      <w:r w:rsidRPr="009C7FAF">
        <w:rPr>
          <w:i w:val="0"/>
          <w:szCs w:val="20"/>
        </w:rPr>
        <w:t>Fue transferida a la Clínica 12 del Hos</w:t>
      </w:r>
      <w:r w:rsidR="00F87540">
        <w:rPr>
          <w:i w:val="0"/>
          <w:szCs w:val="20"/>
        </w:rPr>
        <w:t>pital Nacional de Coatepeque, e</w:t>
      </w:r>
      <w:r w:rsidRPr="009C7FAF">
        <w:rPr>
          <w:i w:val="0"/>
          <w:szCs w:val="20"/>
        </w:rPr>
        <w:t xml:space="preserve"> inició su tratamiento antirretroviral en el año 2007.</w:t>
      </w:r>
      <w:r w:rsidRPr="00CC04EC">
        <w:rPr>
          <w:i w:val="0"/>
          <w:szCs w:val="20"/>
        </w:rPr>
        <w:t xml:space="preserve"> No le han realizado regularmente exámenes de CD4 y carga viral. Ha padecido de</w:t>
      </w:r>
      <w:r>
        <w:rPr>
          <w:i w:val="0"/>
          <w:szCs w:val="20"/>
        </w:rPr>
        <w:t xml:space="preserve"> enfermedades oportunistas como</w:t>
      </w:r>
      <w:r w:rsidRPr="00CC04EC">
        <w:rPr>
          <w:i w:val="0"/>
          <w:szCs w:val="20"/>
        </w:rPr>
        <w:t xml:space="preserve"> candidiasis vulvovaginal y diarrea crónica. Recibe pláticas en dicho centro hospitalario, así como información so</w:t>
      </w:r>
      <w:r>
        <w:rPr>
          <w:i w:val="0"/>
          <w:szCs w:val="20"/>
        </w:rPr>
        <w:t>bre preservativos y reinfección</w:t>
      </w:r>
      <w:r w:rsidRPr="00CC04EC">
        <w:rPr>
          <w:rStyle w:val="Refdenotaalpie"/>
          <w:i w:val="0"/>
        </w:rPr>
        <w:footnoteReference w:id="319"/>
      </w:r>
      <w:r>
        <w:rPr>
          <w:i w:val="0"/>
          <w:szCs w:val="20"/>
        </w:rPr>
        <w:t>.</w:t>
      </w:r>
    </w:p>
    <w:p w14:paraId="74E35262" w14:textId="77777777" w:rsidR="003C2AC6" w:rsidRPr="00CC04EC" w:rsidRDefault="003C2AC6" w:rsidP="003C2AC6">
      <w:pPr>
        <w:pStyle w:val="Estilo1"/>
        <w:tabs>
          <w:tab w:val="left" w:pos="709"/>
          <w:tab w:val="left" w:pos="1134"/>
        </w:tabs>
        <w:spacing w:after="0"/>
        <w:ind w:left="0" w:right="-4" w:firstLine="0"/>
        <w:rPr>
          <w:i w:val="0"/>
          <w:szCs w:val="20"/>
        </w:rPr>
      </w:pPr>
    </w:p>
    <w:p w14:paraId="4FDC73F5"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inte</w:t>
      </w:r>
      <w:r>
        <w:rPr>
          <w:i w:val="0"/>
          <w:szCs w:val="20"/>
        </w:rPr>
        <w:t>graba por el padre de sus hijos</w:t>
      </w:r>
      <w:r w:rsidRPr="00CC04EC">
        <w:rPr>
          <w:i w:val="0"/>
          <w:szCs w:val="20"/>
        </w:rPr>
        <w:t xml:space="preserve"> </w:t>
      </w:r>
      <w:r>
        <w:rPr>
          <w:i w:val="0"/>
          <w:szCs w:val="20"/>
        </w:rPr>
        <w:t>Juan Guillermo Cifuentes Orozco,</w:t>
      </w:r>
      <w:r w:rsidRPr="00CC04EC">
        <w:rPr>
          <w:i w:val="0"/>
          <w:szCs w:val="20"/>
        </w:rPr>
        <w:t xml:space="preserve"> sus hijos </w:t>
      </w:r>
      <w:proofErr w:type="spellStart"/>
      <w:r w:rsidRPr="00CC04EC">
        <w:rPr>
          <w:i w:val="0"/>
          <w:szCs w:val="20"/>
        </w:rPr>
        <w:t>Leonidas</w:t>
      </w:r>
      <w:proofErr w:type="spellEnd"/>
      <w:r w:rsidRPr="00CC04EC">
        <w:rPr>
          <w:i w:val="0"/>
          <w:szCs w:val="20"/>
        </w:rPr>
        <w:t xml:space="preserve"> Alberto, Guillermo </w:t>
      </w:r>
      <w:proofErr w:type="spellStart"/>
      <w:r w:rsidRPr="00CC04EC">
        <w:rPr>
          <w:i w:val="0"/>
          <w:szCs w:val="20"/>
        </w:rPr>
        <w:t>Neemias</w:t>
      </w:r>
      <w:proofErr w:type="spellEnd"/>
      <w:r w:rsidRPr="00CC04EC">
        <w:rPr>
          <w:i w:val="0"/>
          <w:szCs w:val="20"/>
        </w:rPr>
        <w:t>, Elder Neftalí y Juan Antonio (fallecido), de apelli</w:t>
      </w:r>
      <w:r>
        <w:rPr>
          <w:i w:val="0"/>
          <w:szCs w:val="20"/>
        </w:rPr>
        <w:t>dos Cifuentes García, y su hija Ingrid Olivia Cifuentes García,</w:t>
      </w:r>
      <w:r w:rsidRPr="00CC04EC">
        <w:rPr>
          <w:i w:val="0"/>
          <w:szCs w:val="20"/>
        </w:rPr>
        <w:t xml:space="preserve"> su </w:t>
      </w:r>
      <w:r>
        <w:rPr>
          <w:i w:val="0"/>
          <w:szCs w:val="20"/>
        </w:rPr>
        <w:t xml:space="preserve">madre </w:t>
      </w:r>
      <w:proofErr w:type="spellStart"/>
      <w:r>
        <w:rPr>
          <w:i w:val="0"/>
          <w:szCs w:val="20"/>
        </w:rPr>
        <w:t>Leodora</w:t>
      </w:r>
      <w:proofErr w:type="spellEnd"/>
      <w:r>
        <w:rPr>
          <w:i w:val="0"/>
          <w:szCs w:val="20"/>
        </w:rPr>
        <w:t xml:space="preserve"> </w:t>
      </w:r>
      <w:proofErr w:type="spellStart"/>
      <w:r>
        <w:rPr>
          <w:i w:val="0"/>
          <w:szCs w:val="20"/>
        </w:rPr>
        <w:t>Castañon</w:t>
      </w:r>
      <w:proofErr w:type="spellEnd"/>
      <w:r>
        <w:rPr>
          <w:i w:val="0"/>
          <w:szCs w:val="20"/>
        </w:rPr>
        <w:t xml:space="preserve"> </w:t>
      </w:r>
      <w:proofErr w:type="spellStart"/>
      <w:r>
        <w:rPr>
          <w:i w:val="0"/>
          <w:szCs w:val="20"/>
        </w:rPr>
        <w:t>Castañon</w:t>
      </w:r>
      <w:proofErr w:type="spellEnd"/>
      <w:r>
        <w:rPr>
          <w:i w:val="0"/>
          <w:szCs w:val="20"/>
        </w:rPr>
        <w:t xml:space="preserve">, y su entonces pareja </w:t>
      </w:r>
      <w:r w:rsidRPr="00CC04EC">
        <w:rPr>
          <w:i w:val="0"/>
          <w:szCs w:val="20"/>
        </w:rPr>
        <w:t xml:space="preserve">Santos </w:t>
      </w:r>
      <w:proofErr w:type="spellStart"/>
      <w:r w:rsidRPr="00CC04EC">
        <w:rPr>
          <w:i w:val="0"/>
          <w:szCs w:val="20"/>
        </w:rPr>
        <w:t>Isac</w:t>
      </w:r>
      <w:r>
        <w:rPr>
          <w:i w:val="0"/>
          <w:szCs w:val="20"/>
        </w:rPr>
        <w:t>ar</w:t>
      </w:r>
      <w:proofErr w:type="spellEnd"/>
      <w:r w:rsidRPr="00CC04EC">
        <w:rPr>
          <w:i w:val="0"/>
          <w:szCs w:val="20"/>
        </w:rPr>
        <w:t xml:space="preserve"> Vásquez Barrios</w:t>
      </w:r>
      <w:r w:rsidRPr="00CC04EC">
        <w:rPr>
          <w:rStyle w:val="Refdenotaalpie"/>
          <w:i w:val="0"/>
        </w:rPr>
        <w:footnoteReference w:id="320"/>
      </w:r>
      <w:r>
        <w:rPr>
          <w:i w:val="0"/>
          <w:szCs w:val="20"/>
        </w:rPr>
        <w:t>.</w:t>
      </w:r>
    </w:p>
    <w:p w14:paraId="57596FAB" w14:textId="77777777" w:rsidR="003C2AC6" w:rsidRDefault="003C2AC6" w:rsidP="003C2AC6">
      <w:pPr>
        <w:pStyle w:val="PrrafodeSentencia"/>
      </w:pPr>
    </w:p>
    <w:p w14:paraId="1D1DE204" w14:textId="77777777" w:rsidR="003C2AC6" w:rsidRDefault="003C2AC6" w:rsidP="003C2AC6">
      <w:pPr>
        <w:pStyle w:val="PrrafodeSentencia"/>
      </w:pPr>
      <w:r>
        <w:tab/>
        <w:t>B.15.</w:t>
      </w:r>
      <w:r w:rsidRPr="00CC04EC">
        <w:t xml:space="preserve"> Santos Isacar Vásquez Barrios</w:t>
      </w:r>
    </w:p>
    <w:p w14:paraId="1E7486B3" w14:textId="77777777" w:rsidR="003C2AC6" w:rsidRPr="00CC04EC" w:rsidRDefault="003C2AC6" w:rsidP="003C2AC6">
      <w:pPr>
        <w:pStyle w:val="PrrafodeSentencia"/>
      </w:pPr>
    </w:p>
    <w:p w14:paraId="7760534C" w14:textId="5B25643F"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 xml:space="preserve">El señor Vásquez Barrios nació el 3 de noviembre de 1968 en </w:t>
      </w:r>
      <w:r w:rsidRPr="00CC04EC">
        <w:rPr>
          <w:i w:val="0"/>
          <w:szCs w:val="20"/>
        </w:rPr>
        <w:t xml:space="preserve">el Municipio de </w:t>
      </w:r>
      <w:proofErr w:type="spellStart"/>
      <w:r w:rsidRPr="00CC04EC">
        <w:rPr>
          <w:i w:val="0"/>
          <w:szCs w:val="20"/>
        </w:rPr>
        <w:t>Ocos</w:t>
      </w:r>
      <w:proofErr w:type="spellEnd"/>
      <w:r w:rsidRPr="00CC04EC">
        <w:rPr>
          <w:i w:val="0"/>
          <w:szCs w:val="20"/>
        </w:rPr>
        <w:t xml:space="preserve">, Departamento de San Marcos, Guatemala. Reside en </w:t>
      </w:r>
      <w:proofErr w:type="spellStart"/>
      <w:r w:rsidRPr="00CC04EC">
        <w:rPr>
          <w:i w:val="0"/>
          <w:szCs w:val="20"/>
        </w:rPr>
        <w:t>Tecum</w:t>
      </w:r>
      <w:proofErr w:type="spellEnd"/>
      <w:r w:rsidRPr="00CC04EC">
        <w:rPr>
          <w:i w:val="0"/>
          <w:szCs w:val="20"/>
        </w:rPr>
        <w:t xml:space="preserve">, Guatemala. Estudió hasta el segundo año de primaria y sabe leer y escribir. Trabaja recolectando y vendiendo cocos. Fue diagnosticado con VIH en </w:t>
      </w:r>
      <w:r>
        <w:rPr>
          <w:i w:val="0"/>
          <w:szCs w:val="20"/>
        </w:rPr>
        <w:t xml:space="preserve">el año </w:t>
      </w:r>
      <w:r w:rsidRPr="00CC04EC">
        <w:rPr>
          <w:i w:val="0"/>
          <w:szCs w:val="20"/>
        </w:rPr>
        <w:t xml:space="preserve">2003 en el Proyecto Vida de MSF, donde se le brindó un tratamiento de </w:t>
      </w:r>
      <w:proofErr w:type="spellStart"/>
      <w:r w:rsidRPr="00CC04EC">
        <w:rPr>
          <w:i w:val="0"/>
          <w:szCs w:val="20"/>
        </w:rPr>
        <w:t>Trimetropin</w:t>
      </w:r>
      <w:proofErr w:type="spellEnd"/>
      <w:r w:rsidRPr="00CC04EC">
        <w:rPr>
          <w:i w:val="0"/>
          <w:szCs w:val="20"/>
        </w:rPr>
        <w:t xml:space="preserve"> por un periodo aproximado de nueve meses, y después le dieron </w:t>
      </w:r>
      <w:proofErr w:type="spellStart"/>
      <w:r w:rsidRPr="00CC04EC">
        <w:rPr>
          <w:i w:val="0"/>
          <w:szCs w:val="20"/>
        </w:rPr>
        <w:t>duovin</w:t>
      </w:r>
      <w:proofErr w:type="spellEnd"/>
      <w:r w:rsidRPr="00CC04EC">
        <w:rPr>
          <w:i w:val="0"/>
          <w:szCs w:val="20"/>
        </w:rPr>
        <w:t xml:space="preserve"> y </w:t>
      </w:r>
      <w:proofErr w:type="spellStart"/>
      <w:r w:rsidRPr="00CC04EC">
        <w:rPr>
          <w:i w:val="0"/>
          <w:szCs w:val="20"/>
        </w:rPr>
        <w:t>efaviren</w:t>
      </w:r>
      <w:proofErr w:type="spellEnd"/>
      <w:r w:rsidRPr="00CC04EC">
        <w:rPr>
          <w:i w:val="0"/>
          <w:szCs w:val="20"/>
        </w:rPr>
        <w:t xml:space="preserve">. Después fue transferido a la Clínica 12 del Hospital Nacional de Coatepeque, </w:t>
      </w:r>
      <w:r w:rsidRPr="00CC04EC">
        <w:rPr>
          <w:i w:val="0"/>
          <w:szCs w:val="20"/>
        </w:rPr>
        <w:lastRenderedPageBreak/>
        <w:t xml:space="preserve">la cual se encuentra aproximadamente a 40 minutos de su hogar y gasta aproximadamente 45 quetzales para poder ir y venir en días de consulta. Comenzó su tratamiento antirretroviral en </w:t>
      </w:r>
      <w:r>
        <w:rPr>
          <w:i w:val="0"/>
          <w:szCs w:val="20"/>
        </w:rPr>
        <w:t xml:space="preserve">el año </w:t>
      </w:r>
      <w:r w:rsidRPr="00CC04EC">
        <w:rPr>
          <w:i w:val="0"/>
          <w:szCs w:val="20"/>
        </w:rPr>
        <w:t>2004. Le han practicado exámenes de CD</w:t>
      </w:r>
      <w:r>
        <w:rPr>
          <w:i w:val="0"/>
          <w:szCs w:val="20"/>
        </w:rPr>
        <w:t>4 (4</w:t>
      </w:r>
      <w:r w:rsidRPr="00CC04EC">
        <w:rPr>
          <w:i w:val="0"/>
          <w:szCs w:val="20"/>
        </w:rPr>
        <w:t xml:space="preserve">) y carga viral (1). Ha padecido de sífilis, </w:t>
      </w:r>
      <w:proofErr w:type="spellStart"/>
      <w:r w:rsidRPr="00CC04EC">
        <w:rPr>
          <w:i w:val="0"/>
          <w:szCs w:val="20"/>
        </w:rPr>
        <w:t>neurosífilis</w:t>
      </w:r>
      <w:proofErr w:type="spellEnd"/>
      <w:r w:rsidRPr="00CC04EC">
        <w:rPr>
          <w:i w:val="0"/>
          <w:szCs w:val="20"/>
        </w:rPr>
        <w:t xml:space="preserve">, herpes zoster, micosis cutánea recurrente, parásitos, fiebre, diarrea con sangre, vómitos con flema blanca, </w:t>
      </w:r>
      <w:proofErr w:type="spellStart"/>
      <w:r w:rsidRPr="00CC04EC">
        <w:rPr>
          <w:i w:val="0"/>
          <w:szCs w:val="20"/>
        </w:rPr>
        <w:t>afonia</w:t>
      </w:r>
      <w:proofErr w:type="spellEnd"/>
      <w:r w:rsidRPr="00CC04EC">
        <w:rPr>
          <w:i w:val="0"/>
          <w:szCs w:val="20"/>
        </w:rPr>
        <w:t xml:space="preserve"> leve y faringitis.</w:t>
      </w:r>
      <w:r w:rsidR="003A3F2F">
        <w:rPr>
          <w:i w:val="0"/>
          <w:szCs w:val="20"/>
        </w:rPr>
        <w:t xml:space="preserve"> Ha recibido plá</w:t>
      </w:r>
      <w:r w:rsidRPr="00CC04EC">
        <w:rPr>
          <w:i w:val="0"/>
          <w:szCs w:val="20"/>
        </w:rPr>
        <w:t>ticas de adherencia,</w:t>
      </w:r>
      <w:r>
        <w:rPr>
          <w:i w:val="0"/>
          <w:szCs w:val="20"/>
        </w:rPr>
        <w:t xml:space="preserve"> apoyo nutricional y psicológico en el Proyecto Vida. En la Clínica 12 ha recibido</w:t>
      </w:r>
      <w:r w:rsidRPr="00CC04EC">
        <w:rPr>
          <w:i w:val="0"/>
          <w:szCs w:val="20"/>
        </w:rPr>
        <w:t xml:space="preserve"> </w:t>
      </w:r>
      <w:r>
        <w:rPr>
          <w:i w:val="0"/>
          <w:szCs w:val="20"/>
        </w:rPr>
        <w:t>atención psicológica</w:t>
      </w:r>
      <w:r w:rsidRPr="00CC04EC">
        <w:rPr>
          <w:rStyle w:val="Refdenotaalpie"/>
          <w:i w:val="0"/>
        </w:rPr>
        <w:footnoteReference w:id="321"/>
      </w:r>
      <w:r w:rsidR="003A3F2F">
        <w:rPr>
          <w:i w:val="0"/>
          <w:szCs w:val="20"/>
        </w:rPr>
        <w:t>.</w:t>
      </w:r>
    </w:p>
    <w:p w14:paraId="45687562" w14:textId="77777777" w:rsidR="003C2AC6" w:rsidRPr="00CC04EC" w:rsidRDefault="003C2AC6" w:rsidP="003C2AC6">
      <w:pPr>
        <w:pStyle w:val="Estilo1"/>
        <w:tabs>
          <w:tab w:val="left" w:pos="709"/>
          <w:tab w:val="left" w:pos="1134"/>
        </w:tabs>
        <w:spacing w:after="0"/>
        <w:ind w:left="0" w:right="-4" w:firstLine="0"/>
        <w:rPr>
          <w:i w:val="0"/>
          <w:szCs w:val="20"/>
        </w:rPr>
      </w:pPr>
    </w:p>
    <w:p w14:paraId="536C044C"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integra por </w:t>
      </w:r>
      <w:r>
        <w:rPr>
          <w:i w:val="0"/>
          <w:szCs w:val="20"/>
        </w:rPr>
        <w:t>su hija Irma Noelia Vásquez Barrios, su madre</w:t>
      </w:r>
      <w:r w:rsidRPr="00CC04EC">
        <w:rPr>
          <w:i w:val="0"/>
          <w:szCs w:val="20"/>
        </w:rPr>
        <w:t xml:space="preserve"> Margarita Bar</w:t>
      </w:r>
      <w:r>
        <w:rPr>
          <w:i w:val="0"/>
          <w:szCs w:val="20"/>
        </w:rPr>
        <w:t>rios Hernández,</w:t>
      </w:r>
      <w:r w:rsidRPr="00CC04EC">
        <w:rPr>
          <w:i w:val="0"/>
          <w:szCs w:val="20"/>
        </w:rPr>
        <w:t xml:space="preserve"> su </w:t>
      </w:r>
      <w:r>
        <w:rPr>
          <w:i w:val="0"/>
          <w:szCs w:val="20"/>
        </w:rPr>
        <w:t>padre Rogelio Saturnino Vásquez, su abuela</w:t>
      </w:r>
      <w:r w:rsidRPr="00CC04EC">
        <w:rPr>
          <w:i w:val="0"/>
          <w:szCs w:val="20"/>
        </w:rPr>
        <w:t xml:space="preserve"> Juana de Jesús Vásquez</w:t>
      </w:r>
      <w:r>
        <w:rPr>
          <w:i w:val="0"/>
          <w:szCs w:val="20"/>
        </w:rPr>
        <w:t xml:space="preserve">, y su entonces pareja </w:t>
      </w:r>
      <w:proofErr w:type="spellStart"/>
      <w:r w:rsidRPr="00CC04EC">
        <w:rPr>
          <w:i w:val="0"/>
          <w:szCs w:val="20"/>
        </w:rPr>
        <w:t>Ismerai</w:t>
      </w:r>
      <w:proofErr w:type="spellEnd"/>
      <w:r w:rsidRPr="00CC04EC">
        <w:rPr>
          <w:i w:val="0"/>
          <w:szCs w:val="20"/>
        </w:rPr>
        <w:t xml:space="preserve"> </w:t>
      </w:r>
      <w:proofErr w:type="spellStart"/>
      <w:r w:rsidRPr="00CC04EC">
        <w:rPr>
          <w:i w:val="0"/>
          <w:szCs w:val="20"/>
        </w:rPr>
        <w:t>Olibia</w:t>
      </w:r>
      <w:proofErr w:type="spellEnd"/>
      <w:r w:rsidRPr="00CC04EC">
        <w:rPr>
          <w:i w:val="0"/>
          <w:szCs w:val="20"/>
        </w:rPr>
        <w:t xml:space="preserve"> García Castañón</w:t>
      </w:r>
      <w:r w:rsidRPr="00CC04EC">
        <w:rPr>
          <w:rStyle w:val="Refdenotaalpie"/>
          <w:i w:val="0"/>
        </w:rPr>
        <w:footnoteReference w:id="322"/>
      </w:r>
      <w:r w:rsidRPr="00CC04EC">
        <w:rPr>
          <w:i w:val="0"/>
          <w:szCs w:val="20"/>
        </w:rPr>
        <w:t>.</w:t>
      </w:r>
    </w:p>
    <w:p w14:paraId="71EDAD53" w14:textId="77777777" w:rsidR="003C2AC6" w:rsidRDefault="003C2AC6" w:rsidP="003C2AC6">
      <w:pPr>
        <w:pStyle w:val="PrrafodeSentencia"/>
      </w:pPr>
    </w:p>
    <w:p w14:paraId="461F4190" w14:textId="77777777" w:rsidR="003C2AC6" w:rsidRDefault="003C2AC6" w:rsidP="003C2AC6">
      <w:pPr>
        <w:pStyle w:val="PrrafodeSentencia"/>
      </w:pPr>
      <w:r>
        <w:tab/>
        <w:t>B.16.</w:t>
      </w:r>
      <w:r w:rsidRPr="00CC04EC">
        <w:t xml:space="preserve"> Mardo Luis Hernández y Hernández</w:t>
      </w:r>
    </w:p>
    <w:p w14:paraId="38230742" w14:textId="77777777" w:rsidR="003C2AC6" w:rsidRPr="00CC04EC" w:rsidRDefault="003C2AC6" w:rsidP="003C2AC6">
      <w:pPr>
        <w:pStyle w:val="PrrafodeSentencia"/>
      </w:pPr>
    </w:p>
    <w:p w14:paraId="32DA2F91"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El señor Hernández y Hernández</w:t>
      </w:r>
      <w:r>
        <w:rPr>
          <w:i w:val="0"/>
          <w:szCs w:val="20"/>
        </w:rPr>
        <w:t xml:space="preserve"> nació el 3 de julio de 1983</w:t>
      </w:r>
      <w:r w:rsidRPr="00CC04EC">
        <w:rPr>
          <w:i w:val="0"/>
          <w:szCs w:val="20"/>
        </w:rPr>
        <w:t xml:space="preserve"> </w:t>
      </w:r>
      <w:r>
        <w:rPr>
          <w:i w:val="0"/>
          <w:szCs w:val="20"/>
        </w:rPr>
        <w:t xml:space="preserve">en </w:t>
      </w:r>
      <w:r w:rsidRPr="00CC04EC">
        <w:rPr>
          <w:i w:val="0"/>
          <w:szCs w:val="20"/>
        </w:rPr>
        <w:t xml:space="preserve">el Municipio de </w:t>
      </w:r>
      <w:proofErr w:type="spellStart"/>
      <w:r w:rsidRPr="00CC04EC">
        <w:rPr>
          <w:i w:val="0"/>
          <w:szCs w:val="20"/>
        </w:rPr>
        <w:t>Ocos</w:t>
      </w:r>
      <w:proofErr w:type="spellEnd"/>
      <w:r w:rsidRPr="00CC04EC">
        <w:rPr>
          <w:i w:val="0"/>
          <w:szCs w:val="20"/>
        </w:rPr>
        <w:t>, Departamento de San Marcos, Guatemala. Es residente de la Colonia San Julián, Municipio La Blanca San Marcos, Guatemala. Estudió hasta tercero básico. Trabajaba como parcelero, actividad que tuvo que abandonar por la debilidad producida por la enfermedad. En la actualidad trabaja en una empacadora. Fue diagnosticado con VIH en 2001, en el Proyecto Vida de MSF. Con posterioridad fue transferido a la Clínica 12, del Hospital Nacional de Coatepeque</w:t>
      </w:r>
      <w:r>
        <w:rPr>
          <w:i w:val="0"/>
          <w:szCs w:val="20"/>
        </w:rPr>
        <w:t>, pero finalmente fue</w:t>
      </w:r>
      <w:r w:rsidRPr="00CC04EC">
        <w:rPr>
          <w:i w:val="0"/>
          <w:szCs w:val="20"/>
        </w:rPr>
        <w:t xml:space="preserve"> atendido en Malacatán.</w:t>
      </w:r>
      <w:r>
        <w:rPr>
          <w:b/>
          <w:i w:val="0"/>
          <w:szCs w:val="20"/>
        </w:rPr>
        <w:t xml:space="preserve"> </w:t>
      </w:r>
      <w:r w:rsidRPr="00CC04EC">
        <w:rPr>
          <w:i w:val="0"/>
          <w:szCs w:val="20"/>
        </w:rPr>
        <w:t xml:space="preserve">Le han realizado exámenes de CD4 y carga viral, pero no le han realizado exámenes de genotipo y fenotipo. Ha padecido de neumonía, tuberculosis y </w:t>
      </w:r>
      <w:proofErr w:type="spellStart"/>
      <w:r w:rsidRPr="00CC04EC">
        <w:rPr>
          <w:i w:val="0"/>
          <w:szCs w:val="20"/>
        </w:rPr>
        <w:t>criptococos</w:t>
      </w:r>
      <w:proofErr w:type="spellEnd"/>
      <w:r w:rsidRPr="00CC04EC">
        <w:rPr>
          <w:i w:val="0"/>
          <w:szCs w:val="20"/>
        </w:rPr>
        <w:t>. No recibe apoyo nutricional ni social. Su hijo fue señalado como una persona</w:t>
      </w:r>
      <w:r>
        <w:rPr>
          <w:i w:val="0"/>
          <w:szCs w:val="20"/>
        </w:rPr>
        <w:t xml:space="preserve"> que vive</w:t>
      </w:r>
      <w:r w:rsidRPr="00CC04EC">
        <w:rPr>
          <w:i w:val="0"/>
          <w:szCs w:val="20"/>
        </w:rPr>
        <w:t xml:space="preserve"> con</w:t>
      </w:r>
      <w:r>
        <w:rPr>
          <w:i w:val="0"/>
          <w:szCs w:val="20"/>
        </w:rPr>
        <w:t xml:space="preserve"> el</w:t>
      </w:r>
      <w:r w:rsidRPr="00CC04EC">
        <w:rPr>
          <w:i w:val="0"/>
          <w:szCs w:val="20"/>
        </w:rPr>
        <w:t xml:space="preserve"> VIH por una enfermera a pesar de que no tiene la infección, lo cual generó sentimientos de culpa </w:t>
      </w:r>
      <w:r>
        <w:rPr>
          <w:i w:val="0"/>
          <w:szCs w:val="20"/>
        </w:rPr>
        <w:t xml:space="preserve">en el señor Hernández </w:t>
      </w:r>
      <w:proofErr w:type="spellStart"/>
      <w:r>
        <w:rPr>
          <w:i w:val="0"/>
          <w:szCs w:val="20"/>
        </w:rPr>
        <w:t>Hernández</w:t>
      </w:r>
      <w:proofErr w:type="spellEnd"/>
      <w:r w:rsidRPr="00CC04EC">
        <w:rPr>
          <w:rStyle w:val="Refdenotaalpie"/>
          <w:i w:val="0"/>
        </w:rPr>
        <w:footnoteReference w:id="323"/>
      </w:r>
      <w:r>
        <w:rPr>
          <w:i w:val="0"/>
          <w:szCs w:val="20"/>
        </w:rPr>
        <w:t>.</w:t>
      </w:r>
    </w:p>
    <w:p w14:paraId="775F972D" w14:textId="77777777" w:rsidR="003C2AC6" w:rsidRPr="00CE191B" w:rsidRDefault="003C2AC6" w:rsidP="003C2AC6">
      <w:pPr>
        <w:pStyle w:val="Estilo1"/>
        <w:tabs>
          <w:tab w:val="left" w:pos="709"/>
          <w:tab w:val="left" w:pos="1134"/>
        </w:tabs>
        <w:spacing w:after="0"/>
        <w:ind w:left="0" w:right="-4" w:firstLine="0"/>
        <w:rPr>
          <w:i w:val="0"/>
          <w:szCs w:val="20"/>
        </w:rPr>
      </w:pPr>
    </w:p>
    <w:p w14:paraId="2937A0D2"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conforma por su esposa, N</w:t>
      </w:r>
      <w:r>
        <w:rPr>
          <w:i w:val="0"/>
          <w:szCs w:val="20"/>
        </w:rPr>
        <w:t xml:space="preserve">idya Roxana </w:t>
      </w:r>
      <w:proofErr w:type="spellStart"/>
      <w:r>
        <w:rPr>
          <w:i w:val="0"/>
          <w:szCs w:val="20"/>
        </w:rPr>
        <w:t>Zapet</w:t>
      </w:r>
      <w:proofErr w:type="spellEnd"/>
      <w:r>
        <w:rPr>
          <w:i w:val="0"/>
          <w:szCs w:val="20"/>
        </w:rPr>
        <w:t xml:space="preserve"> Gómez, su hijo </w:t>
      </w:r>
      <w:proofErr w:type="spellStart"/>
      <w:r>
        <w:rPr>
          <w:i w:val="0"/>
          <w:szCs w:val="20"/>
        </w:rPr>
        <w:t>Mardo</w:t>
      </w:r>
      <w:proofErr w:type="spellEnd"/>
      <w:r>
        <w:rPr>
          <w:i w:val="0"/>
          <w:szCs w:val="20"/>
        </w:rPr>
        <w:t xml:space="preserve"> Kleiber Hernández </w:t>
      </w:r>
      <w:proofErr w:type="spellStart"/>
      <w:r>
        <w:rPr>
          <w:i w:val="0"/>
          <w:szCs w:val="20"/>
        </w:rPr>
        <w:t>Zapet</w:t>
      </w:r>
      <w:proofErr w:type="spellEnd"/>
      <w:r>
        <w:rPr>
          <w:i w:val="0"/>
          <w:szCs w:val="20"/>
        </w:rPr>
        <w:t>,</w:t>
      </w:r>
      <w:r w:rsidRPr="00CC04EC">
        <w:rPr>
          <w:i w:val="0"/>
          <w:szCs w:val="20"/>
        </w:rPr>
        <w:t xml:space="preserve"> su madre </w:t>
      </w:r>
      <w:r>
        <w:rPr>
          <w:i w:val="0"/>
          <w:szCs w:val="20"/>
        </w:rPr>
        <w:t xml:space="preserve">Irma </w:t>
      </w:r>
      <w:proofErr w:type="spellStart"/>
      <w:r>
        <w:rPr>
          <w:i w:val="0"/>
          <w:szCs w:val="20"/>
        </w:rPr>
        <w:t>Erminia</w:t>
      </w:r>
      <w:proofErr w:type="spellEnd"/>
      <w:r>
        <w:rPr>
          <w:i w:val="0"/>
          <w:szCs w:val="20"/>
        </w:rPr>
        <w:t xml:space="preserve"> Hernández Mérida, </w:t>
      </w:r>
      <w:r w:rsidRPr="00CC04EC">
        <w:rPr>
          <w:i w:val="0"/>
          <w:szCs w:val="20"/>
        </w:rPr>
        <w:t>su padre F</w:t>
      </w:r>
      <w:r>
        <w:rPr>
          <w:i w:val="0"/>
          <w:szCs w:val="20"/>
        </w:rPr>
        <w:t>rancisco Luis Hernández Ramírez, su hermano</w:t>
      </w:r>
      <w:r w:rsidRPr="00CC04EC">
        <w:rPr>
          <w:i w:val="0"/>
          <w:szCs w:val="20"/>
        </w:rPr>
        <w:t xml:space="preserve"> </w:t>
      </w:r>
      <w:proofErr w:type="spellStart"/>
      <w:r w:rsidRPr="00CC04EC">
        <w:rPr>
          <w:i w:val="0"/>
          <w:szCs w:val="20"/>
        </w:rPr>
        <w:t>Menfil</w:t>
      </w:r>
      <w:proofErr w:type="spellEnd"/>
      <w:r w:rsidRPr="00CC04EC">
        <w:rPr>
          <w:i w:val="0"/>
          <w:szCs w:val="20"/>
        </w:rPr>
        <w:t xml:space="preserve"> </w:t>
      </w:r>
      <w:proofErr w:type="spellStart"/>
      <w:r w:rsidRPr="00CC04EC">
        <w:rPr>
          <w:i w:val="0"/>
          <w:szCs w:val="20"/>
        </w:rPr>
        <w:t>Elsido</w:t>
      </w:r>
      <w:proofErr w:type="spellEnd"/>
      <w:r w:rsidRPr="00CC04EC">
        <w:rPr>
          <w:i w:val="0"/>
          <w:szCs w:val="20"/>
        </w:rPr>
        <w:t xml:space="preserve"> He</w:t>
      </w:r>
      <w:r>
        <w:rPr>
          <w:i w:val="0"/>
          <w:szCs w:val="20"/>
        </w:rPr>
        <w:t xml:space="preserve">rnández </w:t>
      </w:r>
      <w:proofErr w:type="spellStart"/>
      <w:r>
        <w:rPr>
          <w:i w:val="0"/>
          <w:szCs w:val="20"/>
        </w:rPr>
        <w:t>Hernández</w:t>
      </w:r>
      <w:proofErr w:type="spellEnd"/>
      <w:r>
        <w:rPr>
          <w:i w:val="0"/>
          <w:szCs w:val="20"/>
        </w:rPr>
        <w:t>, y su hermana</w:t>
      </w:r>
      <w:r w:rsidRPr="00CC04EC">
        <w:rPr>
          <w:i w:val="0"/>
          <w:szCs w:val="20"/>
        </w:rPr>
        <w:t xml:space="preserve"> Jessica </w:t>
      </w:r>
      <w:proofErr w:type="spellStart"/>
      <w:r w:rsidRPr="00CC04EC">
        <w:rPr>
          <w:i w:val="0"/>
          <w:szCs w:val="20"/>
        </w:rPr>
        <w:t>Isenia</w:t>
      </w:r>
      <w:proofErr w:type="spellEnd"/>
      <w:r w:rsidRPr="00CC04EC">
        <w:rPr>
          <w:i w:val="0"/>
          <w:szCs w:val="20"/>
        </w:rPr>
        <w:t xml:space="preserve"> Hernández </w:t>
      </w:r>
      <w:proofErr w:type="spellStart"/>
      <w:r w:rsidRPr="00CC04EC">
        <w:rPr>
          <w:i w:val="0"/>
          <w:szCs w:val="20"/>
        </w:rPr>
        <w:t>Hernández</w:t>
      </w:r>
      <w:proofErr w:type="spellEnd"/>
      <w:r w:rsidRPr="00CC04EC">
        <w:rPr>
          <w:rStyle w:val="Refdenotaalpie"/>
          <w:i w:val="0"/>
        </w:rPr>
        <w:footnoteReference w:id="324"/>
      </w:r>
      <w:r>
        <w:rPr>
          <w:i w:val="0"/>
          <w:szCs w:val="20"/>
        </w:rPr>
        <w:t>.</w:t>
      </w:r>
    </w:p>
    <w:p w14:paraId="56215B59" w14:textId="77777777" w:rsidR="003C2AC6" w:rsidRDefault="003C2AC6" w:rsidP="003C2AC6">
      <w:pPr>
        <w:pStyle w:val="PrrafodeSentencia"/>
      </w:pPr>
    </w:p>
    <w:p w14:paraId="58BA54F9" w14:textId="77777777" w:rsidR="003C2AC6" w:rsidRDefault="003C2AC6" w:rsidP="003C2AC6">
      <w:pPr>
        <w:pStyle w:val="PrrafodeSentencia"/>
      </w:pPr>
      <w:r>
        <w:tab/>
        <w:t>B.17.</w:t>
      </w:r>
      <w:r w:rsidRPr="00CC04EC">
        <w:t xml:space="preserve"> Luis Armando Linares Ruano</w:t>
      </w:r>
    </w:p>
    <w:p w14:paraId="7F5AC705" w14:textId="77777777" w:rsidR="003C2AC6" w:rsidRPr="00CC04EC" w:rsidRDefault="003C2AC6" w:rsidP="003C2AC6">
      <w:pPr>
        <w:pStyle w:val="PrrafodeSentencia"/>
      </w:pPr>
    </w:p>
    <w:p w14:paraId="5892009A"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El señor Linares Ruano</w:t>
      </w:r>
      <w:r>
        <w:rPr>
          <w:i w:val="0"/>
          <w:szCs w:val="20"/>
        </w:rPr>
        <w:t xml:space="preserve"> nació el 10 de noviembre de 1969</w:t>
      </w:r>
      <w:r w:rsidRPr="00CC04EC">
        <w:rPr>
          <w:i w:val="0"/>
          <w:szCs w:val="20"/>
        </w:rPr>
        <w:t xml:space="preserve"> </w:t>
      </w:r>
      <w:r>
        <w:rPr>
          <w:i w:val="0"/>
          <w:szCs w:val="20"/>
        </w:rPr>
        <w:t>en el</w:t>
      </w:r>
      <w:r w:rsidRPr="00CC04EC">
        <w:rPr>
          <w:i w:val="0"/>
          <w:szCs w:val="20"/>
        </w:rPr>
        <w:t xml:space="preserve"> Municipio de Jalpatagua, Departamento de Jutiapa, Guatemala. Reside en la Ci</w:t>
      </w:r>
      <w:r>
        <w:rPr>
          <w:i w:val="0"/>
          <w:szCs w:val="20"/>
        </w:rPr>
        <w:t>udad de Guatemala, Guatemala. Fue</w:t>
      </w:r>
      <w:r w:rsidRPr="00CC04EC">
        <w:rPr>
          <w:i w:val="0"/>
          <w:szCs w:val="20"/>
        </w:rPr>
        <w:t xml:space="preserve"> </w:t>
      </w:r>
      <w:r>
        <w:rPr>
          <w:i w:val="0"/>
          <w:szCs w:val="20"/>
        </w:rPr>
        <w:t>diagnosticado</w:t>
      </w:r>
      <w:r w:rsidRPr="00CC04EC">
        <w:rPr>
          <w:i w:val="0"/>
          <w:szCs w:val="20"/>
        </w:rPr>
        <w:t xml:space="preserve"> en</w:t>
      </w:r>
      <w:r>
        <w:rPr>
          <w:i w:val="0"/>
          <w:szCs w:val="20"/>
        </w:rPr>
        <w:t xml:space="preserve"> el año</w:t>
      </w:r>
      <w:r w:rsidRPr="00CC04EC">
        <w:rPr>
          <w:i w:val="0"/>
          <w:szCs w:val="20"/>
        </w:rPr>
        <w:t xml:space="preserve"> 1984, en la Asociación Guatemalteca de Atención Sexual. Estuvo aproximadamente 14 año</w:t>
      </w:r>
      <w:r>
        <w:rPr>
          <w:i w:val="0"/>
          <w:szCs w:val="20"/>
        </w:rPr>
        <w:t>s sin recibir tratamiento médico, el</w:t>
      </w:r>
      <w:r w:rsidRPr="00CC04EC">
        <w:rPr>
          <w:i w:val="0"/>
          <w:szCs w:val="20"/>
        </w:rPr>
        <w:t xml:space="preserve"> cual obtuvo por primera vez </w:t>
      </w:r>
      <w:r>
        <w:rPr>
          <w:i w:val="0"/>
          <w:szCs w:val="20"/>
        </w:rPr>
        <w:t>en el Hospital San Juan de Dios, posteriormente en el</w:t>
      </w:r>
      <w:r w:rsidRPr="00CC04EC">
        <w:rPr>
          <w:i w:val="0"/>
          <w:szCs w:val="20"/>
        </w:rPr>
        <w:t xml:space="preserve"> Hospital Roosevelt y finalmente en el IGSS. Con su tratamiento recibió antir</w:t>
      </w:r>
      <w:r>
        <w:rPr>
          <w:i w:val="0"/>
          <w:szCs w:val="20"/>
        </w:rPr>
        <w:t>r</w:t>
      </w:r>
      <w:r w:rsidRPr="00CC04EC">
        <w:rPr>
          <w:i w:val="0"/>
          <w:szCs w:val="20"/>
        </w:rPr>
        <w:t xml:space="preserve">etrovirales. Le han realizado exámenes de CD4 y de carga </w:t>
      </w:r>
      <w:r w:rsidRPr="00CC04EC">
        <w:rPr>
          <w:i w:val="0"/>
          <w:szCs w:val="20"/>
        </w:rPr>
        <w:lastRenderedPageBreak/>
        <w:t>viral. En una ocasión</w:t>
      </w:r>
      <w:r>
        <w:rPr>
          <w:i w:val="0"/>
          <w:szCs w:val="20"/>
        </w:rPr>
        <w:t>,</w:t>
      </w:r>
      <w:r w:rsidRPr="00CC04EC">
        <w:rPr>
          <w:i w:val="0"/>
          <w:szCs w:val="20"/>
        </w:rPr>
        <w:t xml:space="preserve"> en el Hospital Roosevelt, le hicieron examen de</w:t>
      </w:r>
      <w:r>
        <w:rPr>
          <w:i w:val="0"/>
          <w:szCs w:val="20"/>
        </w:rPr>
        <w:t xml:space="preserve"> genotipo. Ha padecido neumonía</w:t>
      </w:r>
      <w:r w:rsidRPr="00CC04EC">
        <w:rPr>
          <w:i w:val="0"/>
          <w:szCs w:val="20"/>
        </w:rPr>
        <w:t xml:space="preserve"> así como otros padecimientos como debilidad, diarreas, </w:t>
      </w:r>
      <w:r>
        <w:rPr>
          <w:i w:val="0"/>
          <w:szCs w:val="20"/>
        </w:rPr>
        <w:t>dolores de cabeza muy intensos, mareo y</w:t>
      </w:r>
      <w:r w:rsidRPr="00CC04EC">
        <w:rPr>
          <w:i w:val="0"/>
          <w:szCs w:val="20"/>
        </w:rPr>
        <w:t xml:space="preserve"> lipomas en diversas partes del cuerpo (brazos, piernas y cintura). No ha recibido apoyo nutricional, social, psicológico o atención familiar, comunitaria y domiciliaria. Sí recibe preservativos a libre demanda. El señor Linares Ruano afirmó que no ha podido conseguir varios trabajos con motivo de su orientación sexual y po</w:t>
      </w:r>
      <w:r>
        <w:rPr>
          <w:i w:val="0"/>
          <w:szCs w:val="20"/>
        </w:rPr>
        <w:t>rque tiene que hacerse exámenes</w:t>
      </w:r>
      <w:r w:rsidRPr="00CC04EC">
        <w:rPr>
          <w:rStyle w:val="Refdenotaalpie"/>
          <w:i w:val="0"/>
        </w:rPr>
        <w:footnoteReference w:id="325"/>
      </w:r>
      <w:r>
        <w:rPr>
          <w:i w:val="0"/>
          <w:szCs w:val="20"/>
        </w:rPr>
        <w:t>.</w:t>
      </w:r>
    </w:p>
    <w:p w14:paraId="742E0276" w14:textId="77777777" w:rsidR="003C2AC6" w:rsidRDefault="003C2AC6" w:rsidP="003C2AC6">
      <w:pPr>
        <w:pStyle w:val="PrrafodeSentencia"/>
      </w:pPr>
    </w:p>
    <w:p w14:paraId="24216600" w14:textId="77777777" w:rsidR="003C2AC6" w:rsidRDefault="003C2AC6" w:rsidP="003C2AC6">
      <w:pPr>
        <w:pStyle w:val="PrrafodeSentencia"/>
      </w:pPr>
      <w:r>
        <w:tab/>
        <w:t>B.18.</w:t>
      </w:r>
      <w:r w:rsidRPr="00CC04EC">
        <w:t xml:space="preserve"> Marta Alicia Maldonado Paz</w:t>
      </w:r>
    </w:p>
    <w:p w14:paraId="3052CE84" w14:textId="77777777" w:rsidR="003C2AC6" w:rsidRPr="00CC04EC" w:rsidRDefault="003C2AC6" w:rsidP="003C2AC6">
      <w:pPr>
        <w:pStyle w:val="PrrafodeSentencia"/>
      </w:pPr>
    </w:p>
    <w:p w14:paraId="73C9607D"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La señora Maldonado Paz nació el 27 de abril de 1980. Fue diagnosticada el </w:t>
      </w:r>
      <w:r>
        <w:rPr>
          <w:i w:val="0"/>
          <w:szCs w:val="20"/>
        </w:rPr>
        <w:t>4</w:t>
      </w:r>
      <w:r w:rsidRPr="00CC04EC">
        <w:rPr>
          <w:i w:val="0"/>
          <w:szCs w:val="20"/>
        </w:rPr>
        <w:t xml:space="preserve"> de diciembre de 2001, por el Proyecto Vida de MSF. Inició tratamiento antirretroviral en 2003, en dicha organización. Con posterioridad fue transferida a la Clínica 12 del Hospital Nacional de Coatepeque. Le han practicado </w:t>
      </w:r>
      <w:r>
        <w:rPr>
          <w:i w:val="0"/>
          <w:szCs w:val="20"/>
        </w:rPr>
        <w:t xml:space="preserve">algunos </w:t>
      </w:r>
      <w:r w:rsidRPr="00CC04EC">
        <w:rPr>
          <w:i w:val="0"/>
          <w:szCs w:val="20"/>
        </w:rPr>
        <w:t xml:space="preserve">exámenes de CD4 y de carga viral. Ha padecido de papilomatosis </w:t>
      </w:r>
      <w:proofErr w:type="spellStart"/>
      <w:r w:rsidRPr="00CC04EC">
        <w:rPr>
          <w:i w:val="0"/>
          <w:szCs w:val="20"/>
        </w:rPr>
        <w:t>vulvar</w:t>
      </w:r>
      <w:proofErr w:type="spellEnd"/>
      <w:r w:rsidRPr="00CC04EC">
        <w:rPr>
          <w:i w:val="0"/>
          <w:szCs w:val="20"/>
        </w:rPr>
        <w:t xml:space="preserve"> y anal, candidiasis oral y vaginal, papilomatosis oral, </w:t>
      </w:r>
      <w:proofErr w:type="spellStart"/>
      <w:r w:rsidRPr="00CC04EC">
        <w:rPr>
          <w:i w:val="0"/>
          <w:szCs w:val="20"/>
        </w:rPr>
        <w:t>tinia</w:t>
      </w:r>
      <w:proofErr w:type="spellEnd"/>
      <w:r w:rsidRPr="00CC04EC">
        <w:rPr>
          <w:i w:val="0"/>
          <w:szCs w:val="20"/>
        </w:rPr>
        <w:t xml:space="preserve"> </w:t>
      </w:r>
      <w:proofErr w:type="spellStart"/>
      <w:r w:rsidRPr="00CC04EC">
        <w:rPr>
          <w:i w:val="0"/>
          <w:szCs w:val="20"/>
        </w:rPr>
        <w:t>pedis</w:t>
      </w:r>
      <w:proofErr w:type="spellEnd"/>
      <w:r w:rsidRPr="00CC04EC">
        <w:rPr>
          <w:i w:val="0"/>
          <w:szCs w:val="20"/>
        </w:rPr>
        <w:t>, desnutrición grado II e histoplasmosis. Trabajaba en un almacén antes de ser diagnosticada y con posterioridad fue recep</w:t>
      </w:r>
      <w:r>
        <w:rPr>
          <w:i w:val="0"/>
          <w:szCs w:val="20"/>
        </w:rPr>
        <w:t>cionista de Proyecto Vida</w:t>
      </w:r>
      <w:r w:rsidRPr="00CC04EC">
        <w:rPr>
          <w:rStyle w:val="Refdenotaalpie"/>
          <w:i w:val="0"/>
        </w:rPr>
        <w:footnoteReference w:id="326"/>
      </w:r>
      <w:r>
        <w:rPr>
          <w:i w:val="0"/>
          <w:szCs w:val="20"/>
        </w:rPr>
        <w:t>.</w:t>
      </w:r>
    </w:p>
    <w:p w14:paraId="0F8780A4" w14:textId="77777777" w:rsidR="003C2AC6" w:rsidRPr="00CC04EC" w:rsidRDefault="003C2AC6" w:rsidP="003C2AC6">
      <w:pPr>
        <w:pStyle w:val="Estilo1"/>
        <w:tabs>
          <w:tab w:val="left" w:pos="709"/>
          <w:tab w:val="left" w:pos="1134"/>
        </w:tabs>
        <w:spacing w:after="0"/>
        <w:ind w:left="0" w:right="-4" w:firstLine="0"/>
        <w:rPr>
          <w:i w:val="0"/>
          <w:szCs w:val="20"/>
        </w:rPr>
      </w:pPr>
    </w:p>
    <w:p w14:paraId="5C5ED656"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w:t>
      </w:r>
      <w:r>
        <w:rPr>
          <w:i w:val="0"/>
          <w:szCs w:val="20"/>
        </w:rPr>
        <w:t>ncontraba formado por su esposo Carlos Humberto Vásquez Pérez, sus hijas</w:t>
      </w:r>
      <w:r w:rsidRPr="00CC04EC">
        <w:rPr>
          <w:i w:val="0"/>
          <w:szCs w:val="20"/>
        </w:rPr>
        <w:t xml:space="preserve"> Delia </w:t>
      </w:r>
      <w:proofErr w:type="spellStart"/>
      <w:r w:rsidRPr="00CC04EC">
        <w:rPr>
          <w:i w:val="0"/>
          <w:szCs w:val="20"/>
        </w:rPr>
        <w:t>Marlenee</w:t>
      </w:r>
      <w:proofErr w:type="spellEnd"/>
      <w:r w:rsidRPr="00CC04EC">
        <w:rPr>
          <w:i w:val="0"/>
          <w:szCs w:val="20"/>
        </w:rPr>
        <w:t xml:space="preserve"> y Adela Nohemí (falle</w:t>
      </w:r>
      <w:r>
        <w:rPr>
          <w:i w:val="0"/>
          <w:szCs w:val="20"/>
        </w:rPr>
        <w:t>cida), ambas de apellidos Pérez Maldonado, y su hermana</w:t>
      </w:r>
      <w:r w:rsidRPr="00CC04EC">
        <w:rPr>
          <w:i w:val="0"/>
          <w:szCs w:val="20"/>
        </w:rPr>
        <w:t xml:space="preserve"> Telma Maldonado Andrade</w:t>
      </w:r>
      <w:r w:rsidRPr="00CC04EC">
        <w:rPr>
          <w:rStyle w:val="Refdenotaalpie"/>
          <w:i w:val="0"/>
        </w:rPr>
        <w:footnoteReference w:id="327"/>
      </w:r>
      <w:r>
        <w:rPr>
          <w:i w:val="0"/>
          <w:szCs w:val="20"/>
        </w:rPr>
        <w:t>.</w:t>
      </w:r>
    </w:p>
    <w:p w14:paraId="3D519B60" w14:textId="77777777" w:rsidR="003C2AC6" w:rsidRDefault="003C2AC6" w:rsidP="003C2AC6">
      <w:pPr>
        <w:pStyle w:val="PrrafodeSentencia"/>
      </w:pPr>
    </w:p>
    <w:p w14:paraId="7EC28E8F" w14:textId="77777777" w:rsidR="003C2AC6" w:rsidRDefault="003C2AC6" w:rsidP="003C2AC6">
      <w:pPr>
        <w:pStyle w:val="PrrafodeSentencia"/>
      </w:pPr>
      <w:r>
        <w:tab/>
        <w:t>B.19.</w:t>
      </w:r>
      <w:r w:rsidRPr="00CC04EC">
        <w:t xml:space="preserve"> Dora Marina Martínez Sofoifa</w:t>
      </w:r>
    </w:p>
    <w:p w14:paraId="08E3F83E" w14:textId="77777777" w:rsidR="003C2AC6" w:rsidRPr="00CC04EC" w:rsidRDefault="003C2AC6" w:rsidP="003C2AC6">
      <w:pPr>
        <w:pStyle w:val="PrrafodeSentencia"/>
      </w:pPr>
    </w:p>
    <w:p w14:paraId="2CB71267" w14:textId="77777777" w:rsidR="003C2AC6" w:rsidRPr="00CE191B"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La señora Martínez </w:t>
      </w:r>
      <w:proofErr w:type="spellStart"/>
      <w:r w:rsidRPr="00CC04EC">
        <w:rPr>
          <w:i w:val="0"/>
          <w:szCs w:val="20"/>
        </w:rPr>
        <w:t>Sofoifa</w:t>
      </w:r>
      <w:proofErr w:type="spellEnd"/>
      <w:r>
        <w:rPr>
          <w:i w:val="0"/>
          <w:szCs w:val="20"/>
        </w:rPr>
        <w:t xml:space="preserve"> nació el 10 de septiembre de 1971</w:t>
      </w:r>
      <w:r w:rsidRPr="00CC04EC">
        <w:rPr>
          <w:i w:val="0"/>
          <w:szCs w:val="20"/>
        </w:rPr>
        <w:t xml:space="preserve"> </w:t>
      </w:r>
      <w:r>
        <w:rPr>
          <w:i w:val="0"/>
          <w:szCs w:val="20"/>
        </w:rPr>
        <w:t>en el</w:t>
      </w:r>
      <w:r w:rsidRPr="00CC04EC">
        <w:rPr>
          <w:i w:val="0"/>
          <w:szCs w:val="20"/>
        </w:rPr>
        <w:t xml:space="preserve"> Municipio de </w:t>
      </w:r>
      <w:proofErr w:type="spellStart"/>
      <w:r w:rsidRPr="00CC04EC">
        <w:rPr>
          <w:i w:val="0"/>
          <w:szCs w:val="20"/>
        </w:rPr>
        <w:t>Ocos</w:t>
      </w:r>
      <w:proofErr w:type="spellEnd"/>
      <w:r w:rsidRPr="00CC04EC">
        <w:rPr>
          <w:i w:val="0"/>
          <w:szCs w:val="20"/>
        </w:rPr>
        <w:t>, Departame</w:t>
      </w:r>
      <w:r>
        <w:rPr>
          <w:i w:val="0"/>
          <w:szCs w:val="20"/>
        </w:rPr>
        <w:t xml:space="preserve">nto de San Marcos, Guatemala. </w:t>
      </w:r>
      <w:r w:rsidRPr="00CC04EC">
        <w:rPr>
          <w:i w:val="0"/>
          <w:szCs w:val="20"/>
        </w:rPr>
        <w:t>Reside en el Caserío Silencio, Municipio de Coatepeque, Departamento de Quetzaltenango, Guatemala. Se dedica a las labores doméstica</w:t>
      </w:r>
      <w:r>
        <w:rPr>
          <w:i w:val="0"/>
          <w:szCs w:val="20"/>
        </w:rPr>
        <w:t>s. Fue diagnosticada en 1998 en</w:t>
      </w:r>
      <w:r w:rsidRPr="00CC04EC">
        <w:rPr>
          <w:i w:val="0"/>
          <w:szCs w:val="20"/>
        </w:rPr>
        <w:t xml:space="preserve"> el Hospital Nacional de Coatepeque, donde acudió porque tenía fiebre y desnutrición. No recibió tratamiento médico por VIH durante los primeros años tras su diagnóstico debido a que en el hospital le explicaron que no habían los medicamentos necesarios para su tratamiento. En</w:t>
      </w:r>
      <w:r>
        <w:rPr>
          <w:i w:val="0"/>
          <w:szCs w:val="20"/>
        </w:rPr>
        <w:t xml:space="preserve"> el año</w:t>
      </w:r>
      <w:r w:rsidRPr="00CC04EC">
        <w:rPr>
          <w:i w:val="0"/>
          <w:szCs w:val="20"/>
        </w:rPr>
        <w:t xml:space="preserve"> 2004 fue atendida por MSF, donde le hicieron exámenes de CD4 y le indicaron el tratamiento antirretroviral. En 2010 fue transferida nuevamente al Hospital Nacional de Coatepeque. Los exámenes de CD4 y de carga viral son irregulares.</w:t>
      </w:r>
      <w:r>
        <w:rPr>
          <w:b/>
          <w:i w:val="0"/>
          <w:szCs w:val="20"/>
        </w:rPr>
        <w:t xml:space="preserve"> </w:t>
      </w:r>
      <w:r w:rsidRPr="00CC04EC">
        <w:rPr>
          <w:i w:val="0"/>
          <w:szCs w:val="20"/>
        </w:rPr>
        <w:t>En 2014 se quedaron varios meses sin antirretrovirales. Ha padecid</w:t>
      </w:r>
      <w:r>
        <w:rPr>
          <w:i w:val="0"/>
          <w:szCs w:val="20"/>
        </w:rPr>
        <w:t>o de colesterol y lipodistrofia</w:t>
      </w:r>
      <w:r w:rsidRPr="00CC04EC">
        <w:rPr>
          <w:rStyle w:val="Refdenotaalpie"/>
          <w:i w:val="0"/>
        </w:rPr>
        <w:footnoteReference w:id="328"/>
      </w:r>
      <w:r>
        <w:rPr>
          <w:i w:val="0"/>
          <w:szCs w:val="20"/>
        </w:rPr>
        <w:t>.</w:t>
      </w:r>
    </w:p>
    <w:p w14:paraId="0649D5E2" w14:textId="77777777" w:rsidR="003C2AC6" w:rsidRPr="00CC04EC" w:rsidRDefault="003C2AC6" w:rsidP="003C2AC6">
      <w:pPr>
        <w:pStyle w:val="Estilo1"/>
        <w:tabs>
          <w:tab w:val="left" w:pos="709"/>
          <w:tab w:val="left" w:pos="1134"/>
        </w:tabs>
        <w:spacing w:after="0"/>
        <w:ind w:left="0" w:right="-4" w:firstLine="0"/>
        <w:rPr>
          <w:i w:val="0"/>
          <w:szCs w:val="20"/>
        </w:rPr>
      </w:pPr>
    </w:p>
    <w:p w14:paraId="599EF81F"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La señora Martínez </w:t>
      </w:r>
      <w:proofErr w:type="spellStart"/>
      <w:r w:rsidRPr="00CC04EC">
        <w:rPr>
          <w:i w:val="0"/>
          <w:szCs w:val="20"/>
        </w:rPr>
        <w:t>Sofoifa</w:t>
      </w:r>
      <w:proofErr w:type="spellEnd"/>
      <w:r w:rsidRPr="00CC04EC">
        <w:rPr>
          <w:i w:val="0"/>
          <w:szCs w:val="20"/>
        </w:rPr>
        <w:t xml:space="preserve"> manifestó que el </w:t>
      </w:r>
      <w:r>
        <w:rPr>
          <w:i w:val="0"/>
          <w:szCs w:val="20"/>
        </w:rPr>
        <w:t>trato del personal del hospital fue diferente</w:t>
      </w:r>
      <w:r w:rsidRPr="00CC04EC">
        <w:rPr>
          <w:i w:val="0"/>
          <w:szCs w:val="20"/>
        </w:rPr>
        <w:t xml:space="preserve"> después de saber el diagnostico</w:t>
      </w:r>
      <w:r>
        <w:rPr>
          <w:i w:val="0"/>
          <w:szCs w:val="20"/>
        </w:rPr>
        <w:t>. Señaló también que</w:t>
      </w:r>
      <w:r w:rsidRPr="00CC04EC">
        <w:rPr>
          <w:i w:val="0"/>
          <w:szCs w:val="20"/>
        </w:rPr>
        <w:t xml:space="preserve"> la clínica</w:t>
      </w:r>
      <w:r>
        <w:rPr>
          <w:i w:val="0"/>
          <w:szCs w:val="20"/>
        </w:rPr>
        <w:t xml:space="preserve"> donde es atendida</w:t>
      </w:r>
      <w:r w:rsidRPr="00CC04EC">
        <w:rPr>
          <w:i w:val="0"/>
          <w:szCs w:val="20"/>
        </w:rPr>
        <w:t xml:space="preserve"> se encuentra </w:t>
      </w:r>
      <w:r w:rsidRPr="00CC04EC">
        <w:rPr>
          <w:i w:val="0"/>
          <w:szCs w:val="20"/>
        </w:rPr>
        <w:lastRenderedPageBreak/>
        <w:t>a 4 kilómetros de su hogar, y</w:t>
      </w:r>
      <w:r>
        <w:rPr>
          <w:i w:val="0"/>
          <w:szCs w:val="20"/>
        </w:rPr>
        <w:t xml:space="preserve"> que</w:t>
      </w:r>
      <w:r w:rsidRPr="00CC04EC">
        <w:rPr>
          <w:i w:val="0"/>
          <w:szCs w:val="20"/>
        </w:rPr>
        <w:t xml:space="preserve"> debido a la distancia, al costo del traslado y a los peligros de la zona donde vive, tiene que irse </w:t>
      </w:r>
      <w:r>
        <w:rPr>
          <w:i w:val="0"/>
          <w:szCs w:val="20"/>
        </w:rPr>
        <w:t>a su cita en la madrugada y esperar al lado de la sala de emergencias para ser atendida</w:t>
      </w:r>
      <w:r w:rsidRPr="00CC04EC">
        <w:rPr>
          <w:rStyle w:val="Refdenotaalpie"/>
          <w:i w:val="0"/>
        </w:rPr>
        <w:footnoteReference w:id="329"/>
      </w:r>
      <w:r w:rsidRPr="00CC04EC">
        <w:rPr>
          <w:i w:val="0"/>
          <w:szCs w:val="20"/>
        </w:rPr>
        <w:t>.</w:t>
      </w:r>
    </w:p>
    <w:p w14:paraId="42A19FDE" w14:textId="77777777" w:rsidR="003C2AC6" w:rsidRDefault="003C2AC6" w:rsidP="003C2AC6">
      <w:pPr>
        <w:pStyle w:val="PrrafodeSentencia"/>
      </w:pPr>
    </w:p>
    <w:p w14:paraId="4D7EE2FC" w14:textId="77777777" w:rsidR="003C2AC6" w:rsidRDefault="003C2AC6" w:rsidP="003C2AC6">
      <w:pPr>
        <w:pStyle w:val="PrrafodeSentencia"/>
      </w:pPr>
      <w:r>
        <w:tab/>
        <w:t>B.20.</w:t>
      </w:r>
      <w:r w:rsidRPr="00CC04EC">
        <w:t xml:space="preserve"> Pascuala de Jesús Mérida Rodríguez</w:t>
      </w:r>
    </w:p>
    <w:p w14:paraId="17D6C780" w14:textId="77777777" w:rsidR="003C2AC6" w:rsidRPr="00CC04EC" w:rsidRDefault="003C2AC6" w:rsidP="003C2AC6">
      <w:pPr>
        <w:pStyle w:val="PrrafodeSentencia"/>
      </w:pPr>
    </w:p>
    <w:p w14:paraId="25B026D5" w14:textId="09A6245D" w:rsidR="003C2AC6"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La señora Mérida Rodrí</w:t>
      </w:r>
      <w:r w:rsidRPr="00CC04EC">
        <w:rPr>
          <w:i w:val="0"/>
          <w:szCs w:val="20"/>
        </w:rPr>
        <w:t>guez</w:t>
      </w:r>
      <w:r>
        <w:rPr>
          <w:i w:val="0"/>
          <w:szCs w:val="20"/>
        </w:rPr>
        <w:t xml:space="preserve"> nació el 25 de abril de 1975</w:t>
      </w:r>
      <w:r w:rsidRPr="00CC04EC">
        <w:rPr>
          <w:i w:val="0"/>
          <w:szCs w:val="20"/>
        </w:rPr>
        <w:t xml:space="preserve"> </w:t>
      </w:r>
      <w:r>
        <w:rPr>
          <w:i w:val="0"/>
          <w:szCs w:val="20"/>
        </w:rPr>
        <w:t xml:space="preserve">en </w:t>
      </w:r>
      <w:r w:rsidRPr="00CC04EC">
        <w:rPr>
          <w:i w:val="0"/>
          <w:szCs w:val="20"/>
        </w:rPr>
        <w:t xml:space="preserve">el Municipio de San Sebastián, Departamento de Retalhuleu, Guatemala. Reside en Aldea Granados, Sector 2, </w:t>
      </w:r>
      <w:r>
        <w:rPr>
          <w:i w:val="0"/>
          <w:szCs w:val="20"/>
        </w:rPr>
        <w:t xml:space="preserve">Nuevo </w:t>
      </w:r>
      <w:r w:rsidRPr="00CC04EC">
        <w:rPr>
          <w:i w:val="0"/>
          <w:szCs w:val="20"/>
        </w:rPr>
        <w:t>San Carlos, Retalhuleu, Guatemala.</w:t>
      </w:r>
      <w:r>
        <w:rPr>
          <w:i w:val="0"/>
          <w:szCs w:val="20"/>
        </w:rPr>
        <w:t xml:space="preserve"> Estudió</w:t>
      </w:r>
      <w:r w:rsidRPr="00CC04EC">
        <w:rPr>
          <w:i w:val="0"/>
          <w:szCs w:val="20"/>
        </w:rPr>
        <w:t xml:space="preserve"> hasta el tercer grado de primaria. Cuando fue diagnosticada con VIH no desempeñaba ninguna labor. Fue diagnosticada en 2001 en Proyecto Vida de MSF, cuant</w:t>
      </w:r>
      <w:r>
        <w:rPr>
          <w:i w:val="0"/>
          <w:szCs w:val="20"/>
        </w:rPr>
        <w:t>o tenía 5 meses de embarazo</w:t>
      </w:r>
      <w:r w:rsidRPr="00CC04EC">
        <w:rPr>
          <w:i w:val="0"/>
          <w:szCs w:val="20"/>
        </w:rPr>
        <w:t>. En MS</w:t>
      </w:r>
      <w:r>
        <w:rPr>
          <w:i w:val="0"/>
          <w:szCs w:val="20"/>
        </w:rPr>
        <w:t xml:space="preserve">F le proveyeron con </w:t>
      </w:r>
      <w:proofErr w:type="spellStart"/>
      <w:r>
        <w:rPr>
          <w:i w:val="0"/>
          <w:szCs w:val="20"/>
        </w:rPr>
        <w:t>trimetropin</w:t>
      </w:r>
      <w:proofErr w:type="spellEnd"/>
      <w:r w:rsidRPr="00CC04EC">
        <w:rPr>
          <w:i w:val="0"/>
          <w:szCs w:val="20"/>
        </w:rPr>
        <w:t xml:space="preserve"> y recibió TA</w:t>
      </w:r>
      <w:r>
        <w:rPr>
          <w:i w:val="0"/>
          <w:szCs w:val="20"/>
        </w:rPr>
        <w:t>RV por 4 meses hasta que su hijo</w:t>
      </w:r>
      <w:r w:rsidRPr="00CC04EC">
        <w:rPr>
          <w:i w:val="0"/>
          <w:szCs w:val="20"/>
        </w:rPr>
        <w:t xml:space="preserve"> nació. Le han practicado exámenes de CD4 y de carga viral de manera irregular. Fue transferida al Hospital Nacional de Coatepeque, y posteriormente al hospital de </w:t>
      </w:r>
      <w:r w:rsidR="00F87540" w:rsidRPr="00CC04EC">
        <w:rPr>
          <w:i w:val="0"/>
          <w:szCs w:val="20"/>
        </w:rPr>
        <w:t>Retal</w:t>
      </w:r>
      <w:r w:rsidR="00F87540">
        <w:rPr>
          <w:i w:val="0"/>
          <w:szCs w:val="20"/>
        </w:rPr>
        <w:t>hu</w:t>
      </w:r>
      <w:r w:rsidR="00F87540" w:rsidRPr="00CC04EC">
        <w:rPr>
          <w:i w:val="0"/>
          <w:szCs w:val="20"/>
        </w:rPr>
        <w:t>l</w:t>
      </w:r>
      <w:r w:rsidR="00F87540">
        <w:rPr>
          <w:i w:val="0"/>
          <w:szCs w:val="20"/>
        </w:rPr>
        <w:t>e</w:t>
      </w:r>
      <w:r w:rsidR="00F87540" w:rsidRPr="00CC04EC">
        <w:rPr>
          <w:i w:val="0"/>
          <w:szCs w:val="20"/>
        </w:rPr>
        <w:t>u</w:t>
      </w:r>
      <w:r w:rsidRPr="00CC04EC">
        <w:rPr>
          <w:i w:val="0"/>
          <w:szCs w:val="20"/>
        </w:rPr>
        <w:t>. No le han practicado exámenes de genotipo. Ha padecido de diarreas y cefalea.</w:t>
      </w:r>
      <w:r>
        <w:rPr>
          <w:i w:val="0"/>
          <w:szCs w:val="20"/>
        </w:rPr>
        <w:t xml:space="preserve"> Manifestó que e</w:t>
      </w:r>
      <w:r w:rsidRPr="00CC04EC">
        <w:rPr>
          <w:i w:val="0"/>
          <w:szCs w:val="20"/>
        </w:rPr>
        <w:t xml:space="preserve">xistía desabasto de antirretrovirales y en ocasiones le entregaron medicamentos para niños. </w:t>
      </w:r>
      <w:r>
        <w:rPr>
          <w:i w:val="0"/>
          <w:szCs w:val="20"/>
        </w:rPr>
        <w:t>Cuando fue atendida por MSF recibió</w:t>
      </w:r>
      <w:r w:rsidRPr="00CC04EC">
        <w:rPr>
          <w:i w:val="0"/>
          <w:szCs w:val="20"/>
        </w:rPr>
        <w:t xml:space="preserve"> apoyo nutricional y asiste a un grupo de auto apoyo, donde le dan condones para prevenir. No recibe apoyo social, psicológico, ni atención familiar, comunitaria y domiciliaria. </w:t>
      </w:r>
      <w:r>
        <w:rPr>
          <w:i w:val="0"/>
          <w:szCs w:val="20"/>
        </w:rPr>
        <w:t>Manifestó que s</w:t>
      </w:r>
      <w:r w:rsidRPr="00CC04EC">
        <w:rPr>
          <w:i w:val="0"/>
          <w:szCs w:val="20"/>
        </w:rPr>
        <w:t xml:space="preserve">u suegra la </w:t>
      </w:r>
      <w:r>
        <w:rPr>
          <w:i w:val="0"/>
          <w:szCs w:val="20"/>
        </w:rPr>
        <w:t>“</w:t>
      </w:r>
      <w:r w:rsidRPr="00CC04EC">
        <w:rPr>
          <w:i w:val="0"/>
          <w:szCs w:val="20"/>
        </w:rPr>
        <w:t>sacó</w:t>
      </w:r>
      <w:r>
        <w:rPr>
          <w:i w:val="0"/>
          <w:szCs w:val="20"/>
        </w:rPr>
        <w:t>”</w:t>
      </w:r>
      <w:r w:rsidRPr="00CC04EC">
        <w:rPr>
          <w:i w:val="0"/>
          <w:szCs w:val="20"/>
        </w:rPr>
        <w:t xml:space="preserve"> de la casa en la que vivía con sus hijos y su esposo (antes de que éste falleciera). Sus hijas sufrieron señalamientos en la escuela primaria, porque les decían que </w:t>
      </w:r>
      <w:r>
        <w:rPr>
          <w:i w:val="0"/>
          <w:szCs w:val="20"/>
        </w:rPr>
        <w:t>“</w:t>
      </w:r>
      <w:r w:rsidRPr="00CC04EC">
        <w:rPr>
          <w:i w:val="0"/>
          <w:szCs w:val="20"/>
        </w:rPr>
        <w:t>ellas también tenían SIDA</w:t>
      </w:r>
      <w:r>
        <w:rPr>
          <w:i w:val="0"/>
          <w:szCs w:val="20"/>
        </w:rPr>
        <w:t>”</w:t>
      </w:r>
      <w:r w:rsidRPr="00CC04EC">
        <w:rPr>
          <w:i w:val="0"/>
          <w:szCs w:val="20"/>
        </w:rPr>
        <w:t>, hasta qu</w:t>
      </w:r>
      <w:r>
        <w:rPr>
          <w:i w:val="0"/>
          <w:szCs w:val="20"/>
        </w:rPr>
        <w:t>e fue a hablar con la directora</w:t>
      </w:r>
      <w:r w:rsidRPr="00CC04EC">
        <w:rPr>
          <w:rStyle w:val="Refdenotaalpie"/>
          <w:i w:val="0"/>
        </w:rPr>
        <w:footnoteReference w:id="330"/>
      </w:r>
      <w:r w:rsidRPr="009523B9">
        <w:rPr>
          <w:i w:val="0"/>
          <w:szCs w:val="20"/>
        </w:rPr>
        <w:t>.</w:t>
      </w:r>
    </w:p>
    <w:p w14:paraId="71CE8F18" w14:textId="77777777" w:rsidR="003C2AC6" w:rsidRPr="00CC04EC" w:rsidRDefault="003C2AC6" w:rsidP="003C2AC6">
      <w:pPr>
        <w:pStyle w:val="Estilo1"/>
        <w:tabs>
          <w:tab w:val="left" w:pos="709"/>
          <w:tab w:val="left" w:pos="1134"/>
        </w:tabs>
        <w:spacing w:after="0"/>
        <w:ind w:left="0" w:right="-4" w:firstLine="0"/>
        <w:rPr>
          <w:i w:val="0"/>
          <w:szCs w:val="20"/>
        </w:rPr>
      </w:pPr>
    </w:p>
    <w:p w14:paraId="1C548422"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 xml:space="preserve">Su núcleo familiar se componía por el padre de sus hijos </w:t>
      </w:r>
      <w:proofErr w:type="spellStart"/>
      <w:r w:rsidRPr="00CC04EC">
        <w:rPr>
          <w:i w:val="0"/>
          <w:szCs w:val="20"/>
        </w:rPr>
        <w:t>Ba</w:t>
      </w:r>
      <w:r>
        <w:rPr>
          <w:i w:val="0"/>
          <w:szCs w:val="20"/>
        </w:rPr>
        <w:t>udillo</w:t>
      </w:r>
      <w:proofErr w:type="spellEnd"/>
      <w:r>
        <w:rPr>
          <w:i w:val="0"/>
          <w:szCs w:val="20"/>
        </w:rPr>
        <w:t xml:space="preserve"> Soto de León (fallecido),</w:t>
      </w:r>
      <w:r w:rsidRPr="00CC04EC">
        <w:rPr>
          <w:i w:val="0"/>
          <w:szCs w:val="20"/>
        </w:rPr>
        <w:t xml:space="preserve"> sus hijas Karla de Jesús Coronado Mérida y Benita del Rosario Soto Mérida</w:t>
      </w:r>
      <w:r>
        <w:rPr>
          <w:i w:val="0"/>
          <w:szCs w:val="20"/>
        </w:rPr>
        <w:t xml:space="preserve"> y su hijo</w:t>
      </w:r>
      <w:r w:rsidRPr="00CC04EC">
        <w:rPr>
          <w:i w:val="0"/>
          <w:szCs w:val="20"/>
        </w:rPr>
        <w:t xml:space="preserve"> E</w:t>
      </w:r>
      <w:r>
        <w:rPr>
          <w:i w:val="0"/>
          <w:szCs w:val="20"/>
        </w:rPr>
        <w:t>rick Alexander Maldonado Mérida, su padre</w:t>
      </w:r>
      <w:r w:rsidRPr="00CC04EC">
        <w:rPr>
          <w:i w:val="0"/>
          <w:szCs w:val="20"/>
        </w:rPr>
        <w:t xml:space="preserve"> Sixto Mérida Mendoza (fallecido </w:t>
      </w:r>
      <w:r>
        <w:rPr>
          <w:i w:val="0"/>
          <w:szCs w:val="20"/>
        </w:rPr>
        <w:t xml:space="preserve">5 años atrás), su madre Herminia Rodríguez </w:t>
      </w:r>
      <w:proofErr w:type="spellStart"/>
      <w:r>
        <w:rPr>
          <w:i w:val="0"/>
          <w:szCs w:val="20"/>
        </w:rPr>
        <w:t>Coculista</w:t>
      </w:r>
      <w:proofErr w:type="spellEnd"/>
      <w:r>
        <w:rPr>
          <w:i w:val="0"/>
          <w:szCs w:val="20"/>
        </w:rPr>
        <w:t>, su hermana</w:t>
      </w:r>
      <w:r w:rsidRPr="00CC04EC">
        <w:rPr>
          <w:i w:val="0"/>
          <w:szCs w:val="20"/>
        </w:rPr>
        <w:t xml:space="preserve"> Mer</w:t>
      </w:r>
      <w:r>
        <w:rPr>
          <w:i w:val="0"/>
          <w:szCs w:val="20"/>
        </w:rPr>
        <w:t xml:space="preserve">cedes Patricia Mérida Rodríguez, y su pareja actual Alejo </w:t>
      </w:r>
      <w:proofErr w:type="spellStart"/>
      <w:r>
        <w:rPr>
          <w:i w:val="0"/>
          <w:szCs w:val="20"/>
        </w:rPr>
        <w:t>Ranferí</w:t>
      </w:r>
      <w:proofErr w:type="spellEnd"/>
      <w:r>
        <w:rPr>
          <w:i w:val="0"/>
          <w:szCs w:val="20"/>
        </w:rPr>
        <w:t xml:space="preserve"> Maldonado </w:t>
      </w:r>
      <w:proofErr w:type="spellStart"/>
      <w:r>
        <w:rPr>
          <w:i w:val="0"/>
          <w:szCs w:val="20"/>
        </w:rPr>
        <w:t>Oxlaj</w:t>
      </w:r>
      <w:proofErr w:type="spellEnd"/>
      <w:r w:rsidRPr="00CC04EC">
        <w:rPr>
          <w:rStyle w:val="Refdenotaalpie"/>
          <w:i w:val="0"/>
        </w:rPr>
        <w:footnoteReference w:id="331"/>
      </w:r>
      <w:r>
        <w:rPr>
          <w:i w:val="0"/>
          <w:szCs w:val="20"/>
        </w:rPr>
        <w:t>.</w:t>
      </w:r>
    </w:p>
    <w:p w14:paraId="715DBBEE" w14:textId="77777777" w:rsidR="003C2AC6" w:rsidRDefault="003C2AC6" w:rsidP="003C2AC6">
      <w:pPr>
        <w:pStyle w:val="PrrafodeSentencia"/>
      </w:pPr>
    </w:p>
    <w:p w14:paraId="33FF806A" w14:textId="77777777" w:rsidR="003C2AC6" w:rsidRDefault="003C2AC6" w:rsidP="003C2AC6">
      <w:pPr>
        <w:pStyle w:val="PrrafodeSentencia"/>
      </w:pPr>
      <w:r>
        <w:tab/>
        <w:t>B.21.</w:t>
      </w:r>
      <w:r w:rsidRPr="00CC04EC">
        <w:t xml:space="preserve"> Darinel López Montes de Oca</w:t>
      </w:r>
    </w:p>
    <w:p w14:paraId="6BEE2C03" w14:textId="77777777" w:rsidR="003C2AC6" w:rsidRPr="00CC04EC" w:rsidRDefault="003C2AC6" w:rsidP="003C2AC6">
      <w:pPr>
        <w:pStyle w:val="PrrafodeSentencia"/>
      </w:pPr>
    </w:p>
    <w:p w14:paraId="2B1B5033" w14:textId="59FD5E17" w:rsidR="003C2AC6" w:rsidRPr="00102299"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 xml:space="preserve">El señor López Montes de Oca nació el 14 de julio de 1964 en </w:t>
      </w:r>
      <w:r w:rsidRPr="00CC04EC">
        <w:rPr>
          <w:i w:val="0"/>
          <w:szCs w:val="20"/>
        </w:rPr>
        <w:t xml:space="preserve">el Municipio de </w:t>
      </w:r>
      <w:proofErr w:type="spellStart"/>
      <w:r w:rsidRPr="00CC04EC">
        <w:rPr>
          <w:i w:val="0"/>
          <w:szCs w:val="20"/>
        </w:rPr>
        <w:t>Ocos</w:t>
      </w:r>
      <w:proofErr w:type="spellEnd"/>
      <w:r w:rsidRPr="00CC04EC">
        <w:rPr>
          <w:i w:val="0"/>
          <w:szCs w:val="20"/>
        </w:rPr>
        <w:t xml:space="preserve">, Departamento de San Marcos, Guatemala. Reside en la Aldea Dolores </w:t>
      </w:r>
      <w:proofErr w:type="spellStart"/>
      <w:r w:rsidRPr="00CC04EC">
        <w:rPr>
          <w:i w:val="0"/>
          <w:szCs w:val="20"/>
        </w:rPr>
        <w:t>Ocos</w:t>
      </w:r>
      <w:proofErr w:type="spellEnd"/>
      <w:r w:rsidRPr="00CC04EC">
        <w:rPr>
          <w:i w:val="0"/>
          <w:szCs w:val="20"/>
        </w:rPr>
        <w:t xml:space="preserve"> San Marcos, Guatemala.</w:t>
      </w:r>
      <w:r w:rsidR="00F87540">
        <w:rPr>
          <w:i w:val="0"/>
          <w:szCs w:val="20"/>
        </w:rPr>
        <w:t xml:space="preserve"> Estudió</w:t>
      </w:r>
      <w:r>
        <w:rPr>
          <w:i w:val="0"/>
          <w:szCs w:val="20"/>
        </w:rPr>
        <w:t xml:space="preserve"> hasta quinto</w:t>
      </w:r>
      <w:r w:rsidRPr="00CC04EC">
        <w:rPr>
          <w:i w:val="0"/>
          <w:szCs w:val="20"/>
        </w:rPr>
        <w:t xml:space="preserve"> de Magisterio. Antes de su diagnóstico se </w:t>
      </w:r>
      <w:r>
        <w:rPr>
          <w:i w:val="0"/>
          <w:szCs w:val="20"/>
        </w:rPr>
        <w:t>dedicaba a la venta de plátanos, y a</w:t>
      </w:r>
      <w:r w:rsidRPr="00CC04EC">
        <w:rPr>
          <w:i w:val="0"/>
          <w:szCs w:val="20"/>
        </w:rPr>
        <w:t>hora se dedica a la venta de calzado, ropa, perfumería, antojitos,</w:t>
      </w:r>
      <w:r>
        <w:rPr>
          <w:i w:val="0"/>
          <w:szCs w:val="20"/>
        </w:rPr>
        <w:t xml:space="preserve"> y</w:t>
      </w:r>
      <w:r w:rsidRPr="00CC04EC">
        <w:rPr>
          <w:i w:val="0"/>
          <w:szCs w:val="20"/>
        </w:rPr>
        <w:t xml:space="preserve"> comida social. Fue diagnosticado en 2002 por el Proyecto Vida de MSF</w:t>
      </w:r>
      <w:r>
        <w:rPr>
          <w:i w:val="0"/>
          <w:szCs w:val="20"/>
        </w:rPr>
        <w:t>, y c</w:t>
      </w:r>
      <w:r w:rsidRPr="00CC04EC">
        <w:rPr>
          <w:i w:val="0"/>
          <w:szCs w:val="20"/>
        </w:rPr>
        <w:t xml:space="preserve">omenzó tratamiento antirretroviral en </w:t>
      </w:r>
      <w:r>
        <w:rPr>
          <w:i w:val="0"/>
          <w:szCs w:val="20"/>
        </w:rPr>
        <w:t xml:space="preserve">el año </w:t>
      </w:r>
      <w:r w:rsidRPr="00CC04EC">
        <w:rPr>
          <w:i w:val="0"/>
          <w:szCs w:val="20"/>
        </w:rPr>
        <w:t>2004. Después fue transferido al Hospital Nacional de Coa</w:t>
      </w:r>
      <w:r w:rsidR="00F87540">
        <w:rPr>
          <w:i w:val="0"/>
          <w:szCs w:val="20"/>
        </w:rPr>
        <w:t>tepeque y remitido a Proyecto</w:t>
      </w:r>
      <w:r w:rsidRPr="00CC04EC">
        <w:rPr>
          <w:i w:val="0"/>
          <w:szCs w:val="20"/>
        </w:rPr>
        <w:t xml:space="preserve"> Vida</w:t>
      </w:r>
      <w:r>
        <w:rPr>
          <w:i w:val="0"/>
          <w:szCs w:val="20"/>
        </w:rPr>
        <w:t xml:space="preserve"> de MSF,</w:t>
      </w:r>
      <w:r w:rsidRPr="00CC04EC">
        <w:rPr>
          <w:i w:val="0"/>
          <w:szCs w:val="20"/>
        </w:rPr>
        <w:t xml:space="preserve"> donde recibió tratamiento. </w:t>
      </w:r>
      <w:r>
        <w:rPr>
          <w:i w:val="0"/>
          <w:szCs w:val="20"/>
        </w:rPr>
        <w:t>Manifestó que e</w:t>
      </w:r>
      <w:r w:rsidRPr="00CC04EC">
        <w:rPr>
          <w:i w:val="0"/>
          <w:szCs w:val="20"/>
        </w:rPr>
        <w:t xml:space="preserve">n </w:t>
      </w:r>
      <w:r>
        <w:rPr>
          <w:i w:val="0"/>
          <w:szCs w:val="20"/>
        </w:rPr>
        <w:t>el</w:t>
      </w:r>
      <w:r w:rsidRPr="00CC04EC">
        <w:rPr>
          <w:i w:val="0"/>
          <w:szCs w:val="20"/>
        </w:rPr>
        <w:t xml:space="preserve"> hospital </w:t>
      </w:r>
      <w:r>
        <w:rPr>
          <w:i w:val="0"/>
          <w:szCs w:val="20"/>
        </w:rPr>
        <w:t xml:space="preserve">de Coatepeque </w:t>
      </w:r>
      <w:r w:rsidRPr="00CC04EC">
        <w:rPr>
          <w:i w:val="0"/>
          <w:szCs w:val="20"/>
        </w:rPr>
        <w:t>no había suficientes medicamentos y los exámenes de CD4, carga viral y genotipo fueron practicados de forma irregular, lo que pr</w:t>
      </w:r>
      <w:r>
        <w:rPr>
          <w:i w:val="0"/>
          <w:szCs w:val="20"/>
        </w:rPr>
        <w:t>odujo enfermedades oportunistas</w:t>
      </w:r>
      <w:r w:rsidRPr="00CC04EC">
        <w:rPr>
          <w:i w:val="0"/>
          <w:szCs w:val="20"/>
        </w:rPr>
        <w:t>. Padeció de aler</w:t>
      </w:r>
      <w:r>
        <w:rPr>
          <w:i w:val="0"/>
          <w:szCs w:val="20"/>
        </w:rPr>
        <w:t>gias en la piel, desnutrición crónica</w:t>
      </w:r>
      <w:r w:rsidRPr="00CC04EC">
        <w:rPr>
          <w:i w:val="0"/>
          <w:szCs w:val="20"/>
        </w:rPr>
        <w:t>, anemia por el</w:t>
      </w:r>
      <w:r>
        <w:rPr>
          <w:i w:val="0"/>
          <w:szCs w:val="20"/>
        </w:rPr>
        <w:t xml:space="preserve"> consumo de antirretrovirales y</w:t>
      </w:r>
      <w:r w:rsidRPr="00CC04EC">
        <w:rPr>
          <w:i w:val="0"/>
          <w:szCs w:val="20"/>
        </w:rPr>
        <w:t xml:space="preserve"> meningitis por </w:t>
      </w:r>
      <w:proofErr w:type="spellStart"/>
      <w:r w:rsidRPr="00CC04EC">
        <w:rPr>
          <w:i w:val="0"/>
          <w:szCs w:val="20"/>
        </w:rPr>
        <w:t>criptococo</w:t>
      </w:r>
      <w:proofErr w:type="spellEnd"/>
      <w:r w:rsidRPr="00CC04EC">
        <w:rPr>
          <w:i w:val="0"/>
          <w:szCs w:val="20"/>
        </w:rPr>
        <w:t xml:space="preserve">. Ha recibido atención psicológica. Solo recibió apoyo nutricional en MSF. No le han proporcionado apoyo social, ni atención familiar, comunitaria y domiciliaria. Sí le dan condones. El señor Montes de Oca afirma que se ha sentido señalado por su familia, </w:t>
      </w:r>
      <w:r w:rsidRPr="00CC04EC">
        <w:rPr>
          <w:i w:val="0"/>
          <w:szCs w:val="20"/>
        </w:rPr>
        <w:lastRenderedPageBreak/>
        <w:t xml:space="preserve">sus amigos y por la sociedad, </w:t>
      </w:r>
      <w:r>
        <w:rPr>
          <w:i w:val="0"/>
          <w:szCs w:val="20"/>
        </w:rPr>
        <w:t xml:space="preserve">y que </w:t>
      </w:r>
      <w:r w:rsidRPr="00CC04EC">
        <w:rPr>
          <w:i w:val="0"/>
          <w:szCs w:val="20"/>
        </w:rPr>
        <w:t xml:space="preserve">tiene que salir a otras poblaciones a vender comida porque si la gente </w:t>
      </w:r>
      <w:r>
        <w:rPr>
          <w:i w:val="0"/>
          <w:szCs w:val="20"/>
        </w:rPr>
        <w:t>sabe que es una persona que vive con el VIH</w:t>
      </w:r>
      <w:r w:rsidRPr="00102299">
        <w:rPr>
          <w:i w:val="0"/>
          <w:szCs w:val="20"/>
        </w:rPr>
        <w:t xml:space="preserve"> no le compra</w:t>
      </w:r>
      <w:r w:rsidRPr="00CC04EC">
        <w:rPr>
          <w:rStyle w:val="Refdenotaalpie"/>
          <w:i w:val="0"/>
        </w:rPr>
        <w:footnoteReference w:id="332"/>
      </w:r>
      <w:r w:rsidRPr="00102299">
        <w:rPr>
          <w:i w:val="0"/>
          <w:szCs w:val="20"/>
        </w:rPr>
        <w:t>.</w:t>
      </w:r>
    </w:p>
    <w:p w14:paraId="51E07796" w14:textId="77777777" w:rsidR="003C2AC6" w:rsidRPr="00CC04EC" w:rsidRDefault="003C2AC6" w:rsidP="003C2AC6">
      <w:pPr>
        <w:pStyle w:val="Estilo1"/>
        <w:tabs>
          <w:tab w:val="left" w:pos="709"/>
          <w:tab w:val="left" w:pos="1134"/>
        </w:tabs>
        <w:spacing w:after="0"/>
        <w:ind w:left="0" w:right="-4" w:firstLine="0"/>
        <w:rPr>
          <w:i w:val="0"/>
          <w:szCs w:val="20"/>
        </w:rPr>
      </w:pPr>
    </w:p>
    <w:p w14:paraId="2B58A523" w14:textId="77777777" w:rsidR="003C2AC6" w:rsidRPr="00CC04EC" w:rsidRDefault="003C2AC6" w:rsidP="003C2AC6">
      <w:pPr>
        <w:pStyle w:val="Estilo1"/>
        <w:numPr>
          <w:ilvl w:val="0"/>
          <w:numId w:val="20"/>
        </w:numPr>
        <w:tabs>
          <w:tab w:val="left" w:pos="709"/>
          <w:tab w:val="left" w:pos="1134"/>
        </w:tabs>
        <w:spacing w:after="0"/>
        <w:ind w:left="0" w:right="-4" w:firstLine="0"/>
        <w:rPr>
          <w:i w:val="0"/>
          <w:szCs w:val="20"/>
        </w:rPr>
      </w:pPr>
      <w:r w:rsidRPr="00CC04EC">
        <w:rPr>
          <w:i w:val="0"/>
          <w:szCs w:val="20"/>
        </w:rPr>
        <w:t>Su núcleo familiar se e</w:t>
      </w:r>
      <w:r>
        <w:rPr>
          <w:i w:val="0"/>
          <w:szCs w:val="20"/>
        </w:rPr>
        <w:t>ncuentra integrado por su prima Ana Castillo López y su sobrina</w:t>
      </w:r>
      <w:r w:rsidRPr="00CC04EC">
        <w:rPr>
          <w:i w:val="0"/>
          <w:szCs w:val="20"/>
        </w:rPr>
        <w:t xml:space="preserve"> Aracely Méndez Castillo</w:t>
      </w:r>
      <w:r w:rsidRPr="00CC04EC">
        <w:rPr>
          <w:rStyle w:val="Refdenotaalpie"/>
          <w:i w:val="0"/>
        </w:rPr>
        <w:footnoteReference w:id="333"/>
      </w:r>
      <w:r>
        <w:rPr>
          <w:i w:val="0"/>
          <w:szCs w:val="20"/>
        </w:rPr>
        <w:t>.</w:t>
      </w:r>
    </w:p>
    <w:p w14:paraId="02C3FBEC" w14:textId="77777777" w:rsidR="003C2AC6" w:rsidRDefault="003C2AC6" w:rsidP="003C2AC6">
      <w:pPr>
        <w:pStyle w:val="PrrafodeSentencia"/>
      </w:pPr>
    </w:p>
    <w:p w14:paraId="33A435CC" w14:textId="77777777" w:rsidR="003C2AC6" w:rsidRPr="00A87DBC" w:rsidRDefault="003C2AC6" w:rsidP="003C2AC6">
      <w:pPr>
        <w:pStyle w:val="PrrafodeSentencia"/>
      </w:pPr>
      <w:r>
        <w:tab/>
      </w:r>
      <w:r w:rsidRPr="00A87DBC">
        <w:t>B.22.</w:t>
      </w:r>
      <w:r>
        <w:t xml:space="preserve"> Israel Pe</w:t>
      </w:r>
      <w:r w:rsidRPr="00A87DBC">
        <w:t>rez Charal</w:t>
      </w:r>
    </w:p>
    <w:p w14:paraId="3DB09B45" w14:textId="77777777" w:rsidR="003C2AC6" w:rsidRPr="00A87DBC" w:rsidRDefault="003C2AC6" w:rsidP="003C2AC6">
      <w:pPr>
        <w:pStyle w:val="PrrafodeSentencia"/>
      </w:pPr>
    </w:p>
    <w:p w14:paraId="3B416D79" w14:textId="77777777" w:rsidR="003C2AC6"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El señor Pérez Charal es originario del Municipio de San Juan </w:t>
      </w:r>
      <w:proofErr w:type="spellStart"/>
      <w:r w:rsidRPr="00A87DBC">
        <w:rPr>
          <w:i w:val="0"/>
          <w:szCs w:val="20"/>
        </w:rPr>
        <w:t>Alotenango</w:t>
      </w:r>
      <w:proofErr w:type="spellEnd"/>
      <w:r w:rsidRPr="00A87DBC">
        <w:rPr>
          <w:i w:val="0"/>
          <w:szCs w:val="20"/>
        </w:rPr>
        <w:t>, Departamento de Sacatepéquez, Guatemal</w:t>
      </w:r>
      <w:r>
        <w:rPr>
          <w:i w:val="0"/>
          <w:szCs w:val="20"/>
        </w:rPr>
        <w:t>a. Nació el 23 de enero de 1953.</w:t>
      </w:r>
      <w:r w:rsidRPr="00A87DBC">
        <w:rPr>
          <w:i w:val="0"/>
          <w:szCs w:val="20"/>
        </w:rPr>
        <w:t xml:space="preserve"> Reside en Antigua Guatemala, Departamento Sacatepéquez, Guatemala. Estudió </w:t>
      </w:r>
      <w:r>
        <w:rPr>
          <w:i w:val="0"/>
          <w:szCs w:val="20"/>
        </w:rPr>
        <w:t xml:space="preserve">en </w:t>
      </w:r>
      <w:r w:rsidRPr="00A87DBC">
        <w:rPr>
          <w:i w:val="0"/>
          <w:szCs w:val="20"/>
        </w:rPr>
        <w:t>Bachiller Madurez. Es piloto de transporte pesado. Fue diagnosticado en</w:t>
      </w:r>
      <w:r>
        <w:rPr>
          <w:i w:val="0"/>
          <w:szCs w:val="20"/>
        </w:rPr>
        <w:t xml:space="preserve"> el año</w:t>
      </w:r>
      <w:r w:rsidRPr="00A87DBC">
        <w:rPr>
          <w:i w:val="0"/>
          <w:szCs w:val="20"/>
        </w:rPr>
        <w:t xml:space="preserve"> 2002, en el Hospital San Juan de Dios, en virtud de que iba a donar sangre y le dijeron que era portador de VIH. Después lo refirieron a MSF. En</w:t>
      </w:r>
      <w:r>
        <w:rPr>
          <w:i w:val="0"/>
          <w:szCs w:val="20"/>
        </w:rPr>
        <w:t xml:space="preserve"> el año</w:t>
      </w:r>
      <w:r w:rsidRPr="00A87DBC">
        <w:rPr>
          <w:i w:val="0"/>
          <w:szCs w:val="20"/>
        </w:rPr>
        <w:t xml:space="preserve"> 2003 comenzó el tratamiento antirretroviral. En</w:t>
      </w:r>
      <w:r>
        <w:rPr>
          <w:i w:val="0"/>
          <w:szCs w:val="20"/>
        </w:rPr>
        <w:t xml:space="preserve"> los años 2004 y 2005 acudió</w:t>
      </w:r>
      <w:r w:rsidRPr="00A87DBC">
        <w:rPr>
          <w:i w:val="0"/>
          <w:szCs w:val="20"/>
        </w:rPr>
        <w:t xml:space="preserve"> a la Asociación de Salud Integral, Clínica Familiar Luis Ángel García (en adelante “Clínica Luis Ánge</w:t>
      </w:r>
      <w:r>
        <w:rPr>
          <w:i w:val="0"/>
          <w:szCs w:val="20"/>
        </w:rPr>
        <w:t>l García”) donde le practicaron exámenes</w:t>
      </w:r>
      <w:r w:rsidRPr="00A87DBC">
        <w:rPr>
          <w:i w:val="0"/>
          <w:szCs w:val="20"/>
        </w:rPr>
        <w:t xml:space="preserve"> y recibió medicamentos. Luego, por cuestiones </w:t>
      </w:r>
      <w:r>
        <w:rPr>
          <w:i w:val="0"/>
          <w:szCs w:val="20"/>
        </w:rPr>
        <w:t>laborales, solicitó su traslado en los años 2006 y 2010</w:t>
      </w:r>
      <w:r w:rsidRPr="00A87DBC">
        <w:rPr>
          <w:i w:val="0"/>
          <w:szCs w:val="20"/>
        </w:rPr>
        <w:t xml:space="preserve"> al IGSS. Sufrió herpes, pero no lo trataron. En</w:t>
      </w:r>
      <w:r>
        <w:rPr>
          <w:i w:val="0"/>
          <w:szCs w:val="20"/>
        </w:rPr>
        <w:t xml:space="preserve"> los años 2010 a </w:t>
      </w:r>
      <w:r w:rsidRPr="00A87DBC">
        <w:rPr>
          <w:i w:val="0"/>
          <w:szCs w:val="20"/>
        </w:rPr>
        <w:t xml:space="preserve">2016 </w:t>
      </w:r>
      <w:r>
        <w:rPr>
          <w:i w:val="0"/>
          <w:szCs w:val="20"/>
        </w:rPr>
        <w:t>acudió de nuevo a</w:t>
      </w:r>
      <w:r w:rsidRPr="00A87DBC">
        <w:rPr>
          <w:i w:val="0"/>
          <w:szCs w:val="20"/>
        </w:rPr>
        <w:t xml:space="preserve"> la Clínica Luis Ángel García, en donde actualmente recibe atención</w:t>
      </w:r>
      <w:r>
        <w:rPr>
          <w:i w:val="0"/>
          <w:szCs w:val="20"/>
        </w:rPr>
        <w:t xml:space="preserve"> médica</w:t>
      </w:r>
      <w:r w:rsidRPr="00A87DBC">
        <w:rPr>
          <w:i w:val="0"/>
          <w:szCs w:val="20"/>
        </w:rPr>
        <w:t>. Le han practicado exámenes de CD4 y carga viral,</w:t>
      </w:r>
      <w:r>
        <w:rPr>
          <w:i w:val="0"/>
          <w:szCs w:val="20"/>
        </w:rPr>
        <w:t xml:space="preserve"> aunque</w:t>
      </w:r>
      <w:r w:rsidRPr="00A87DBC">
        <w:rPr>
          <w:i w:val="0"/>
          <w:szCs w:val="20"/>
        </w:rPr>
        <w:t xml:space="preserve"> de manera irr</w:t>
      </w:r>
      <w:r>
        <w:rPr>
          <w:i w:val="0"/>
          <w:szCs w:val="20"/>
        </w:rPr>
        <w:t>egular. Ha padecido de obesidad y</w:t>
      </w:r>
      <w:r w:rsidRPr="00A87DBC">
        <w:rPr>
          <w:i w:val="0"/>
          <w:szCs w:val="20"/>
        </w:rPr>
        <w:t xml:space="preserve"> herpes. </w:t>
      </w:r>
      <w:r>
        <w:rPr>
          <w:i w:val="0"/>
          <w:szCs w:val="20"/>
        </w:rPr>
        <w:t>Manifestó que n</w:t>
      </w:r>
      <w:r w:rsidRPr="00A87DBC">
        <w:rPr>
          <w:i w:val="0"/>
          <w:szCs w:val="20"/>
        </w:rPr>
        <w:t xml:space="preserve">o había medicamentos suficientes para todas las personas. </w:t>
      </w:r>
      <w:r>
        <w:rPr>
          <w:i w:val="0"/>
          <w:szCs w:val="20"/>
        </w:rPr>
        <w:t>Manifestó ser</w:t>
      </w:r>
      <w:r w:rsidRPr="00A87DBC">
        <w:rPr>
          <w:i w:val="0"/>
          <w:szCs w:val="20"/>
        </w:rPr>
        <w:t xml:space="preserve"> rechazado por la familia de su expareja, Karen Judi</w:t>
      </w:r>
      <w:r>
        <w:rPr>
          <w:i w:val="0"/>
          <w:szCs w:val="20"/>
        </w:rPr>
        <w:t>th Samayoa Vásquez</w:t>
      </w:r>
      <w:r w:rsidRPr="00A87DBC">
        <w:rPr>
          <w:rStyle w:val="Refdenotaalpie"/>
          <w:i w:val="0"/>
        </w:rPr>
        <w:footnoteReference w:id="334"/>
      </w:r>
      <w:r>
        <w:rPr>
          <w:i w:val="0"/>
          <w:szCs w:val="20"/>
        </w:rPr>
        <w:t>.</w:t>
      </w:r>
    </w:p>
    <w:p w14:paraId="581198C4" w14:textId="77777777" w:rsidR="003C2AC6" w:rsidRDefault="003C2AC6" w:rsidP="003C2AC6">
      <w:pPr>
        <w:pStyle w:val="Estilo1"/>
        <w:tabs>
          <w:tab w:val="left" w:pos="709"/>
          <w:tab w:val="left" w:pos="1134"/>
        </w:tabs>
        <w:spacing w:after="0"/>
        <w:ind w:left="0" w:right="-4" w:firstLine="0"/>
        <w:rPr>
          <w:i w:val="0"/>
          <w:szCs w:val="20"/>
        </w:rPr>
      </w:pPr>
    </w:p>
    <w:p w14:paraId="361E80EE" w14:textId="77777777" w:rsidR="003C2AC6" w:rsidRPr="00A87DBC" w:rsidRDefault="003C2AC6" w:rsidP="003C2AC6">
      <w:pPr>
        <w:pStyle w:val="PrrafodeSentencia"/>
      </w:pPr>
      <w:r>
        <w:tab/>
      </w:r>
      <w:r w:rsidRPr="00A87DBC">
        <w:t>B.23. Corina Dianeth Robledo Alvarado</w:t>
      </w:r>
    </w:p>
    <w:p w14:paraId="4B44E940" w14:textId="77777777" w:rsidR="003C2AC6" w:rsidRPr="00A87DBC" w:rsidRDefault="003C2AC6" w:rsidP="003C2AC6">
      <w:pPr>
        <w:pStyle w:val="PrrafodeSentencia"/>
      </w:pPr>
    </w:p>
    <w:p w14:paraId="2DB51E55"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La señora Robledo Alvarado es originaria y residente del Municipio de </w:t>
      </w:r>
      <w:proofErr w:type="spellStart"/>
      <w:r w:rsidRPr="00A87DBC">
        <w:rPr>
          <w:i w:val="0"/>
          <w:szCs w:val="20"/>
        </w:rPr>
        <w:t>Pajapita</w:t>
      </w:r>
      <w:proofErr w:type="spellEnd"/>
      <w:r w:rsidRPr="00A87DBC">
        <w:rPr>
          <w:i w:val="0"/>
          <w:szCs w:val="20"/>
        </w:rPr>
        <w:t>, Departamento de San Marcos, Guatemala. Nació el 4 de noviembre de 1973.</w:t>
      </w:r>
      <w:r w:rsidRPr="00A87DBC">
        <w:rPr>
          <w:b/>
          <w:i w:val="0"/>
          <w:szCs w:val="20"/>
        </w:rPr>
        <w:t xml:space="preserve"> </w:t>
      </w:r>
      <w:r w:rsidRPr="00A87DBC">
        <w:rPr>
          <w:i w:val="0"/>
          <w:szCs w:val="20"/>
        </w:rPr>
        <w:t>E</w:t>
      </w:r>
      <w:r>
        <w:rPr>
          <w:i w:val="0"/>
          <w:szCs w:val="20"/>
        </w:rPr>
        <w:t>s maestra de educación primaria</w:t>
      </w:r>
      <w:r w:rsidRPr="00A87DBC">
        <w:rPr>
          <w:i w:val="0"/>
          <w:szCs w:val="20"/>
        </w:rPr>
        <w:t xml:space="preserve"> en la Aldea de San Antonio Las Flores, </w:t>
      </w:r>
      <w:proofErr w:type="spellStart"/>
      <w:r w:rsidRPr="00A87DBC">
        <w:rPr>
          <w:i w:val="0"/>
          <w:szCs w:val="20"/>
        </w:rPr>
        <w:t>Pajapita</w:t>
      </w:r>
      <w:proofErr w:type="spellEnd"/>
      <w:r w:rsidRPr="00A87DBC">
        <w:rPr>
          <w:i w:val="0"/>
          <w:szCs w:val="20"/>
        </w:rPr>
        <w:t>.</w:t>
      </w:r>
      <w:r w:rsidRPr="00221302">
        <w:rPr>
          <w:i w:val="0"/>
          <w:szCs w:val="20"/>
        </w:rPr>
        <w:t xml:space="preserve"> </w:t>
      </w:r>
      <w:r w:rsidRPr="00A87DBC">
        <w:rPr>
          <w:i w:val="0"/>
          <w:szCs w:val="20"/>
        </w:rPr>
        <w:t>Fue contagiada por vía de transmisión sexual por su esposo y, a su vez, su hijo L</w:t>
      </w:r>
      <w:r>
        <w:rPr>
          <w:i w:val="0"/>
          <w:szCs w:val="20"/>
        </w:rPr>
        <w:t>.</w:t>
      </w:r>
      <w:r w:rsidRPr="00A87DBC">
        <w:rPr>
          <w:i w:val="0"/>
          <w:szCs w:val="20"/>
        </w:rPr>
        <w:t>A</w:t>
      </w:r>
      <w:r>
        <w:rPr>
          <w:i w:val="0"/>
          <w:szCs w:val="20"/>
        </w:rPr>
        <w:t>.</w:t>
      </w:r>
      <w:r w:rsidRPr="00A87DBC">
        <w:rPr>
          <w:i w:val="0"/>
          <w:szCs w:val="20"/>
        </w:rPr>
        <w:t>L</w:t>
      </w:r>
      <w:r>
        <w:rPr>
          <w:i w:val="0"/>
          <w:szCs w:val="20"/>
        </w:rPr>
        <w:t>.</w:t>
      </w:r>
      <w:r w:rsidRPr="00A87DBC">
        <w:rPr>
          <w:i w:val="0"/>
          <w:szCs w:val="20"/>
        </w:rPr>
        <w:t xml:space="preserve"> fue contagiado vía transmisión vertical, siendo diagnosticado con VIH a los 3 años. La señora Robledo Álvarez fue diagnosticada en 2001 en el Hospital de Malacatán. Recibió atención por primera </w:t>
      </w:r>
      <w:r>
        <w:rPr>
          <w:i w:val="0"/>
          <w:szCs w:val="20"/>
        </w:rPr>
        <w:t>vez por parte del Proyecto Vida</w:t>
      </w:r>
      <w:r w:rsidRPr="00A87DBC">
        <w:rPr>
          <w:i w:val="0"/>
          <w:szCs w:val="20"/>
        </w:rPr>
        <w:t xml:space="preserve"> de MSF. Con posterioridad fue transferida a la Clínica 12 del Hospital Nacional de Coatepeque.</w:t>
      </w:r>
      <w:r w:rsidRPr="00221302">
        <w:rPr>
          <w:i w:val="0"/>
          <w:szCs w:val="20"/>
        </w:rPr>
        <w:t xml:space="preserve"> </w:t>
      </w:r>
      <w:r w:rsidRPr="00A87DBC">
        <w:rPr>
          <w:i w:val="0"/>
          <w:szCs w:val="20"/>
        </w:rPr>
        <w:t>Ha tenido acceso a tratamiento antirretroviral de manera estable y permanente y le han practicado exámenes de CD4 y carga viral. No recibió atención nutricional ni psicológica. La señora Robledo y su hijo L</w:t>
      </w:r>
      <w:r>
        <w:rPr>
          <w:i w:val="0"/>
          <w:szCs w:val="20"/>
        </w:rPr>
        <w:t>.</w:t>
      </w:r>
      <w:r w:rsidRPr="00A87DBC">
        <w:rPr>
          <w:i w:val="0"/>
          <w:szCs w:val="20"/>
        </w:rPr>
        <w:t>A</w:t>
      </w:r>
      <w:r>
        <w:rPr>
          <w:i w:val="0"/>
          <w:szCs w:val="20"/>
        </w:rPr>
        <w:t>.</w:t>
      </w:r>
      <w:r w:rsidRPr="00A87DBC">
        <w:rPr>
          <w:i w:val="0"/>
          <w:szCs w:val="20"/>
        </w:rPr>
        <w:t>L</w:t>
      </w:r>
      <w:r>
        <w:rPr>
          <w:i w:val="0"/>
          <w:szCs w:val="20"/>
        </w:rPr>
        <w:t>.</w:t>
      </w:r>
      <w:r w:rsidRPr="00A87DBC">
        <w:rPr>
          <w:i w:val="0"/>
          <w:szCs w:val="20"/>
        </w:rPr>
        <w:t xml:space="preserve"> fueron señalados por las personas que </w:t>
      </w:r>
      <w:r>
        <w:rPr>
          <w:i w:val="0"/>
          <w:szCs w:val="20"/>
        </w:rPr>
        <w:t>transitan por fuera de la Clínica 12</w:t>
      </w:r>
      <w:r w:rsidRPr="00A87DBC">
        <w:rPr>
          <w:i w:val="0"/>
          <w:szCs w:val="20"/>
        </w:rPr>
        <w:t xml:space="preserve"> por considerar que ese centro de salud es para “sidosos”. De su domicilio a la Clínica Roosevelt demoraba cinco horas, lo que le generó gasto</w:t>
      </w:r>
      <w:r>
        <w:rPr>
          <w:i w:val="0"/>
          <w:szCs w:val="20"/>
        </w:rPr>
        <w:t>s que la obligaron a endeudarse</w:t>
      </w:r>
      <w:r w:rsidRPr="00A87DBC">
        <w:rPr>
          <w:rStyle w:val="Refdenotaalpie"/>
          <w:i w:val="0"/>
        </w:rPr>
        <w:footnoteReference w:id="335"/>
      </w:r>
      <w:r>
        <w:rPr>
          <w:i w:val="0"/>
          <w:szCs w:val="20"/>
        </w:rPr>
        <w:t>.</w:t>
      </w:r>
    </w:p>
    <w:p w14:paraId="185973CE" w14:textId="77777777" w:rsidR="003C2AC6" w:rsidRPr="00A87DBC" w:rsidRDefault="003C2AC6" w:rsidP="003C2AC6">
      <w:pPr>
        <w:pStyle w:val="Estilo1"/>
        <w:tabs>
          <w:tab w:val="left" w:pos="709"/>
          <w:tab w:val="left" w:pos="1134"/>
        </w:tabs>
        <w:spacing w:after="0"/>
        <w:ind w:left="0" w:right="-4" w:firstLine="0"/>
        <w:rPr>
          <w:i w:val="0"/>
          <w:szCs w:val="20"/>
        </w:rPr>
      </w:pPr>
    </w:p>
    <w:p w14:paraId="3ABC5FE8"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fa</w:t>
      </w:r>
      <w:r>
        <w:rPr>
          <w:i w:val="0"/>
          <w:szCs w:val="20"/>
        </w:rPr>
        <w:t>miliar se compone por su esposo Luis de León, su hijo</w:t>
      </w:r>
      <w:r w:rsidRPr="00A87DBC">
        <w:rPr>
          <w:i w:val="0"/>
          <w:szCs w:val="20"/>
        </w:rPr>
        <w:t xml:space="preserve"> L.A.L.</w:t>
      </w:r>
      <w:r>
        <w:rPr>
          <w:i w:val="0"/>
          <w:szCs w:val="20"/>
        </w:rPr>
        <w:t>,</w:t>
      </w:r>
      <w:r w:rsidRPr="00A87DBC">
        <w:rPr>
          <w:i w:val="0"/>
          <w:szCs w:val="20"/>
        </w:rPr>
        <w:t xml:space="preserve"> su p</w:t>
      </w:r>
      <w:r>
        <w:rPr>
          <w:i w:val="0"/>
          <w:szCs w:val="20"/>
        </w:rPr>
        <w:t>adre</w:t>
      </w:r>
      <w:r w:rsidRPr="00A87DBC">
        <w:rPr>
          <w:i w:val="0"/>
          <w:szCs w:val="20"/>
        </w:rPr>
        <w:t xml:space="preserve"> Virg</w:t>
      </w:r>
      <w:r>
        <w:rPr>
          <w:i w:val="0"/>
          <w:szCs w:val="20"/>
        </w:rPr>
        <w:t>ilio Ladislao Robledo Rodríguez y su madre</w:t>
      </w:r>
      <w:r w:rsidRPr="00A87DBC">
        <w:rPr>
          <w:i w:val="0"/>
          <w:szCs w:val="20"/>
        </w:rPr>
        <w:t xml:space="preserve"> </w:t>
      </w:r>
      <w:proofErr w:type="spellStart"/>
      <w:r w:rsidRPr="00A87DBC">
        <w:rPr>
          <w:i w:val="0"/>
          <w:szCs w:val="20"/>
        </w:rPr>
        <w:t>Katarina</w:t>
      </w:r>
      <w:proofErr w:type="spellEnd"/>
      <w:r w:rsidRPr="00A87DBC">
        <w:rPr>
          <w:i w:val="0"/>
          <w:szCs w:val="20"/>
        </w:rPr>
        <w:t xml:space="preserve"> </w:t>
      </w:r>
      <w:r>
        <w:rPr>
          <w:i w:val="0"/>
          <w:szCs w:val="20"/>
        </w:rPr>
        <w:t>Alvarado Mazariegos (fallecida), sus hermanos</w:t>
      </w:r>
      <w:r w:rsidRPr="00A87DBC">
        <w:rPr>
          <w:i w:val="0"/>
          <w:szCs w:val="20"/>
        </w:rPr>
        <w:t xml:space="preserve"> Osvaldo Romeo, </w:t>
      </w:r>
      <w:proofErr w:type="spellStart"/>
      <w:r>
        <w:rPr>
          <w:i w:val="0"/>
          <w:szCs w:val="20"/>
        </w:rPr>
        <w:t>Gelber</w:t>
      </w:r>
      <w:proofErr w:type="spellEnd"/>
      <w:r>
        <w:rPr>
          <w:i w:val="0"/>
          <w:szCs w:val="20"/>
        </w:rPr>
        <w:t xml:space="preserve"> Manuel, </w:t>
      </w:r>
      <w:proofErr w:type="spellStart"/>
      <w:r>
        <w:rPr>
          <w:i w:val="0"/>
          <w:szCs w:val="20"/>
        </w:rPr>
        <w:t>Kener</w:t>
      </w:r>
      <w:proofErr w:type="spellEnd"/>
      <w:r>
        <w:rPr>
          <w:i w:val="0"/>
          <w:szCs w:val="20"/>
        </w:rPr>
        <w:t xml:space="preserve"> </w:t>
      </w:r>
      <w:proofErr w:type="spellStart"/>
      <w:r>
        <w:rPr>
          <w:i w:val="0"/>
          <w:szCs w:val="20"/>
        </w:rPr>
        <w:t>Guilfredo</w:t>
      </w:r>
      <w:proofErr w:type="spellEnd"/>
      <w:r>
        <w:rPr>
          <w:i w:val="0"/>
          <w:szCs w:val="20"/>
        </w:rPr>
        <w:t>,</w:t>
      </w:r>
      <w:r w:rsidRPr="00A87DBC">
        <w:rPr>
          <w:i w:val="0"/>
          <w:szCs w:val="20"/>
        </w:rPr>
        <w:t xml:space="preserve"> B</w:t>
      </w:r>
      <w:r>
        <w:rPr>
          <w:i w:val="0"/>
          <w:szCs w:val="20"/>
        </w:rPr>
        <w:t xml:space="preserve">oanerges </w:t>
      </w:r>
      <w:proofErr w:type="spellStart"/>
      <w:r>
        <w:rPr>
          <w:i w:val="0"/>
          <w:szCs w:val="20"/>
        </w:rPr>
        <w:t>Onelio</w:t>
      </w:r>
      <w:proofErr w:type="spellEnd"/>
      <w:r>
        <w:rPr>
          <w:i w:val="0"/>
          <w:szCs w:val="20"/>
        </w:rPr>
        <w:t>, y sus hermanas</w:t>
      </w:r>
      <w:r w:rsidRPr="00A87DBC">
        <w:rPr>
          <w:i w:val="0"/>
          <w:szCs w:val="20"/>
        </w:rPr>
        <w:t xml:space="preserve"> Bertha Luz y Leticia, todo</w:t>
      </w:r>
      <w:r>
        <w:rPr>
          <w:i w:val="0"/>
          <w:szCs w:val="20"/>
        </w:rPr>
        <w:t>s de apellidos Robledo Alvarado,</w:t>
      </w:r>
      <w:r w:rsidRPr="00A87DBC">
        <w:rPr>
          <w:i w:val="0"/>
          <w:szCs w:val="20"/>
        </w:rPr>
        <w:t xml:space="preserve"> y su</w:t>
      </w:r>
      <w:r>
        <w:rPr>
          <w:i w:val="0"/>
          <w:szCs w:val="20"/>
        </w:rPr>
        <w:t xml:space="preserve"> sobrino</w:t>
      </w:r>
      <w:r w:rsidRPr="00A87DBC">
        <w:rPr>
          <w:i w:val="0"/>
          <w:szCs w:val="20"/>
        </w:rPr>
        <w:t xml:space="preserve"> Edvin</w:t>
      </w:r>
      <w:r>
        <w:rPr>
          <w:i w:val="0"/>
          <w:szCs w:val="20"/>
        </w:rPr>
        <w:t xml:space="preserve"> Otoniel Gómez Robledo Alvarado</w:t>
      </w:r>
      <w:r w:rsidRPr="00A87DBC">
        <w:rPr>
          <w:rStyle w:val="Refdenotaalpie"/>
          <w:i w:val="0"/>
        </w:rPr>
        <w:footnoteReference w:id="336"/>
      </w:r>
      <w:r w:rsidRPr="00221302">
        <w:rPr>
          <w:i w:val="0"/>
          <w:szCs w:val="20"/>
        </w:rPr>
        <w:t>.</w:t>
      </w:r>
    </w:p>
    <w:p w14:paraId="67B8185A" w14:textId="77777777" w:rsidR="003C2AC6" w:rsidRPr="00A87DBC" w:rsidRDefault="003C2AC6" w:rsidP="003C2AC6">
      <w:pPr>
        <w:pStyle w:val="PrrafodeSentencia"/>
      </w:pPr>
    </w:p>
    <w:p w14:paraId="1C8B2311" w14:textId="77777777" w:rsidR="003C2AC6" w:rsidRPr="00A87DBC" w:rsidRDefault="003C2AC6" w:rsidP="003C2AC6">
      <w:pPr>
        <w:pStyle w:val="PrrafodeSentencia"/>
      </w:pPr>
      <w:r>
        <w:tab/>
      </w:r>
      <w:r w:rsidRPr="00A87DBC">
        <w:t>B.24. Audencio Rodas Rodríguez</w:t>
      </w:r>
    </w:p>
    <w:p w14:paraId="20CD0C02" w14:textId="77777777" w:rsidR="003C2AC6" w:rsidRPr="00A87DBC" w:rsidRDefault="003C2AC6" w:rsidP="003C2AC6">
      <w:pPr>
        <w:pStyle w:val="PrrafodeSentencia"/>
      </w:pPr>
    </w:p>
    <w:p w14:paraId="7552717B" w14:textId="5EA500A9"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El señor Rodas Rodríguez es originario y residente del Municipio de Malacatán, Departamento de San Marcos, Guatemala. Nació el 22 de mayo de 1942. Cursó estudios hasta el nivel primero de primaria. Trabajaba en albañilería.</w:t>
      </w:r>
      <w:r w:rsidRPr="00A87DBC">
        <w:rPr>
          <w:rStyle w:val="Refdenotaalpie"/>
          <w:i w:val="0"/>
        </w:rPr>
        <w:t xml:space="preserve"> </w:t>
      </w:r>
      <w:r w:rsidRPr="00A87DBC">
        <w:rPr>
          <w:i w:val="0"/>
          <w:szCs w:val="20"/>
        </w:rPr>
        <w:t>Fue diagnosticado con VIH en el año de 1998.</w:t>
      </w:r>
      <w:r w:rsidRPr="00A87DBC">
        <w:rPr>
          <w:rStyle w:val="Refdenotaalpie"/>
          <w:i w:val="0"/>
        </w:rPr>
        <w:t xml:space="preserve"> </w:t>
      </w:r>
      <w:r w:rsidRPr="00A87DBC">
        <w:rPr>
          <w:i w:val="0"/>
          <w:szCs w:val="20"/>
        </w:rPr>
        <w:t>Con motivo de las diarreas, fiebres y hongos producidos por la infección abandonó su trabajo. En 2001 comenzó su tratamiento en Proyecto Vida de MSF, donde le proporcionaron tratamiento antirretroviral, medicamentos para los hongos y exámenes de CD4, no así de carga viral. Después fue tra</w:t>
      </w:r>
      <w:r w:rsidR="00695413">
        <w:rPr>
          <w:i w:val="0"/>
          <w:szCs w:val="20"/>
        </w:rPr>
        <w:t>n</w:t>
      </w:r>
      <w:r w:rsidRPr="00A87DBC">
        <w:rPr>
          <w:i w:val="0"/>
          <w:szCs w:val="20"/>
        </w:rPr>
        <w:t>sferido a la Clínica 12 del Hospital Nacional de Coatepeque, y finalmente al Hospital de Malacatán. Le han practicado exámenes de CD4 y carga viral de manera irregular. No le han realizado exámenes de genotipo ni de fenotipo. Ha padecido leuco</w:t>
      </w:r>
      <w:r>
        <w:rPr>
          <w:i w:val="0"/>
          <w:szCs w:val="20"/>
        </w:rPr>
        <w:t>plasi</w:t>
      </w:r>
      <w:r w:rsidRPr="00A87DBC">
        <w:rPr>
          <w:i w:val="0"/>
          <w:szCs w:val="20"/>
        </w:rPr>
        <w:t xml:space="preserve">a oral vellosa, neumonía bacteriana severa, herpes zoster y diarrea. No le han dado </w:t>
      </w:r>
      <w:r>
        <w:rPr>
          <w:i w:val="0"/>
          <w:szCs w:val="20"/>
        </w:rPr>
        <w:t xml:space="preserve">apoyo nutricional </w:t>
      </w:r>
      <w:r w:rsidRPr="00A87DBC">
        <w:rPr>
          <w:i w:val="0"/>
          <w:szCs w:val="20"/>
        </w:rPr>
        <w:t>ni psicológico, atención familiar, comunitaria y domiciliaria. Le suministran condones y lubricantes. Como resultado del deterioro de la salud del señor Rodas Rodríguez su esposa y sus hijas se vieron obligadas a trabajar para mantener a la familia, lo cual le provocó</w:t>
      </w:r>
      <w:r>
        <w:rPr>
          <w:i w:val="0"/>
          <w:szCs w:val="20"/>
        </w:rPr>
        <w:t>, en palabras del señor Rodas Rodríguez:</w:t>
      </w:r>
      <w:r w:rsidRPr="00A87DBC">
        <w:rPr>
          <w:i w:val="0"/>
          <w:szCs w:val="20"/>
        </w:rPr>
        <w:t xml:space="preserve"> “mucha tristeza y preocupación, porque tuvimos que cambiar nuestra forma de vida, ya no pude darles estudio a mis hijas pequeñas</w:t>
      </w:r>
      <w:r w:rsidR="00695413">
        <w:rPr>
          <w:i w:val="0"/>
          <w:szCs w:val="20"/>
        </w:rPr>
        <w:t xml:space="preserve"> ellas</w:t>
      </w:r>
      <w:r w:rsidRPr="00A87DBC">
        <w:rPr>
          <w:i w:val="0"/>
          <w:szCs w:val="20"/>
        </w:rPr>
        <w:t xml:space="preserve"> y mi esposa tuvieron que t</w:t>
      </w:r>
      <w:r>
        <w:rPr>
          <w:i w:val="0"/>
          <w:szCs w:val="20"/>
        </w:rPr>
        <w:t>rabajar para mantener la casa”</w:t>
      </w:r>
      <w:r w:rsidRPr="00A87DBC">
        <w:rPr>
          <w:rStyle w:val="Refdenotaalpie"/>
          <w:i w:val="0"/>
        </w:rPr>
        <w:footnoteReference w:id="337"/>
      </w:r>
      <w:r>
        <w:rPr>
          <w:i w:val="0"/>
          <w:szCs w:val="20"/>
        </w:rPr>
        <w:t>.</w:t>
      </w:r>
    </w:p>
    <w:p w14:paraId="76D863D5" w14:textId="77777777" w:rsidR="003C2AC6" w:rsidRPr="00A87DBC" w:rsidRDefault="003C2AC6" w:rsidP="003C2AC6">
      <w:pPr>
        <w:pStyle w:val="Estilo1"/>
        <w:tabs>
          <w:tab w:val="left" w:pos="709"/>
          <w:tab w:val="left" w:pos="1134"/>
        </w:tabs>
        <w:spacing w:after="0"/>
        <w:ind w:left="0" w:right="-4" w:firstLine="0"/>
        <w:rPr>
          <w:i w:val="0"/>
          <w:szCs w:val="20"/>
        </w:rPr>
      </w:pPr>
    </w:p>
    <w:p w14:paraId="667ACEA6" w14:textId="4FA45118"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familiar se conforma por su esposa</w:t>
      </w:r>
      <w:r>
        <w:rPr>
          <w:i w:val="0"/>
          <w:szCs w:val="20"/>
        </w:rPr>
        <w:t xml:space="preserve"> Carmen Mérida Coronado,</w:t>
      </w:r>
      <w:r w:rsidR="00702232">
        <w:rPr>
          <w:i w:val="0"/>
          <w:szCs w:val="20"/>
        </w:rPr>
        <w:t xml:space="preserve"> sus hijas Flor de Marí</w:t>
      </w:r>
      <w:r w:rsidRPr="00A87DBC">
        <w:rPr>
          <w:i w:val="0"/>
          <w:szCs w:val="20"/>
        </w:rPr>
        <w:t xml:space="preserve">a, Clara Verónica, Sonia Maribel y </w:t>
      </w:r>
      <w:proofErr w:type="spellStart"/>
      <w:r w:rsidRPr="00A87DBC">
        <w:rPr>
          <w:i w:val="0"/>
          <w:szCs w:val="20"/>
        </w:rPr>
        <w:t>Maria</w:t>
      </w:r>
      <w:proofErr w:type="spellEnd"/>
      <w:r w:rsidRPr="00A87DBC">
        <w:rPr>
          <w:i w:val="0"/>
          <w:szCs w:val="20"/>
        </w:rPr>
        <w:t xml:space="preserve"> Magdalena, así como sus hijos Aníbal Leonel, Braulio Adán, Andy Alberto y Walter </w:t>
      </w:r>
      <w:proofErr w:type="spellStart"/>
      <w:r w:rsidRPr="00A87DBC">
        <w:rPr>
          <w:i w:val="0"/>
          <w:szCs w:val="20"/>
        </w:rPr>
        <w:t>Audencio</w:t>
      </w:r>
      <w:proofErr w:type="spellEnd"/>
      <w:r w:rsidRPr="00A87DBC">
        <w:rPr>
          <w:i w:val="0"/>
          <w:szCs w:val="20"/>
        </w:rPr>
        <w:t>, todos de apellidos Rodas Mérida</w:t>
      </w:r>
      <w:r>
        <w:rPr>
          <w:i w:val="0"/>
          <w:szCs w:val="20"/>
        </w:rPr>
        <w:t>,</w:t>
      </w:r>
      <w:r w:rsidRPr="00A87DBC">
        <w:rPr>
          <w:i w:val="0"/>
          <w:szCs w:val="20"/>
        </w:rPr>
        <w:t xml:space="preserve"> sus </w:t>
      </w:r>
      <w:r>
        <w:rPr>
          <w:i w:val="0"/>
          <w:szCs w:val="20"/>
        </w:rPr>
        <w:t>nietas</w:t>
      </w:r>
      <w:r w:rsidRPr="00A87DBC">
        <w:rPr>
          <w:i w:val="0"/>
          <w:szCs w:val="20"/>
        </w:rPr>
        <w:t xml:space="preserve"> </w:t>
      </w:r>
      <w:proofErr w:type="spellStart"/>
      <w:r w:rsidRPr="00A87DBC">
        <w:rPr>
          <w:i w:val="0"/>
          <w:szCs w:val="20"/>
        </w:rPr>
        <w:t>Cecia</w:t>
      </w:r>
      <w:proofErr w:type="spellEnd"/>
      <w:r w:rsidRPr="00A87DBC">
        <w:rPr>
          <w:i w:val="0"/>
          <w:szCs w:val="20"/>
        </w:rPr>
        <w:t xml:space="preserve"> Verónica Barrios Rodas, </w:t>
      </w:r>
      <w:proofErr w:type="spellStart"/>
      <w:r w:rsidRPr="00A87DBC">
        <w:rPr>
          <w:i w:val="0"/>
          <w:szCs w:val="20"/>
        </w:rPr>
        <w:t>Susely</w:t>
      </w:r>
      <w:proofErr w:type="spellEnd"/>
      <w:r w:rsidRPr="00A87DBC">
        <w:rPr>
          <w:i w:val="0"/>
          <w:szCs w:val="20"/>
        </w:rPr>
        <w:t xml:space="preserve"> Berenice Rodas Mérida, Tania </w:t>
      </w:r>
      <w:proofErr w:type="spellStart"/>
      <w:r w:rsidRPr="00A87DBC">
        <w:rPr>
          <w:i w:val="0"/>
          <w:szCs w:val="20"/>
        </w:rPr>
        <w:t>Briseidy</w:t>
      </w:r>
      <w:proofErr w:type="spellEnd"/>
      <w:r w:rsidRPr="00A87DBC">
        <w:rPr>
          <w:i w:val="0"/>
          <w:szCs w:val="20"/>
        </w:rPr>
        <w:t xml:space="preserve"> Velasco Rodas, y </w:t>
      </w:r>
      <w:r>
        <w:rPr>
          <w:i w:val="0"/>
          <w:szCs w:val="20"/>
        </w:rPr>
        <w:t>sus nietos</w:t>
      </w:r>
      <w:r w:rsidRPr="00A87DBC">
        <w:rPr>
          <w:i w:val="0"/>
          <w:szCs w:val="20"/>
        </w:rPr>
        <w:t xml:space="preserve"> </w:t>
      </w:r>
      <w:proofErr w:type="spellStart"/>
      <w:r w:rsidRPr="00A87DBC">
        <w:rPr>
          <w:i w:val="0"/>
          <w:szCs w:val="20"/>
        </w:rPr>
        <w:t>Abni</w:t>
      </w:r>
      <w:proofErr w:type="spellEnd"/>
      <w:r w:rsidRPr="00A87DBC">
        <w:rPr>
          <w:i w:val="0"/>
          <w:szCs w:val="20"/>
        </w:rPr>
        <w:t xml:space="preserve"> Eliezer Barrios Rodas, Christian Obdulio Barrios Rodas, Brandon Isaac Rodas Mus, </w:t>
      </w:r>
      <w:proofErr w:type="spellStart"/>
      <w:r w:rsidRPr="00A87DBC">
        <w:rPr>
          <w:i w:val="0"/>
          <w:szCs w:val="20"/>
        </w:rPr>
        <w:t>Nehemias</w:t>
      </w:r>
      <w:proofErr w:type="spellEnd"/>
      <w:r w:rsidRPr="00A87DBC">
        <w:rPr>
          <w:i w:val="0"/>
          <w:szCs w:val="20"/>
        </w:rPr>
        <w:t xml:space="preserve"> </w:t>
      </w:r>
      <w:proofErr w:type="spellStart"/>
      <w:r w:rsidRPr="00A87DBC">
        <w:rPr>
          <w:i w:val="0"/>
          <w:szCs w:val="20"/>
        </w:rPr>
        <w:t>Audecio</w:t>
      </w:r>
      <w:proofErr w:type="spellEnd"/>
      <w:r w:rsidRPr="00A87DBC">
        <w:rPr>
          <w:i w:val="0"/>
          <w:szCs w:val="20"/>
        </w:rPr>
        <w:t xml:space="preserve"> Rodas </w:t>
      </w:r>
      <w:proofErr w:type="spellStart"/>
      <w:r w:rsidRPr="00A87DBC">
        <w:rPr>
          <w:i w:val="0"/>
          <w:szCs w:val="20"/>
        </w:rPr>
        <w:t>Chilel</w:t>
      </w:r>
      <w:proofErr w:type="spellEnd"/>
      <w:r w:rsidRPr="00A87DBC">
        <w:rPr>
          <w:i w:val="0"/>
          <w:szCs w:val="20"/>
        </w:rPr>
        <w:t xml:space="preserve"> y Esdras </w:t>
      </w:r>
      <w:proofErr w:type="spellStart"/>
      <w:r w:rsidRPr="00A87DBC">
        <w:rPr>
          <w:i w:val="0"/>
          <w:szCs w:val="20"/>
        </w:rPr>
        <w:t>Avisai</w:t>
      </w:r>
      <w:proofErr w:type="spellEnd"/>
      <w:r w:rsidRPr="00A87DBC">
        <w:rPr>
          <w:i w:val="0"/>
          <w:szCs w:val="20"/>
        </w:rPr>
        <w:t xml:space="preserve"> Rodas Chile</w:t>
      </w:r>
      <w:r w:rsidRPr="00A87DBC">
        <w:rPr>
          <w:rStyle w:val="Refdenotaalpie"/>
          <w:i w:val="0"/>
        </w:rPr>
        <w:footnoteReference w:id="338"/>
      </w:r>
      <w:r>
        <w:rPr>
          <w:i w:val="0"/>
          <w:szCs w:val="20"/>
        </w:rPr>
        <w:t>.</w:t>
      </w:r>
    </w:p>
    <w:p w14:paraId="1056A248" w14:textId="77777777" w:rsidR="003C2AC6" w:rsidRPr="00A87DBC" w:rsidRDefault="003C2AC6" w:rsidP="003C2AC6">
      <w:pPr>
        <w:pStyle w:val="PrrafodeSentencia"/>
      </w:pPr>
    </w:p>
    <w:p w14:paraId="669C4DD0" w14:textId="77777777" w:rsidR="003C2AC6" w:rsidRPr="00A87DBC" w:rsidRDefault="003C2AC6" w:rsidP="003C2AC6">
      <w:pPr>
        <w:pStyle w:val="PrrafodeSentencia"/>
      </w:pPr>
      <w:r>
        <w:tab/>
      </w:r>
      <w:r w:rsidRPr="00A87DBC">
        <w:t>B.25.</w:t>
      </w:r>
      <w:r>
        <w:t xml:space="preserve"> Zoila Marina Pérez Ruí</w:t>
      </w:r>
      <w:r w:rsidRPr="00A87DBC">
        <w:t>z</w:t>
      </w:r>
    </w:p>
    <w:p w14:paraId="15622478" w14:textId="77777777" w:rsidR="003C2AC6" w:rsidRPr="00A87DBC" w:rsidRDefault="003C2AC6" w:rsidP="003C2AC6">
      <w:pPr>
        <w:pStyle w:val="PrrafodeSentencia"/>
      </w:pPr>
    </w:p>
    <w:p w14:paraId="711DC564"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Pr>
          <w:i w:val="0"/>
          <w:szCs w:val="20"/>
        </w:rPr>
        <w:t>La señora Pérez Ruí</w:t>
      </w:r>
      <w:r w:rsidRPr="00A87DBC">
        <w:rPr>
          <w:i w:val="0"/>
          <w:szCs w:val="20"/>
        </w:rPr>
        <w:t xml:space="preserve">z es originaria del Municipio de El Quetzal, Departamento de San Marcos, Guatemala. Nació el 20 de octubre de 1960. Reside en la Aldea </w:t>
      </w:r>
      <w:proofErr w:type="spellStart"/>
      <w:r w:rsidRPr="00A87DBC">
        <w:rPr>
          <w:i w:val="0"/>
          <w:szCs w:val="20"/>
        </w:rPr>
        <w:t>Cintaná</w:t>
      </w:r>
      <w:proofErr w:type="spellEnd"/>
      <w:r w:rsidRPr="00A87DBC">
        <w:rPr>
          <w:i w:val="0"/>
          <w:szCs w:val="20"/>
        </w:rPr>
        <w:t>, del Municipio El Quetzal, Departamento de San Marcos, Guatemala. Carece de estudios, no sabe leer ni escribir y es ama de casa. An</w:t>
      </w:r>
      <w:r>
        <w:rPr>
          <w:i w:val="0"/>
          <w:szCs w:val="20"/>
        </w:rPr>
        <w:t>tes de ser diagnosticada</w:t>
      </w:r>
      <w:r w:rsidRPr="00A87DBC">
        <w:rPr>
          <w:i w:val="0"/>
          <w:szCs w:val="20"/>
        </w:rPr>
        <w:t xml:space="preserve"> trabajaba vendiendo frutas. Fue diagnosticada con VIH en el</w:t>
      </w:r>
      <w:r>
        <w:rPr>
          <w:i w:val="0"/>
          <w:szCs w:val="20"/>
        </w:rPr>
        <w:t xml:space="preserve"> año 2002, pero</w:t>
      </w:r>
      <w:r w:rsidRPr="00A87DBC">
        <w:rPr>
          <w:i w:val="0"/>
          <w:szCs w:val="20"/>
        </w:rPr>
        <w:t xml:space="preserve"> recibió tratamiento</w:t>
      </w:r>
      <w:r>
        <w:rPr>
          <w:i w:val="0"/>
          <w:szCs w:val="20"/>
        </w:rPr>
        <w:t xml:space="preserve"> médico</w:t>
      </w:r>
      <w:r w:rsidRPr="00A87DBC">
        <w:rPr>
          <w:i w:val="0"/>
          <w:szCs w:val="20"/>
        </w:rPr>
        <w:t xml:space="preserve"> </w:t>
      </w:r>
      <w:r>
        <w:rPr>
          <w:i w:val="0"/>
          <w:szCs w:val="20"/>
        </w:rPr>
        <w:t>hasta</w:t>
      </w:r>
      <w:r w:rsidRPr="00A87DBC">
        <w:rPr>
          <w:i w:val="0"/>
          <w:szCs w:val="20"/>
        </w:rPr>
        <w:t xml:space="preserve"> el año 2004, aunque no tuvo acceso a exámenes CD4 ni de carga viral. Inicialmente recibía atención médica por MSF, posteriormente fue transferida al Hospital Nacional de Coatepeque</w:t>
      </w:r>
      <w:r>
        <w:rPr>
          <w:i w:val="0"/>
          <w:szCs w:val="20"/>
        </w:rPr>
        <w:t>. Para el año 2009 había tenido acceso a exá</w:t>
      </w:r>
      <w:r w:rsidRPr="00A87DBC">
        <w:rPr>
          <w:i w:val="0"/>
          <w:szCs w:val="20"/>
        </w:rPr>
        <w:t>men</w:t>
      </w:r>
      <w:r>
        <w:rPr>
          <w:i w:val="0"/>
          <w:szCs w:val="20"/>
        </w:rPr>
        <w:t>es de</w:t>
      </w:r>
      <w:r w:rsidRPr="00A87DBC">
        <w:rPr>
          <w:i w:val="0"/>
          <w:szCs w:val="20"/>
        </w:rPr>
        <w:t xml:space="preserve"> CD4 en 4 ocasiones y en 2 al de carga viral</w:t>
      </w:r>
      <w:r>
        <w:rPr>
          <w:i w:val="0"/>
          <w:szCs w:val="20"/>
        </w:rPr>
        <w:t>. P</w:t>
      </w:r>
      <w:r w:rsidRPr="00A87DBC">
        <w:rPr>
          <w:i w:val="0"/>
          <w:szCs w:val="20"/>
        </w:rPr>
        <w:t>ara el</w:t>
      </w:r>
      <w:r>
        <w:rPr>
          <w:i w:val="0"/>
          <w:szCs w:val="20"/>
        </w:rPr>
        <w:t xml:space="preserve"> año</w:t>
      </w:r>
      <w:r w:rsidRPr="00A87DBC">
        <w:rPr>
          <w:i w:val="0"/>
          <w:szCs w:val="20"/>
        </w:rPr>
        <w:t xml:space="preserve"> 2015 se le habían realizado 5 conteos más de carga viral y 5 más de CD4. </w:t>
      </w:r>
      <w:r w:rsidRPr="00A87DBC">
        <w:rPr>
          <w:i w:val="0"/>
          <w:szCs w:val="20"/>
        </w:rPr>
        <w:lastRenderedPageBreak/>
        <w:t xml:space="preserve">Asimismo, ha sufrido las siguientes enfermedades oportunistas: adenopatía cervical, candidiasis vaginal, </w:t>
      </w:r>
      <w:proofErr w:type="spellStart"/>
      <w:r w:rsidRPr="00A87DBC">
        <w:rPr>
          <w:i w:val="0"/>
          <w:szCs w:val="20"/>
        </w:rPr>
        <w:t>sarcopiosis</w:t>
      </w:r>
      <w:proofErr w:type="spellEnd"/>
      <w:r w:rsidRPr="00A87DBC">
        <w:rPr>
          <w:i w:val="0"/>
          <w:szCs w:val="20"/>
        </w:rPr>
        <w:t xml:space="preserve">, tuberculosis diseminada, amigdalitis, dolor de giba, herpes, neumonía, neuropatía periférica, </w:t>
      </w:r>
      <w:proofErr w:type="spellStart"/>
      <w:r w:rsidRPr="00A87DBC">
        <w:rPr>
          <w:i w:val="0"/>
          <w:szCs w:val="20"/>
        </w:rPr>
        <w:t>mada</w:t>
      </w:r>
      <w:proofErr w:type="spellEnd"/>
      <w:r w:rsidRPr="00A87DBC">
        <w:rPr>
          <w:i w:val="0"/>
          <w:szCs w:val="20"/>
        </w:rPr>
        <w:t xml:space="preserve"> en cuello y micosis en ambos pies. Ha recibido pláticas sobre VIH/SIDA por parte de Proyecto Vida de MSF que la han ayudado a salir adelante</w:t>
      </w:r>
      <w:r w:rsidRPr="00BB450E">
        <w:rPr>
          <w:rStyle w:val="Refdenotaalpie"/>
          <w:i w:val="0"/>
        </w:rPr>
        <w:footnoteReference w:id="339"/>
      </w:r>
      <w:r>
        <w:rPr>
          <w:i w:val="0"/>
          <w:szCs w:val="20"/>
        </w:rPr>
        <w:t>.</w:t>
      </w:r>
    </w:p>
    <w:p w14:paraId="1E2A7734" w14:textId="77777777" w:rsidR="003C2AC6" w:rsidRPr="00A87DBC" w:rsidRDefault="003C2AC6" w:rsidP="003C2AC6">
      <w:pPr>
        <w:pStyle w:val="Estilo1"/>
        <w:tabs>
          <w:tab w:val="left" w:pos="709"/>
          <w:tab w:val="left" w:pos="1134"/>
        </w:tabs>
        <w:spacing w:after="0"/>
        <w:ind w:left="0" w:right="-4" w:firstLine="0"/>
        <w:rPr>
          <w:i w:val="0"/>
          <w:szCs w:val="20"/>
        </w:rPr>
      </w:pPr>
    </w:p>
    <w:p w14:paraId="5E2BD2B1" w14:textId="77777777" w:rsidR="003C2AC6" w:rsidRPr="009C7FAF" w:rsidRDefault="003C2AC6" w:rsidP="003C2AC6">
      <w:pPr>
        <w:pStyle w:val="Estilo1"/>
        <w:numPr>
          <w:ilvl w:val="0"/>
          <w:numId w:val="20"/>
        </w:numPr>
        <w:tabs>
          <w:tab w:val="left" w:pos="709"/>
          <w:tab w:val="left" w:pos="1134"/>
        </w:tabs>
        <w:spacing w:after="0"/>
        <w:ind w:left="0" w:right="-4" w:firstLine="0"/>
        <w:rPr>
          <w:i w:val="0"/>
          <w:szCs w:val="20"/>
        </w:rPr>
      </w:pPr>
      <w:r w:rsidRPr="009C7FAF">
        <w:rPr>
          <w:i w:val="0"/>
          <w:szCs w:val="20"/>
        </w:rPr>
        <w:t>La señora Pérez Ru</w:t>
      </w:r>
      <w:r>
        <w:rPr>
          <w:i w:val="0"/>
          <w:szCs w:val="20"/>
        </w:rPr>
        <w:t>í</w:t>
      </w:r>
      <w:r w:rsidRPr="009C7FAF">
        <w:rPr>
          <w:i w:val="0"/>
          <w:szCs w:val="20"/>
        </w:rPr>
        <w:t xml:space="preserve">z manifestó ser señalada en el Hospital Roosevelt pues las enfermeras evitaban acercarse a ella cuando le dejaban la comida, pues decían que “era una enfermedad contagiosa y que ellos no se querían contaminar”. Su situación económica es precaria, por lo que dos de sus hijos abandonaron sus estudios para conseguir trabajo y así poder ayudarle con sus tratamientos y con los estudios de sus hermanos menores. </w:t>
      </w:r>
      <w:r>
        <w:rPr>
          <w:i w:val="0"/>
          <w:szCs w:val="20"/>
        </w:rPr>
        <w:t>Manifestó que e</w:t>
      </w:r>
      <w:r w:rsidRPr="009C7FAF">
        <w:rPr>
          <w:i w:val="0"/>
          <w:szCs w:val="20"/>
        </w:rPr>
        <w:t>l traslado de su residencia al hospital le costaba aproximadamente 500 quetzales por viaje, pues debía llevar a su hijo consigo, razón por la que no dio seguimiento a la cirugía plástica que requería para corregir la lipodistrofia que padece en el cuello.</w:t>
      </w:r>
      <w:r w:rsidRPr="009C7FAF">
        <w:rPr>
          <w:rStyle w:val="Refdenotaalpie"/>
          <w:i w:val="0"/>
        </w:rPr>
        <w:footnoteReference w:id="340"/>
      </w:r>
    </w:p>
    <w:p w14:paraId="523EB11B" w14:textId="77777777" w:rsidR="003C2AC6" w:rsidRPr="00A87DBC" w:rsidRDefault="003C2AC6" w:rsidP="003C2AC6">
      <w:pPr>
        <w:pStyle w:val="Estilo1"/>
        <w:tabs>
          <w:tab w:val="left" w:pos="709"/>
          <w:tab w:val="left" w:pos="1134"/>
        </w:tabs>
        <w:spacing w:after="0"/>
        <w:ind w:left="0" w:right="-4" w:firstLine="0"/>
        <w:rPr>
          <w:i w:val="0"/>
          <w:szCs w:val="20"/>
        </w:rPr>
      </w:pPr>
    </w:p>
    <w:p w14:paraId="4A1D4CB9"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Su núcleo familiar se compone por su </w:t>
      </w:r>
      <w:r>
        <w:rPr>
          <w:i w:val="0"/>
          <w:szCs w:val="20"/>
        </w:rPr>
        <w:t xml:space="preserve">esposo, Santiago Francisco </w:t>
      </w:r>
      <w:proofErr w:type="spellStart"/>
      <w:r>
        <w:rPr>
          <w:i w:val="0"/>
          <w:szCs w:val="20"/>
        </w:rPr>
        <w:t>Valdéz</w:t>
      </w:r>
      <w:proofErr w:type="spellEnd"/>
      <w:r>
        <w:rPr>
          <w:i w:val="0"/>
          <w:szCs w:val="20"/>
        </w:rPr>
        <w:t xml:space="preserve"> Aguilar,</w:t>
      </w:r>
      <w:r w:rsidRPr="00A87DBC">
        <w:rPr>
          <w:i w:val="0"/>
          <w:szCs w:val="20"/>
        </w:rPr>
        <w:t xml:space="preserve"> sus hijos e hijas, Jhon</w:t>
      </w:r>
      <w:r>
        <w:rPr>
          <w:i w:val="0"/>
          <w:szCs w:val="20"/>
        </w:rPr>
        <w:t xml:space="preserve">y Francisco, Boni Kennedy, Nancy </w:t>
      </w:r>
      <w:proofErr w:type="spellStart"/>
      <w:r>
        <w:rPr>
          <w:i w:val="0"/>
          <w:szCs w:val="20"/>
        </w:rPr>
        <w:t>Beatrí</w:t>
      </w:r>
      <w:r w:rsidRPr="00A87DBC">
        <w:rPr>
          <w:i w:val="0"/>
          <w:szCs w:val="20"/>
        </w:rPr>
        <w:t>z</w:t>
      </w:r>
      <w:proofErr w:type="spellEnd"/>
      <w:r w:rsidRPr="00A87DBC">
        <w:rPr>
          <w:i w:val="0"/>
          <w:szCs w:val="20"/>
        </w:rPr>
        <w:t xml:space="preserve">, </w:t>
      </w:r>
      <w:proofErr w:type="spellStart"/>
      <w:r w:rsidRPr="00A87DBC">
        <w:rPr>
          <w:i w:val="0"/>
          <w:szCs w:val="20"/>
        </w:rPr>
        <w:t>Glendi</w:t>
      </w:r>
      <w:proofErr w:type="spellEnd"/>
      <w:r w:rsidRPr="00A87DBC">
        <w:rPr>
          <w:i w:val="0"/>
          <w:szCs w:val="20"/>
        </w:rPr>
        <w:t xml:space="preserve"> Betsaida, Mil</w:t>
      </w:r>
      <w:r>
        <w:rPr>
          <w:i w:val="0"/>
          <w:szCs w:val="20"/>
        </w:rPr>
        <w:t xml:space="preserve">dred Odalis, Zoila Argentina y </w:t>
      </w:r>
      <w:r w:rsidRPr="00A87DBC">
        <w:rPr>
          <w:i w:val="0"/>
          <w:szCs w:val="20"/>
        </w:rPr>
        <w:t xml:space="preserve">Nelson Gudiel, </w:t>
      </w:r>
      <w:r>
        <w:rPr>
          <w:i w:val="0"/>
          <w:szCs w:val="20"/>
        </w:rPr>
        <w:t xml:space="preserve">todos de apellidos </w:t>
      </w:r>
      <w:proofErr w:type="spellStart"/>
      <w:r>
        <w:rPr>
          <w:i w:val="0"/>
          <w:szCs w:val="20"/>
        </w:rPr>
        <w:t>Valdéz</w:t>
      </w:r>
      <w:proofErr w:type="spellEnd"/>
      <w:r>
        <w:rPr>
          <w:i w:val="0"/>
          <w:szCs w:val="20"/>
        </w:rPr>
        <w:t xml:space="preserve"> Pérez, su madre Rosario Ruíz, y su hermano</w:t>
      </w:r>
      <w:r w:rsidRPr="00A87DBC">
        <w:rPr>
          <w:i w:val="0"/>
          <w:szCs w:val="20"/>
        </w:rPr>
        <w:t xml:space="preserve"> Edgar Gilberto Pérez Ruíz</w:t>
      </w:r>
      <w:r w:rsidRPr="00A87DBC">
        <w:rPr>
          <w:rStyle w:val="Refdenotaalpie"/>
          <w:i w:val="0"/>
        </w:rPr>
        <w:footnoteReference w:id="341"/>
      </w:r>
      <w:r w:rsidRPr="00B1358B">
        <w:rPr>
          <w:i w:val="0"/>
          <w:szCs w:val="20"/>
        </w:rPr>
        <w:t>.</w:t>
      </w:r>
    </w:p>
    <w:p w14:paraId="61152EF8" w14:textId="77777777" w:rsidR="003C2AC6" w:rsidRPr="00A87DBC" w:rsidRDefault="003C2AC6" w:rsidP="003C2AC6">
      <w:pPr>
        <w:pStyle w:val="PrrafodeSentencia"/>
      </w:pPr>
    </w:p>
    <w:p w14:paraId="04B7D12A" w14:textId="77777777" w:rsidR="003C2AC6" w:rsidRPr="00A87DBC" w:rsidRDefault="003C2AC6" w:rsidP="003C2AC6">
      <w:pPr>
        <w:pStyle w:val="PrrafodeSentencia"/>
      </w:pPr>
      <w:r>
        <w:tab/>
      </w:r>
      <w:r w:rsidRPr="008D296A">
        <w:t>B.26. Santiago Francisco Valdéz Aguilar</w:t>
      </w:r>
    </w:p>
    <w:p w14:paraId="1ADFEF68" w14:textId="77777777" w:rsidR="003C2AC6" w:rsidRPr="00A87DBC" w:rsidRDefault="003C2AC6" w:rsidP="003C2AC6">
      <w:pPr>
        <w:pStyle w:val="PrrafodeSentencia"/>
      </w:pPr>
    </w:p>
    <w:p w14:paraId="1BF036A2" w14:textId="306396AB"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El señor </w:t>
      </w:r>
      <w:proofErr w:type="spellStart"/>
      <w:r w:rsidRPr="00A87DBC">
        <w:rPr>
          <w:i w:val="0"/>
          <w:szCs w:val="20"/>
        </w:rPr>
        <w:t>Valdéz</w:t>
      </w:r>
      <w:proofErr w:type="spellEnd"/>
      <w:r w:rsidRPr="00A87DBC">
        <w:rPr>
          <w:i w:val="0"/>
          <w:szCs w:val="20"/>
        </w:rPr>
        <w:t xml:space="preserve"> Aguilar es originario del Municipio de El Quetzal, Departamento de San Marcos, Guatemala.</w:t>
      </w:r>
      <w:r>
        <w:rPr>
          <w:i w:val="0"/>
          <w:szCs w:val="20"/>
        </w:rPr>
        <w:t xml:space="preserve"> Nació el 25 de julio de 1961</w:t>
      </w:r>
      <w:r w:rsidRPr="009C7FAF">
        <w:rPr>
          <w:i w:val="0"/>
          <w:szCs w:val="20"/>
        </w:rPr>
        <w:t>.</w:t>
      </w:r>
      <w:r w:rsidRPr="00A87DBC">
        <w:rPr>
          <w:b/>
          <w:i w:val="0"/>
          <w:szCs w:val="20"/>
        </w:rPr>
        <w:t xml:space="preserve"> </w:t>
      </w:r>
      <w:r w:rsidRPr="00A87DBC">
        <w:rPr>
          <w:i w:val="0"/>
          <w:szCs w:val="20"/>
        </w:rPr>
        <w:t>Es esposo de la señora Zo</w:t>
      </w:r>
      <w:r>
        <w:rPr>
          <w:i w:val="0"/>
          <w:szCs w:val="20"/>
        </w:rPr>
        <w:t>i</w:t>
      </w:r>
      <w:r w:rsidR="003619A2">
        <w:rPr>
          <w:i w:val="0"/>
          <w:szCs w:val="20"/>
        </w:rPr>
        <w:t>la Marina Pérez Ruí</w:t>
      </w:r>
      <w:r w:rsidRPr="00A87DBC">
        <w:rPr>
          <w:i w:val="0"/>
          <w:szCs w:val="20"/>
        </w:rPr>
        <w:t>z.</w:t>
      </w:r>
      <w:r w:rsidRPr="00A87DBC">
        <w:rPr>
          <w:b/>
          <w:i w:val="0"/>
          <w:szCs w:val="20"/>
        </w:rPr>
        <w:t xml:space="preserve"> </w:t>
      </w:r>
      <w:r>
        <w:rPr>
          <w:i w:val="0"/>
          <w:szCs w:val="20"/>
        </w:rPr>
        <w:t xml:space="preserve">Reside en la Aldea </w:t>
      </w:r>
      <w:proofErr w:type="spellStart"/>
      <w:r w:rsidRPr="00A87DBC">
        <w:rPr>
          <w:i w:val="0"/>
          <w:szCs w:val="20"/>
        </w:rPr>
        <w:t>Sintamá</w:t>
      </w:r>
      <w:proofErr w:type="spellEnd"/>
      <w:r w:rsidRPr="00A87DBC">
        <w:rPr>
          <w:i w:val="0"/>
          <w:szCs w:val="20"/>
        </w:rPr>
        <w:t>, del Municipio El Quetzal, Depart</w:t>
      </w:r>
      <w:r>
        <w:rPr>
          <w:i w:val="0"/>
          <w:szCs w:val="20"/>
        </w:rPr>
        <w:t>amento de San Marcos, Guatemala.</w:t>
      </w:r>
      <w:r w:rsidRPr="00A87DBC">
        <w:rPr>
          <w:i w:val="0"/>
          <w:szCs w:val="20"/>
        </w:rPr>
        <w:t xml:space="preserve"> Estudió hasta sexto de primaria</w:t>
      </w:r>
      <w:r w:rsidRPr="007B6E21">
        <w:rPr>
          <w:i w:val="0"/>
          <w:szCs w:val="20"/>
        </w:rPr>
        <w:t>.</w:t>
      </w:r>
      <w:r w:rsidRPr="007B6E21">
        <w:rPr>
          <w:b/>
          <w:i w:val="0"/>
          <w:szCs w:val="20"/>
        </w:rPr>
        <w:t xml:space="preserve"> </w:t>
      </w:r>
      <w:r w:rsidRPr="007B6E21">
        <w:rPr>
          <w:i w:val="0"/>
          <w:szCs w:val="20"/>
        </w:rPr>
        <w:t>Fue diagnosticado con VIH en el 2001 en el Hospital Nacional de Coatepeque. Inició tratamiento antirretroviral en diciembre del 2002 con MSF.</w:t>
      </w:r>
      <w:r w:rsidRPr="00A87DBC">
        <w:rPr>
          <w:i w:val="0"/>
          <w:szCs w:val="20"/>
        </w:rPr>
        <w:t xml:space="preserve"> Se le han realizado exámenes de CD4 (6-8) y de carga viral (2-4) de forma irregular. Inicialmente recibía atención médica por MSF, </w:t>
      </w:r>
      <w:r w:rsidRPr="007B6E21">
        <w:rPr>
          <w:i w:val="0"/>
          <w:szCs w:val="20"/>
        </w:rPr>
        <w:t>después fue transferido al Hospital Nacional de Coatepeque en el año 2002.</w:t>
      </w:r>
      <w:r w:rsidRPr="00A87DBC">
        <w:rPr>
          <w:i w:val="0"/>
          <w:szCs w:val="20"/>
        </w:rPr>
        <w:t xml:space="preserve"> Como enfermedades oportunistas ha padecido candidiasis oral, dermatomicosis y manifestaciones </w:t>
      </w:r>
      <w:proofErr w:type="spellStart"/>
      <w:r w:rsidRPr="00A87DBC">
        <w:rPr>
          <w:i w:val="0"/>
          <w:szCs w:val="20"/>
        </w:rPr>
        <w:t>micocutáneas</w:t>
      </w:r>
      <w:proofErr w:type="spellEnd"/>
      <w:r w:rsidRPr="00A87DBC">
        <w:rPr>
          <w:i w:val="0"/>
          <w:szCs w:val="20"/>
        </w:rPr>
        <w:t xml:space="preserve"> menores. En algunas ocasiones ha tenido que comprar él mismo los tratamientos para las infecciones oportunistas. No ha recibido apoyo nutricional, psicológico ni social, pero sí ha recibido apoyo a través de grupos de auto apoyo. Antes del diagnóstico se dedicaba a la agricultura, sin embargo, a raíz del deterioro en su salud, tuvo que dejar de trabajar pues no podía exponerse al sol</w:t>
      </w:r>
      <w:r w:rsidRPr="00177F5E">
        <w:rPr>
          <w:i w:val="0"/>
          <w:szCs w:val="20"/>
        </w:rPr>
        <w:t>.</w:t>
      </w:r>
      <w:r w:rsidRPr="00A87DBC">
        <w:rPr>
          <w:i w:val="0"/>
          <w:szCs w:val="20"/>
        </w:rPr>
        <w:t xml:space="preserve"> A raíz de ello dos de sus hijos se fueron a Estados Unidos para apoyarlo</w:t>
      </w:r>
      <w:r>
        <w:rPr>
          <w:i w:val="0"/>
          <w:szCs w:val="20"/>
        </w:rPr>
        <w:t xml:space="preserve"> económicamente</w:t>
      </w:r>
      <w:r w:rsidRPr="00A87DBC">
        <w:rPr>
          <w:i w:val="0"/>
          <w:szCs w:val="20"/>
        </w:rPr>
        <w:t xml:space="preserve"> a él y a su esposa</w:t>
      </w:r>
      <w:r w:rsidRPr="00177F5E">
        <w:rPr>
          <w:rStyle w:val="Refdenotaalpie"/>
          <w:i w:val="0"/>
        </w:rPr>
        <w:footnoteReference w:id="342"/>
      </w:r>
      <w:r w:rsidRPr="00177F5E">
        <w:rPr>
          <w:i w:val="0"/>
          <w:szCs w:val="20"/>
        </w:rPr>
        <w:t>.</w:t>
      </w:r>
    </w:p>
    <w:p w14:paraId="696CB420" w14:textId="77777777" w:rsidR="003C2AC6" w:rsidRPr="00A87DBC" w:rsidRDefault="003C2AC6" w:rsidP="003C2AC6">
      <w:pPr>
        <w:pStyle w:val="Estilo1"/>
        <w:tabs>
          <w:tab w:val="left" w:pos="709"/>
          <w:tab w:val="left" w:pos="1134"/>
        </w:tabs>
        <w:spacing w:after="0"/>
        <w:ind w:left="0" w:right="-4" w:firstLine="0"/>
        <w:rPr>
          <w:i w:val="0"/>
          <w:szCs w:val="20"/>
        </w:rPr>
      </w:pPr>
    </w:p>
    <w:p w14:paraId="0A471036"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Conform</w:t>
      </w:r>
      <w:r>
        <w:rPr>
          <w:i w:val="0"/>
          <w:szCs w:val="20"/>
        </w:rPr>
        <w:t>an su núcleo familiar su esposa Zoila Marina Pérez Ruíz, sus hijos e hijas</w:t>
      </w:r>
      <w:r w:rsidRPr="00A87DBC">
        <w:rPr>
          <w:i w:val="0"/>
          <w:szCs w:val="20"/>
        </w:rPr>
        <w:t xml:space="preserve"> Jhon</w:t>
      </w:r>
      <w:r>
        <w:rPr>
          <w:i w:val="0"/>
          <w:szCs w:val="20"/>
        </w:rPr>
        <w:t xml:space="preserve">y Francisco, Boni Kennedy, Nancy </w:t>
      </w:r>
      <w:proofErr w:type="spellStart"/>
      <w:r>
        <w:rPr>
          <w:i w:val="0"/>
          <w:szCs w:val="20"/>
        </w:rPr>
        <w:t>Beatrí</w:t>
      </w:r>
      <w:r w:rsidRPr="00A87DBC">
        <w:rPr>
          <w:i w:val="0"/>
          <w:szCs w:val="20"/>
        </w:rPr>
        <w:t>z</w:t>
      </w:r>
      <w:proofErr w:type="spellEnd"/>
      <w:r w:rsidRPr="00A87DBC">
        <w:rPr>
          <w:i w:val="0"/>
          <w:szCs w:val="20"/>
        </w:rPr>
        <w:t xml:space="preserve">, </w:t>
      </w:r>
      <w:proofErr w:type="spellStart"/>
      <w:r w:rsidRPr="00A87DBC">
        <w:rPr>
          <w:i w:val="0"/>
          <w:szCs w:val="20"/>
        </w:rPr>
        <w:t>Glendi</w:t>
      </w:r>
      <w:proofErr w:type="spellEnd"/>
      <w:r w:rsidRPr="00A87DBC">
        <w:rPr>
          <w:i w:val="0"/>
          <w:szCs w:val="20"/>
        </w:rPr>
        <w:t xml:space="preserve"> Betsaida, Mi</w:t>
      </w:r>
      <w:r>
        <w:rPr>
          <w:i w:val="0"/>
          <w:szCs w:val="20"/>
        </w:rPr>
        <w:t>ldred Odalis, Zoila Argentina y</w:t>
      </w:r>
      <w:r w:rsidRPr="00A87DBC">
        <w:rPr>
          <w:i w:val="0"/>
          <w:szCs w:val="20"/>
        </w:rPr>
        <w:t xml:space="preserve"> Nelson </w:t>
      </w:r>
      <w:r>
        <w:rPr>
          <w:i w:val="0"/>
          <w:szCs w:val="20"/>
        </w:rPr>
        <w:t xml:space="preserve">Gudiel, todos de apellidos </w:t>
      </w:r>
      <w:proofErr w:type="spellStart"/>
      <w:r>
        <w:rPr>
          <w:i w:val="0"/>
          <w:szCs w:val="20"/>
        </w:rPr>
        <w:t>Valdé</w:t>
      </w:r>
      <w:r w:rsidRPr="00A87DBC">
        <w:rPr>
          <w:i w:val="0"/>
          <w:szCs w:val="20"/>
        </w:rPr>
        <w:t>z</w:t>
      </w:r>
      <w:proofErr w:type="spellEnd"/>
      <w:r w:rsidRPr="00A87DBC">
        <w:rPr>
          <w:i w:val="0"/>
          <w:szCs w:val="20"/>
        </w:rPr>
        <w:t xml:space="preserve"> Pérez</w:t>
      </w:r>
      <w:r w:rsidRPr="00A87DBC">
        <w:rPr>
          <w:rStyle w:val="Refdenotaalpie"/>
          <w:i w:val="0"/>
        </w:rPr>
        <w:footnoteReference w:id="343"/>
      </w:r>
      <w:r w:rsidRPr="00A87DBC">
        <w:rPr>
          <w:i w:val="0"/>
          <w:szCs w:val="20"/>
        </w:rPr>
        <w:t>.</w:t>
      </w:r>
    </w:p>
    <w:p w14:paraId="6345A043" w14:textId="77777777" w:rsidR="003C2AC6" w:rsidRPr="00A87DBC" w:rsidRDefault="003C2AC6" w:rsidP="003C2AC6">
      <w:pPr>
        <w:pStyle w:val="PrrafodeSentencia"/>
      </w:pPr>
    </w:p>
    <w:p w14:paraId="01221079" w14:textId="77777777" w:rsidR="003C2AC6" w:rsidRPr="00A87DBC" w:rsidRDefault="003C2AC6" w:rsidP="003C2AC6">
      <w:pPr>
        <w:pStyle w:val="PrrafodeSentencia"/>
      </w:pPr>
      <w:r>
        <w:tab/>
      </w:r>
      <w:r w:rsidRPr="00A87DBC">
        <w:t>B.27. Teresa Magdalena Ramírez Castro</w:t>
      </w:r>
    </w:p>
    <w:p w14:paraId="12DE952D" w14:textId="77777777" w:rsidR="003C2AC6" w:rsidRPr="00A87DBC" w:rsidRDefault="003C2AC6" w:rsidP="003C2AC6">
      <w:pPr>
        <w:pStyle w:val="PrrafodeSentencia"/>
      </w:pPr>
    </w:p>
    <w:p w14:paraId="000DA111"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La señora Ramírez Castro n</w:t>
      </w:r>
      <w:r>
        <w:rPr>
          <w:i w:val="0"/>
          <w:szCs w:val="20"/>
        </w:rPr>
        <w:t>ació el 10 de noviembre de 1974.</w:t>
      </w:r>
      <w:r w:rsidRPr="00A87DBC">
        <w:rPr>
          <w:rStyle w:val="Refdenotaalpie"/>
          <w:b/>
          <w:i w:val="0"/>
        </w:rPr>
        <w:t>.</w:t>
      </w:r>
      <w:r w:rsidRPr="00A87DBC">
        <w:rPr>
          <w:rStyle w:val="Refdenotaalpie"/>
          <w:i w:val="0"/>
        </w:rPr>
        <w:t xml:space="preserve"> </w:t>
      </w:r>
      <w:r w:rsidRPr="00A87DBC">
        <w:rPr>
          <w:i w:val="0"/>
          <w:szCs w:val="20"/>
        </w:rPr>
        <w:t xml:space="preserve">Reside en Campo Santo Magnolia, Guatemala. Fue diagnosticada con VIH en el año 2002 por el Proyecto Vida de MSF. Inició tratamiento antirretroviral el 17 de febrero del 2004. Inicialmente recibía atención médica por MSF, y posteriormente fue transferida al Hospital Nacional de Coatepeque. Se le han practicado exámenes CD4 (5-9) y de carga viral (4) de manera irregular. Como enfermedades oportunistas ha presentado </w:t>
      </w:r>
      <w:proofErr w:type="spellStart"/>
      <w:r w:rsidRPr="00A87DBC">
        <w:rPr>
          <w:i w:val="0"/>
          <w:szCs w:val="20"/>
        </w:rPr>
        <w:t>criptococo</w:t>
      </w:r>
      <w:proofErr w:type="spellEnd"/>
      <w:r w:rsidRPr="00A87DBC">
        <w:rPr>
          <w:i w:val="0"/>
          <w:szCs w:val="20"/>
        </w:rPr>
        <w:t>, toxoplasmosis, fibromatosis e hiperglicemia</w:t>
      </w:r>
      <w:r w:rsidRPr="00724E4E">
        <w:rPr>
          <w:i w:val="0"/>
          <w:szCs w:val="20"/>
        </w:rPr>
        <w:t>.</w:t>
      </w:r>
      <w:r w:rsidRPr="00A87DBC">
        <w:rPr>
          <w:b/>
          <w:i w:val="0"/>
          <w:szCs w:val="20"/>
        </w:rPr>
        <w:t xml:space="preserve"> </w:t>
      </w:r>
      <w:r w:rsidRPr="00A87DBC">
        <w:rPr>
          <w:i w:val="0"/>
          <w:szCs w:val="20"/>
        </w:rPr>
        <w:t>Se dedica a los oficios domésticos</w:t>
      </w:r>
      <w:r w:rsidRPr="00A87DBC">
        <w:rPr>
          <w:rStyle w:val="Refdenotaalpie"/>
          <w:i w:val="0"/>
        </w:rPr>
        <w:footnoteReference w:id="344"/>
      </w:r>
      <w:r w:rsidRPr="00724E4E">
        <w:rPr>
          <w:i w:val="0"/>
          <w:szCs w:val="20"/>
        </w:rPr>
        <w:t>.</w:t>
      </w:r>
    </w:p>
    <w:p w14:paraId="25E8AD41" w14:textId="77777777" w:rsidR="003C2AC6" w:rsidRPr="00A87DBC" w:rsidRDefault="003C2AC6" w:rsidP="003C2AC6">
      <w:pPr>
        <w:pStyle w:val="Estilo1"/>
        <w:tabs>
          <w:tab w:val="left" w:pos="709"/>
          <w:tab w:val="left" w:pos="1134"/>
        </w:tabs>
        <w:spacing w:after="0"/>
        <w:ind w:left="0" w:right="-4" w:firstLine="0"/>
        <w:rPr>
          <w:i w:val="0"/>
          <w:szCs w:val="20"/>
        </w:rPr>
      </w:pPr>
    </w:p>
    <w:p w14:paraId="6A4B6EEA"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w:t>
      </w:r>
      <w:r>
        <w:rPr>
          <w:i w:val="0"/>
          <w:szCs w:val="20"/>
        </w:rPr>
        <w:t xml:space="preserve"> familiar lo componen su pareja</w:t>
      </w:r>
      <w:r w:rsidRPr="00A87DBC">
        <w:rPr>
          <w:i w:val="0"/>
          <w:szCs w:val="20"/>
        </w:rPr>
        <w:t xml:space="preserve"> Carlos Isaías Martínez</w:t>
      </w:r>
      <w:r>
        <w:rPr>
          <w:i w:val="0"/>
          <w:szCs w:val="20"/>
        </w:rPr>
        <w:t>,</w:t>
      </w:r>
      <w:r w:rsidRPr="00A87DBC">
        <w:rPr>
          <w:i w:val="0"/>
          <w:szCs w:val="20"/>
        </w:rPr>
        <w:t xml:space="preserve"> sus cuatro hijos e hijas </w:t>
      </w:r>
      <w:proofErr w:type="spellStart"/>
      <w:r w:rsidRPr="00A87DBC">
        <w:rPr>
          <w:i w:val="0"/>
          <w:szCs w:val="20"/>
        </w:rPr>
        <w:t>Sayda</w:t>
      </w:r>
      <w:proofErr w:type="spellEnd"/>
      <w:r w:rsidRPr="00A87DBC">
        <w:rPr>
          <w:i w:val="0"/>
          <w:szCs w:val="20"/>
        </w:rPr>
        <w:t xml:space="preserve"> Analy, Oscar Oswaldo y Lucrecia Paola, de apellidos Paz Ramírez, y Fredy Ramírez Castro</w:t>
      </w:r>
      <w:r>
        <w:rPr>
          <w:i w:val="0"/>
          <w:szCs w:val="20"/>
        </w:rPr>
        <w:t>,</w:t>
      </w:r>
      <w:r w:rsidRPr="00A87DBC">
        <w:rPr>
          <w:i w:val="0"/>
          <w:szCs w:val="20"/>
        </w:rPr>
        <w:t xml:space="preserve"> su nieta Evelyn Gabriela y su nieto Carlos Ti</w:t>
      </w:r>
      <w:r>
        <w:rPr>
          <w:i w:val="0"/>
          <w:szCs w:val="20"/>
        </w:rPr>
        <w:t>moteo, de apellidos Paz Ramírez, su padre Alfonso Ramírez,</w:t>
      </w:r>
      <w:r w:rsidRPr="00A87DBC">
        <w:rPr>
          <w:i w:val="0"/>
          <w:szCs w:val="20"/>
        </w:rPr>
        <w:t xml:space="preserve"> su</w:t>
      </w:r>
      <w:r>
        <w:rPr>
          <w:i w:val="0"/>
          <w:szCs w:val="20"/>
        </w:rPr>
        <w:t xml:space="preserve"> madre</w:t>
      </w:r>
      <w:r w:rsidRPr="00A87DBC">
        <w:rPr>
          <w:i w:val="0"/>
          <w:szCs w:val="20"/>
        </w:rPr>
        <w:t xml:space="preserve"> Justa Rufina Castro y sus hermanos Luis Alfonso, Mardoqueo y César augusto, de apellidos Ramírez Castro</w:t>
      </w:r>
      <w:r w:rsidRPr="00A87DBC">
        <w:rPr>
          <w:rStyle w:val="Refdenotaalpie"/>
          <w:i w:val="0"/>
        </w:rPr>
        <w:footnoteReference w:id="345"/>
      </w:r>
      <w:r>
        <w:rPr>
          <w:i w:val="0"/>
          <w:szCs w:val="20"/>
        </w:rPr>
        <w:t>.</w:t>
      </w:r>
      <w:r w:rsidRPr="00A87DBC">
        <w:rPr>
          <w:i w:val="0"/>
          <w:szCs w:val="20"/>
        </w:rPr>
        <w:t xml:space="preserve"> </w:t>
      </w:r>
    </w:p>
    <w:p w14:paraId="6AEB0419" w14:textId="77777777" w:rsidR="003C2AC6" w:rsidRPr="00A87DBC" w:rsidRDefault="003C2AC6" w:rsidP="003C2AC6">
      <w:pPr>
        <w:pStyle w:val="PrrafodeSentencia"/>
      </w:pPr>
    </w:p>
    <w:p w14:paraId="550929B1" w14:textId="77777777" w:rsidR="003C2AC6" w:rsidRPr="00A87DBC" w:rsidRDefault="003C2AC6" w:rsidP="003C2AC6">
      <w:pPr>
        <w:pStyle w:val="PrrafodeSentencia"/>
      </w:pPr>
      <w:r>
        <w:tab/>
      </w:r>
      <w:r w:rsidRPr="00A87DBC">
        <w:t>B.28. Karen Judith Samayoa Vásquez</w:t>
      </w:r>
    </w:p>
    <w:p w14:paraId="5B9159D2" w14:textId="77777777" w:rsidR="003C2AC6" w:rsidRPr="00A87DBC" w:rsidRDefault="003C2AC6" w:rsidP="003C2AC6">
      <w:pPr>
        <w:pStyle w:val="PrrafodeSentencia"/>
      </w:pPr>
    </w:p>
    <w:p w14:paraId="722FA40E"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La señora Samayoa Vásquez es originaria del Municipio de Guatemala, Departamento de Guatemala, Guatemala. Nació el 6 de mayo de 1974. Reside en la Ciudad de Guatemala. Es secretaria comercial</w:t>
      </w:r>
      <w:r w:rsidRPr="00724E4E">
        <w:rPr>
          <w:i w:val="0"/>
          <w:szCs w:val="20"/>
        </w:rPr>
        <w:t>.</w:t>
      </w:r>
      <w:r w:rsidRPr="00A87DBC">
        <w:rPr>
          <w:i w:val="0"/>
          <w:szCs w:val="20"/>
        </w:rPr>
        <w:t xml:space="preserve"> Fue diagnosticada con VIH en el año 2002 en el Hospital San Juan de Dios e inmediatamente fue referida a MSF</w:t>
      </w:r>
      <w:r>
        <w:rPr>
          <w:i w:val="0"/>
          <w:szCs w:val="20"/>
        </w:rPr>
        <w:t>. N</w:t>
      </w:r>
      <w:r w:rsidRPr="00A87DBC">
        <w:rPr>
          <w:i w:val="0"/>
          <w:szCs w:val="20"/>
        </w:rPr>
        <w:t>o recibió tratamiento</w:t>
      </w:r>
      <w:r>
        <w:rPr>
          <w:i w:val="0"/>
          <w:szCs w:val="20"/>
        </w:rPr>
        <w:t xml:space="preserve"> médico en ese momento</w:t>
      </w:r>
      <w:r w:rsidRPr="00A87DBC">
        <w:rPr>
          <w:i w:val="0"/>
          <w:szCs w:val="20"/>
        </w:rPr>
        <w:t xml:space="preserve"> pues había escasez de tratamiento</w:t>
      </w:r>
      <w:r>
        <w:rPr>
          <w:i w:val="0"/>
          <w:szCs w:val="20"/>
        </w:rPr>
        <w:t>,</w:t>
      </w:r>
      <w:r w:rsidRPr="00A87DBC">
        <w:rPr>
          <w:i w:val="0"/>
          <w:szCs w:val="20"/>
        </w:rPr>
        <w:t xml:space="preserve"> y sólo se le proporcionaba a las personas que se encontraban en la etapa final</w:t>
      </w:r>
      <w:r w:rsidRPr="00724E4E">
        <w:rPr>
          <w:i w:val="0"/>
          <w:szCs w:val="20"/>
        </w:rPr>
        <w:t xml:space="preserve">. </w:t>
      </w:r>
      <w:r w:rsidRPr="00A87DBC">
        <w:rPr>
          <w:i w:val="0"/>
          <w:szCs w:val="20"/>
        </w:rPr>
        <w:t>Inició su tratamiento antirretroviral desde el año 2005, pues debido a su embarazo fue necesario administrarle los medicamentos necesarios para evitar la transmisión vertical hacia su hija</w:t>
      </w:r>
      <w:r w:rsidRPr="00E21249">
        <w:rPr>
          <w:i w:val="0"/>
          <w:szCs w:val="20"/>
        </w:rPr>
        <w:t>.</w:t>
      </w:r>
      <w:r w:rsidRPr="00A87DBC">
        <w:rPr>
          <w:i w:val="0"/>
          <w:szCs w:val="20"/>
        </w:rPr>
        <w:t xml:space="preserve"> La atención médica y el tratamiento antirretroviral fueron proporcionados por la Clínica Luis Ángel García</w:t>
      </w:r>
      <w:r>
        <w:rPr>
          <w:i w:val="0"/>
          <w:szCs w:val="20"/>
        </w:rPr>
        <w:t>, a donde acude actualmente. E</w:t>
      </w:r>
      <w:r w:rsidRPr="00A87DBC">
        <w:rPr>
          <w:i w:val="0"/>
          <w:szCs w:val="20"/>
        </w:rPr>
        <w:t>sta clínica se encuentra aproximadamente a 5 kilómetros de distancia de su lugar de residencia</w:t>
      </w:r>
      <w:r w:rsidRPr="00E21249">
        <w:rPr>
          <w:i w:val="0"/>
          <w:szCs w:val="20"/>
        </w:rPr>
        <w:t>.</w:t>
      </w:r>
      <w:r w:rsidRPr="00A87DBC">
        <w:rPr>
          <w:b/>
          <w:i w:val="0"/>
          <w:szCs w:val="20"/>
        </w:rPr>
        <w:t xml:space="preserve"> </w:t>
      </w:r>
      <w:r w:rsidRPr="00A87DBC">
        <w:rPr>
          <w:i w:val="0"/>
          <w:szCs w:val="20"/>
        </w:rPr>
        <w:t>La señora Samayoa Vásquez manifestó que cuando le preguntaron si quería ser trasladada al IGSS, pues tenía ese beneficio por su ex pareja, ella se negó pues “la atención es mala”. Como problemas de salud derivados del VIH ha presentado problemas en los ganglios y depresión. A partir del diagnóstico su situación laboral ha variado</w:t>
      </w:r>
      <w:r>
        <w:rPr>
          <w:i w:val="0"/>
          <w:szCs w:val="20"/>
        </w:rPr>
        <w:t>. H</w:t>
      </w:r>
      <w:r w:rsidRPr="00A87DBC">
        <w:rPr>
          <w:i w:val="0"/>
          <w:szCs w:val="20"/>
        </w:rPr>
        <w:t xml:space="preserve">asta el año 2016 se desempeñaba </w:t>
      </w:r>
      <w:r w:rsidRPr="00A87DBC">
        <w:rPr>
          <w:i w:val="0"/>
          <w:szCs w:val="20"/>
        </w:rPr>
        <w:lastRenderedPageBreak/>
        <w:t>como recepcionista en un restaurante</w:t>
      </w:r>
      <w:r>
        <w:rPr>
          <w:i w:val="0"/>
          <w:szCs w:val="20"/>
        </w:rPr>
        <w:t>. T</w:t>
      </w:r>
      <w:r w:rsidRPr="00A87DBC">
        <w:rPr>
          <w:i w:val="0"/>
          <w:szCs w:val="20"/>
        </w:rPr>
        <w:t>ambién recibe apoyo económico de su expareja</w:t>
      </w:r>
      <w:r>
        <w:rPr>
          <w:i w:val="0"/>
          <w:szCs w:val="20"/>
        </w:rPr>
        <w:t xml:space="preserve"> </w:t>
      </w:r>
      <w:r w:rsidRPr="00A87DBC">
        <w:rPr>
          <w:i w:val="0"/>
          <w:szCs w:val="20"/>
        </w:rPr>
        <w:t>para sufragar los gastos de estudios de su hija</w:t>
      </w:r>
      <w:r w:rsidRPr="00E21249">
        <w:rPr>
          <w:rStyle w:val="Refdenotaalpie"/>
          <w:i w:val="0"/>
        </w:rPr>
        <w:footnoteReference w:id="346"/>
      </w:r>
      <w:r w:rsidRPr="00E21249">
        <w:rPr>
          <w:i w:val="0"/>
          <w:szCs w:val="20"/>
        </w:rPr>
        <w:t>.</w:t>
      </w:r>
    </w:p>
    <w:p w14:paraId="28B593F7" w14:textId="77777777" w:rsidR="003C2AC6" w:rsidRPr="00A87DBC" w:rsidRDefault="003C2AC6" w:rsidP="003C2AC6">
      <w:pPr>
        <w:pStyle w:val="Estilo1"/>
        <w:tabs>
          <w:tab w:val="left" w:pos="709"/>
          <w:tab w:val="left" w:pos="1134"/>
        </w:tabs>
        <w:spacing w:after="0"/>
        <w:ind w:left="0" w:right="-4" w:firstLine="0"/>
        <w:rPr>
          <w:i w:val="0"/>
          <w:szCs w:val="20"/>
        </w:rPr>
      </w:pPr>
    </w:p>
    <w:p w14:paraId="58FA2D57"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w:t>
      </w:r>
      <w:r>
        <w:rPr>
          <w:i w:val="0"/>
          <w:szCs w:val="20"/>
        </w:rPr>
        <w:t>amiliar se compone de sus hijas</w:t>
      </w:r>
      <w:r w:rsidRPr="00A87DBC">
        <w:rPr>
          <w:i w:val="0"/>
          <w:szCs w:val="20"/>
        </w:rPr>
        <w:t xml:space="preserve"> Beverly </w:t>
      </w:r>
      <w:proofErr w:type="spellStart"/>
      <w:r w:rsidRPr="00A87DBC">
        <w:rPr>
          <w:i w:val="0"/>
          <w:szCs w:val="20"/>
        </w:rPr>
        <w:t>Analucía</w:t>
      </w:r>
      <w:proofErr w:type="spellEnd"/>
      <w:r w:rsidRPr="00A87DBC">
        <w:rPr>
          <w:i w:val="0"/>
          <w:szCs w:val="20"/>
        </w:rPr>
        <w:t xml:space="preserve"> Samayoa Vásquez</w:t>
      </w:r>
      <w:r>
        <w:rPr>
          <w:i w:val="0"/>
          <w:szCs w:val="20"/>
        </w:rPr>
        <w:t xml:space="preserve"> y Karen Gabriela Perez Samayoa, y su expareja Israel Pérez C</w:t>
      </w:r>
      <w:r w:rsidRPr="00A87DBC">
        <w:rPr>
          <w:i w:val="0"/>
          <w:szCs w:val="20"/>
        </w:rPr>
        <w:t>haral</w:t>
      </w:r>
      <w:r w:rsidRPr="00A87DBC">
        <w:rPr>
          <w:rStyle w:val="Refdenotaalpie"/>
          <w:i w:val="0"/>
        </w:rPr>
        <w:footnoteReference w:id="347"/>
      </w:r>
      <w:r w:rsidRPr="00A87DBC">
        <w:rPr>
          <w:i w:val="0"/>
          <w:szCs w:val="20"/>
        </w:rPr>
        <w:t>.</w:t>
      </w:r>
    </w:p>
    <w:p w14:paraId="10AA4ECE" w14:textId="77777777" w:rsidR="003C2AC6" w:rsidRPr="00A87DBC" w:rsidRDefault="003C2AC6" w:rsidP="003C2AC6">
      <w:pPr>
        <w:pStyle w:val="PrrafodeSentencia"/>
      </w:pPr>
    </w:p>
    <w:p w14:paraId="709DF366" w14:textId="77777777" w:rsidR="003C2AC6" w:rsidRPr="00A87DBC" w:rsidRDefault="003C2AC6" w:rsidP="003C2AC6">
      <w:pPr>
        <w:pStyle w:val="PrrafodeSentencia"/>
      </w:pPr>
      <w:r>
        <w:tab/>
      </w:r>
      <w:r w:rsidRPr="00A87DBC">
        <w:t>B.29. Francisco Sop Quiej</w:t>
      </w:r>
    </w:p>
    <w:p w14:paraId="768F8397" w14:textId="77777777" w:rsidR="003C2AC6" w:rsidRPr="00A87DBC" w:rsidRDefault="003C2AC6" w:rsidP="003C2AC6">
      <w:pPr>
        <w:pStyle w:val="PrrafodeSentencia"/>
      </w:pPr>
    </w:p>
    <w:p w14:paraId="7AB83B80" w14:textId="565F1733"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El señor </w:t>
      </w:r>
      <w:proofErr w:type="spellStart"/>
      <w:r w:rsidRPr="00A87DBC">
        <w:rPr>
          <w:i w:val="0"/>
          <w:szCs w:val="20"/>
        </w:rPr>
        <w:t>Sop</w:t>
      </w:r>
      <w:proofErr w:type="spellEnd"/>
      <w:r w:rsidRPr="00A87DBC">
        <w:rPr>
          <w:i w:val="0"/>
          <w:szCs w:val="20"/>
        </w:rPr>
        <w:t xml:space="preserve"> </w:t>
      </w:r>
      <w:proofErr w:type="spellStart"/>
      <w:r w:rsidRPr="00A87DBC">
        <w:rPr>
          <w:i w:val="0"/>
          <w:szCs w:val="20"/>
        </w:rPr>
        <w:t>Quiej</w:t>
      </w:r>
      <w:proofErr w:type="spellEnd"/>
      <w:r w:rsidRPr="00A87DBC">
        <w:rPr>
          <w:i w:val="0"/>
          <w:szCs w:val="20"/>
        </w:rPr>
        <w:t xml:space="preserve"> es originario del Municipio de Pueblo Nuevo, Departamento de Suchitepéquez, Guatemala. Nació el 4 de octubre de 1962. Reside en el Departamento de Suchitepéquez, Guatemala</w:t>
      </w:r>
      <w:r w:rsidRPr="00A37FCC">
        <w:rPr>
          <w:i w:val="0"/>
          <w:szCs w:val="20"/>
        </w:rPr>
        <w:t>.</w:t>
      </w:r>
      <w:r w:rsidRPr="00A87DBC">
        <w:rPr>
          <w:i w:val="0"/>
          <w:szCs w:val="20"/>
        </w:rPr>
        <w:t xml:space="preserve"> Tiene título de Bachiller en Ciencias y Letras. Habla español y quiché. Actualmente se desempeña como agricultor</w:t>
      </w:r>
      <w:r>
        <w:rPr>
          <w:i w:val="0"/>
          <w:szCs w:val="20"/>
        </w:rPr>
        <w:t>.</w:t>
      </w:r>
      <w:r w:rsidRPr="00A87DBC">
        <w:rPr>
          <w:i w:val="0"/>
          <w:szCs w:val="20"/>
        </w:rPr>
        <w:t xml:space="preserve"> Fue diagnosticado </w:t>
      </w:r>
      <w:r>
        <w:rPr>
          <w:i w:val="0"/>
          <w:szCs w:val="20"/>
        </w:rPr>
        <w:t xml:space="preserve">con VIH </w:t>
      </w:r>
      <w:r w:rsidRPr="00A87DBC">
        <w:rPr>
          <w:i w:val="0"/>
          <w:szCs w:val="20"/>
        </w:rPr>
        <w:t xml:space="preserve">en agosto del 2000 en el Centro Médico Militar. Recibió atención médica inicialmente en el Hospital Militar y en MSF, y posteriormente fue transferido al Hospital Nacional de Coatepeque aproximadamente en el 2005. Se le han realizado los exámenes de CD4 y de </w:t>
      </w:r>
      <w:r>
        <w:rPr>
          <w:i w:val="0"/>
          <w:szCs w:val="20"/>
        </w:rPr>
        <w:t>carga viral de manera irregular</w:t>
      </w:r>
      <w:r w:rsidRPr="00A87DBC">
        <w:rPr>
          <w:i w:val="0"/>
          <w:szCs w:val="20"/>
        </w:rPr>
        <w:t xml:space="preserve"> y se le practicó al meno</w:t>
      </w:r>
      <w:r>
        <w:rPr>
          <w:i w:val="0"/>
          <w:szCs w:val="20"/>
        </w:rPr>
        <w:t xml:space="preserve">s una vez un examen de genotipo. </w:t>
      </w:r>
      <w:r w:rsidRPr="00A87DBC">
        <w:rPr>
          <w:i w:val="0"/>
          <w:szCs w:val="20"/>
        </w:rPr>
        <w:t>En algunas ocasiones tuvo que sufragar el costo de los exámenes de CD4 y carga viral</w:t>
      </w:r>
      <w:r w:rsidRPr="00A37FCC">
        <w:rPr>
          <w:i w:val="0"/>
          <w:szCs w:val="20"/>
        </w:rPr>
        <w:t xml:space="preserve">. </w:t>
      </w:r>
      <w:r w:rsidRPr="00A87DBC">
        <w:rPr>
          <w:i w:val="0"/>
          <w:szCs w:val="20"/>
        </w:rPr>
        <w:t>No recibió apoyo nutricional, ni social, ni atención familiar, pero sí le entregaron preservativos como método de prevención</w:t>
      </w:r>
      <w:r w:rsidRPr="00A87DBC">
        <w:rPr>
          <w:b/>
          <w:i w:val="0"/>
          <w:szCs w:val="20"/>
        </w:rPr>
        <w:t>.</w:t>
      </w:r>
      <w:r w:rsidRPr="00A87DBC">
        <w:rPr>
          <w:i w:val="0"/>
          <w:szCs w:val="20"/>
        </w:rPr>
        <w:t xml:space="preserve"> Como enfermedad oportunista tuvo moniliasis</w:t>
      </w:r>
      <w:r w:rsidRPr="00A37FCC">
        <w:rPr>
          <w:i w:val="0"/>
          <w:szCs w:val="20"/>
        </w:rPr>
        <w:t xml:space="preserve">. </w:t>
      </w:r>
      <w:r w:rsidRPr="00A87DBC">
        <w:rPr>
          <w:i w:val="0"/>
          <w:szCs w:val="20"/>
        </w:rPr>
        <w:t>Antes del diagnóstico trabajaba en el</w:t>
      </w:r>
      <w:r>
        <w:rPr>
          <w:i w:val="0"/>
          <w:szCs w:val="20"/>
        </w:rPr>
        <w:t xml:space="preserve"> E</w:t>
      </w:r>
      <w:r w:rsidR="00695413">
        <w:rPr>
          <w:i w:val="0"/>
          <w:szCs w:val="20"/>
        </w:rPr>
        <w:t>jército Nacional de Guatemala. P</w:t>
      </w:r>
      <w:r w:rsidRPr="00A87DBC">
        <w:rPr>
          <w:i w:val="0"/>
          <w:szCs w:val="20"/>
        </w:rPr>
        <w:t>osterior</w:t>
      </w:r>
      <w:r>
        <w:rPr>
          <w:i w:val="0"/>
          <w:szCs w:val="20"/>
        </w:rPr>
        <w:t>mente</w:t>
      </w:r>
      <w:r w:rsidRPr="00A87DBC">
        <w:rPr>
          <w:i w:val="0"/>
          <w:szCs w:val="20"/>
        </w:rPr>
        <w:t xml:space="preserve">, y con motivo de los señalamientos que sufrió por parte de algunos de sus compañeros de trabajo y oficiales, se retiró del ejército y se dedicó al cultivo de hoja de </w:t>
      </w:r>
      <w:proofErr w:type="spellStart"/>
      <w:r w:rsidRPr="00A87DBC">
        <w:rPr>
          <w:i w:val="0"/>
          <w:szCs w:val="20"/>
        </w:rPr>
        <w:t>maxán</w:t>
      </w:r>
      <w:proofErr w:type="spellEnd"/>
      <w:r w:rsidRPr="00A87DBC">
        <w:rPr>
          <w:i w:val="0"/>
          <w:szCs w:val="20"/>
        </w:rPr>
        <w:t xml:space="preserve"> con banano y café en un terreno propiedad de su madre. </w:t>
      </w:r>
      <w:r>
        <w:rPr>
          <w:i w:val="0"/>
          <w:szCs w:val="20"/>
        </w:rPr>
        <w:t>Manifestó que d</w:t>
      </w:r>
      <w:r w:rsidRPr="00A87DBC">
        <w:rPr>
          <w:i w:val="0"/>
          <w:szCs w:val="20"/>
        </w:rPr>
        <w:t xml:space="preserve">e su residencia a Coatepeque hace dos horas de camino aproximadamente, y </w:t>
      </w:r>
      <w:r>
        <w:rPr>
          <w:i w:val="0"/>
          <w:szCs w:val="20"/>
        </w:rPr>
        <w:t xml:space="preserve">que </w:t>
      </w:r>
      <w:r w:rsidRPr="00A87DBC">
        <w:rPr>
          <w:i w:val="0"/>
          <w:szCs w:val="20"/>
        </w:rPr>
        <w:t>gasta 60 quetzales por viaje</w:t>
      </w:r>
      <w:r>
        <w:rPr>
          <w:i w:val="0"/>
          <w:szCs w:val="20"/>
        </w:rPr>
        <w:t>. Estos gastos</w:t>
      </w:r>
      <w:r w:rsidRPr="00A87DBC">
        <w:rPr>
          <w:i w:val="0"/>
          <w:szCs w:val="20"/>
        </w:rPr>
        <w:t xml:space="preserve"> no siempre </w:t>
      </w:r>
      <w:r>
        <w:rPr>
          <w:i w:val="0"/>
          <w:szCs w:val="20"/>
        </w:rPr>
        <w:t xml:space="preserve">los </w:t>
      </w:r>
      <w:r w:rsidRPr="00A87DBC">
        <w:rPr>
          <w:i w:val="0"/>
          <w:szCs w:val="20"/>
        </w:rPr>
        <w:t>puede costear, así que debe recurrir a pr</w:t>
      </w:r>
      <w:r>
        <w:rPr>
          <w:i w:val="0"/>
          <w:szCs w:val="20"/>
        </w:rPr>
        <w:t>éstamos con familiares y amigos</w:t>
      </w:r>
      <w:r w:rsidRPr="00A87DBC">
        <w:rPr>
          <w:rStyle w:val="Refdenotaalpie"/>
          <w:i w:val="0"/>
        </w:rPr>
        <w:footnoteReference w:id="348"/>
      </w:r>
      <w:r>
        <w:rPr>
          <w:i w:val="0"/>
          <w:szCs w:val="20"/>
        </w:rPr>
        <w:t>.</w:t>
      </w:r>
    </w:p>
    <w:p w14:paraId="08CFA340" w14:textId="77777777" w:rsidR="003C2AC6" w:rsidRPr="00A87DBC" w:rsidRDefault="003C2AC6" w:rsidP="003C2AC6">
      <w:pPr>
        <w:pStyle w:val="Estilo1"/>
        <w:tabs>
          <w:tab w:val="left" w:pos="709"/>
          <w:tab w:val="left" w:pos="1134"/>
        </w:tabs>
        <w:spacing w:after="0"/>
        <w:ind w:left="0" w:right="-4" w:firstLine="0"/>
        <w:rPr>
          <w:i w:val="0"/>
          <w:szCs w:val="20"/>
        </w:rPr>
      </w:pPr>
    </w:p>
    <w:p w14:paraId="20B68A92"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Forman parte</w:t>
      </w:r>
      <w:r>
        <w:rPr>
          <w:i w:val="0"/>
          <w:szCs w:val="20"/>
        </w:rPr>
        <w:t xml:space="preserve"> de su núcleo familiar su madre Paula </w:t>
      </w:r>
      <w:proofErr w:type="spellStart"/>
      <w:r>
        <w:rPr>
          <w:i w:val="0"/>
          <w:szCs w:val="20"/>
        </w:rPr>
        <w:t>Quiej</w:t>
      </w:r>
      <w:proofErr w:type="spellEnd"/>
      <w:r>
        <w:rPr>
          <w:i w:val="0"/>
          <w:szCs w:val="20"/>
        </w:rPr>
        <w:t>,</w:t>
      </w:r>
      <w:r w:rsidRPr="00A87DBC">
        <w:rPr>
          <w:i w:val="0"/>
          <w:szCs w:val="20"/>
        </w:rPr>
        <w:t xml:space="preserve"> su hermano Antonio</w:t>
      </w:r>
      <w:r>
        <w:rPr>
          <w:i w:val="0"/>
          <w:szCs w:val="20"/>
        </w:rPr>
        <w:t xml:space="preserve">, </w:t>
      </w:r>
      <w:r w:rsidRPr="00A87DBC">
        <w:rPr>
          <w:i w:val="0"/>
          <w:szCs w:val="20"/>
        </w:rPr>
        <w:t>su hermana Doming</w:t>
      </w:r>
      <w:r>
        <w:rPr>
          <w:i w:val="0"/>
          <w:szCs w:val="20"/>
        </w:rPr>
        <w:t xml:space="preserve">a, ambos de apellidos </w:t>
      </w:r>
      <w:proofErr w:type="spellStart"/>
      <w:r>
        <w:rPr>
          <w:i w:val="0"/>
          <w:szCs w:val="20"/>
        </w:rPr>
        <w:t>Sop</w:t>
      </w:r>
      <w:proofErr w:type="spellEnd"/>
      <w:r>
        <w:rPr>
          <w:i w:val="0"/>
          <w:szCs w:val="20"/>
        </w:rPr>
        <w:t xml:space="preserve"> </w:t>
      </w:r>
      <w:proofErr w:type="spellStart"/>
      <w:r>
        <w:rPr>
          <w:i w:val="0"/>
          <w:szCs w:val="20"/>
        </w:rPr>
        <w:t>Quiej</w:t>
      </w:r>
      <w:proofErr w:type="spellEnd"/>
      <w:r>
        <w:rPr>
          <w:i w:val="0"/>
          <w:szCs w:val="20"/>
        </w:rPr>
        <w:t>, y su sobrino</w:t>
      </w:r>
      <w:r w:rsidRPr="00A87DBC">
        <w:rPr>
          <w:i w:val="0"/>
          <w:szCs w:val="20"/>
        </w:rPr>
        <w:t xml:space="preserve"> Rony Sixta </w:t>
      </w:r>
      <w:proofErr w:type="spellStart"/>
      <w:r w:rsidRPr="00A87DBC">
        <w:rPr>
          <w:i w:val="0"/>
          <w:szCs w:val="20"/>
        </w:rPr>
        <w:t>Sop</w:t>
      </w:r>
      <w:proofErr w:type="spellEnd"/>
      <w:r w:rsidRPr="00A87DBC">
        <w:rPr>
          <w:rStyle w:val="Refdenotaalpie"/>
          <w:i w:val="0"/>
        </w:rPr>
        <w:footnoteReference w:id="349"/>
      </w:r>
      <w:r w:rsidRPr="00A87DBC">
        <w:rPr>
          <w:i w:val="0"/>
          <w:szCs w:val="20"/>
        </w:rPr>
        <w:t>.</w:t>
      </w:r>
    </w:p>
    <w:p w14:paraId="15EEBEFC" w14:textId="77777777" w:rsidR="003C2AC6" w:rsidRPr="00A87DBC" w:rsidRDefault="003C2AC6" w:rsidP="003C2AC6">
      <w:pPr>
        <w:pStyle w:val="PrrafodeSentencia"/>
      </w:pPr>
    </w:p>
    <w:p w14:paraId="03218904" w14:textId="77777777" w:rsidR="003C2AC6" w:rsidRPr="00A87DBC" w:rsidRDefault="003C2AC6" w:rsidP="003C2AC6">
      <w:pPr>
        <w:pStyle w:val="PrrafodeSentencia"/>
      </w:pPr>
      <w:r>
        <w:tab/>
      </w:r>
      <w:r w:rsidRPr="00A87DBC">
        <w:t>B.30. Jorge Armando Tavares Barreno</w:t>
      </w:r>
    </w:p>
    <w:p w14:paraId="38920C29" w14:textId="77777777" w:rsidR="003C2AC6" w:rsidRPr="00A87DBC" w:rsidRDefault="003C2AC6" w:rsidP="003C2AC6">
      <w:pPr>
        <w:pStyle w:val="PrrafodeSentencia"/>
      </w:pPr>
    </w:p>
    <w:p w14:paraId="55E95318"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El señor Tavares Barreno es originario y residente del Municipio de Coatepeque, Departamento de Quetza</w:t>
      </w:r>
      <w:r>
        <w:rPr>
          <w:i w:val="0"/>
          <w:szCs w:val="20"/>
        </w:rPr>
        <w:t>ltenango, Guatemala</w:t>
      </w:r>
      <w:r w:rsidRPr="00A87DBC">
        <w:rPr>
          <w:i w:val="0"/>
          <w:szCs w:val="20"/>
        </w:rPr>
        <w:t>. Nació el 6 de noviembre de 1980</w:t>
      </w:r>
      <w:r w:rsidRPr="001D3F8A">
        <w:rPr>
          <w:i w:val="0"/>
          <w:szCs w:val="20"/>
        </w:rPr>
        <w:t xml:space="preserve">. </w:t>
      </w:r>
      <w:r w:rsidRPr="00A87DBC">
        <w:rPr>
          <w:i w:val="0"/>
          <w:szCs w:val="20"/>
        </w:rPr>
        <w:t xml:space="preserve">Fue diagnosticado con VIH en el año 2001 en la clínica 12 del Hospital Nacional de Coatepeque. Antes de ser diagnosticado trabajaba en una carpintería, y posteriormente trabajó a cuenta propia. Inició tratamiento antirretroviral en el 2002 a través de MSF, </w:t>
      </w:r>
      <w:r>
        <w:rPr>
          <w:i w:val="0"/>
          <w:szCs w:val="20"/>
        </w:rPr>
        <w:t xml:space="preserve">y </w:t>
      </w:r>
      <w:r w:rsidRPr="00A87DBC">
        <w:rPr>
          <w:i w:val="0"/>
          <w:szCs w:val="20"/>
        </w:rPr>
        <w:t xml:space="preserve">posteriormente fue </w:t>
      </w:r>
      <w:r w:rsidRPr="00A87DBC">
        <w:rPr>
          <w:i w:val="0"/>
          <w:szCs w:val="20"/>
        </w:rPr>
        <w:lastRenderedPageBreak/>
        <w:t>transferido al Hospital Nacional Coatepeque</w:t>
      </w:r>
      <w:r w:rsidRPr="001D3F8A">
        <w:rPr>
          <w:i w:val="0"/>
          <w:szCs w:val="20"/>
        </w:rPr>
        <w:t>.</w:t>
      </w:r>
      <w:r w:rsidRPr="00A87DBC">
        <w:rPr>
          <w:i w:val="0"/>
          <w:szCs w:val="20"/>
        </w:rPr>
        <w:t xml:space="preserve"> Se le ha practicado un examen de CD4 y uno de carga viral. Ha padecido enfermedades oportunistas como meningitis por </w:t>
      </w:r>
      <w:proofErr w:type="spellStart"/>
      <w:r w:rsidRPr="00A87DBC">
        <w:rPr>
          <w:i w:val="0"/>
          <w:szCs w:val="20"/>
        </w:rPr>
        <w:t>criptococo</w:t>
      </w:r>
      <w:proofErr w:type="spellEnd"/>
      <w:r w:rsidRPr="00A87DBC">
        <w:rPr>
          <w:i w:val="0"/>
          <w:szCs w:val="20"/>
        </w:rPr>
        <w:t>, tuberculosis pulmonar, visión borrosa, candidiasis oral, síndrome de desgaste agudo, leucoplasia oral vellosa, úlcer</w:t>
      </w:r>
      <w:r>
        <w:rPr>
          <w:i w:val="0"/>
          <w:szCs w:val="20"/>
        </w:rPr>
        <w:t xml:space="preserve">a genital, neumonía por </w:t>
      </w:r>
      <w:proofErr w:type="spellStart"/>
      <w:r>
        <w:rPr>
          <w:i w:val="0"/>
          <w:szCs w:val="20"/>
        </w:rPr>
        <w:t>pneumocystis</w:t>
      </w:r>
      <w:proofErr w:type="spellEnd"/>
      <w:r>
        <w:rPr>
          <w:i w:val="0"/>
          <w:szCs w:val="20"/>
        </w:rPr>
        <w:t>, herpes</w:t>
      </w:r>
      <w:r w:rsidRPr="00A87DBC">
        <w:rPr>
          <w:i w:val="0"/>
          <w:szCs w:val="20"/>
        </w:rPr>
        <w:t>, DCA, paludismo, neuropatía periférica e impotencia sexual. Ha recibido pláticas sobre el uso del preservativo para evitar reinfecciones, así como para tener una buena adherencia</w:t>
      </w:r>
      <w:r w:rsidRPr="00A87DBC">
        <w:rPr>
          <w:rStyle w:val="Refdenotaalpie"/>
          <w:i w:val="0"/>
        </w:rPr>
        <w:footnoteReference w:id="350"/>
      </w:r>
      <w:r>
        <w:rPr>
          <w:i w:val="0"/>
          <w:szCs w:val="20"/>
        </w:rPr>
        <w:t>.</w:t>
      </w:r>
    </w:p>
    <w:p w14:paraId="73259429" w14:textId="77777777" w:rsidR="003C2AC6" w:rsidRPr="00A87DBC" w:rsidRDefault="003C2AC6" w:rsidP="003C2AC6">
      <w:pPr>
        <w:pStyle w:val="Estilo1"/>
        <w:tabs>
          <w:tab w:val="left" w:pos="709"/>
          <w:tab w:val="left" w:pos="1134"/>
        </w:tabs>
        <w:spacing w:after="0"/>
        <w:ind w:left="0" w:right="-4" w:firstLine="0"/>
        <w:rPr>
          <w:i w:val="0"/>
          <w:szCs w:val="20"/>
        </w:rPr>
      </w:pPr>
    </w:p>
    <w:p w14:paraId="03B1DDF0"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familiar está compuesto por su esposa Brenda Magaly Cardona Rodríguez</w:t>
      </w:r>
      <w:r>
        <w:rPr>
          <w:i w:val="0"/>
          <w:szCs w:val="20"/>
        </w:rPr>
        <w:t>,</w:t>
      </w:r>
      <w:r w:rsidRPr="00A87DBC">
        <w:rPr>
          <w:i w:val="0"/>
          <w:szCs w:val="20"/>
        </w:rPr>
        <w:t xml:space="preserve"> sus dos hijos Jimmy Armando y </w:t>
      </w:r>
      <w:proofErr w:type="spellStart"/>
      <w:r w:rsidRPr="00A87DBC">
        <w:rPr>
          <w:i w:val="0"/>
          <w:szCs w:val="20"/>
        </w:rPr>
        <w:t>Loidy</w:t>
      </w:r>
      <w:proofErr w:type="spellEnd"/>
      <w:r w:rsidRPr="00A87DBC">
        <w:rPr>
          <w:i w:val="0"/>
          <w:szCs w:val="20"/>
        </w:rPr>
        <w:t xml:space="preserve"> Nohemí, de apellidos Tavares Cardona</w:t>
      </w:r>
      <w:r>
        <w:rPr>
          <w:i w:val="0"/>
          <w:szCs w:val="20"/>
        </w:rPr>
        <w:t>, su madre</w:t>
      </w:r>
      <w:r w:rsidRPr="00A87DBC">
        <w:rPr>
          <w:i w:val="0"/>
          <w:szCs w:val="20"/>
        </w:rPr>
        <w:t xml:space="preserve"> Sara Barreno </w:t>
      </w:r>
      <w:proofErr w:type="spellStart"/>
      <w:r w:rsidRPr="00A87DBC">
        <w:rPr>
          <w:i w:val="0"/>
          <w:szCs w:val="20"/>
        </w:rPr>
        <w:t>Arrango</w:t>
      </w:r>
      <w:proofErr w:type="spellEnd"/>
      <w:r>
        <w:rPr>
          <w:i w:val="0"/>
          <w:szCs w:val="20"/>
        </w:rPr>
        <w:t xml:space="preserve">, </w:t>
      </w:r>
      <w:r w:rsidRPr="00A87DBC">
        <w:rPr>
          <w:i w:val="0"/>
          <w:szCs w:val="20"/>
        </w:rPr>
        <w:t>su padre Francisco Tavares García</w:t>
      </w:r>
      <w:r>
        <w:rPr>
          <w:i w:val="0"/>
          <w:szCs w:val="20"/>
        </w:rPr>
        <w:t>,</w:t>
      </w:r>
      <w:r w:rsidRPr="00A87DBC">
        <w:rPr>
          <w:i w:val="0"/>
          <w:szCs w:val="20"/>
        </w:rPr>
        <w:t xml:space="preserve"> su hermana Rosaura</w:t>
      </w:r>
      <w:r>
        <w:rPr>
          <w:i w:val="0"/>
          <w:szCs w:val="20"/>
        </w:rPr>
        <w:t>,</w:t>
      </w:r>
      <w:r w:rsidRPr="00A87DBC">
        <w:rPr>
          <w:i w:val="0"/>
          <w:szCs w:val="20"/>
        </w:rPr>
        <w:t xml:space="preserve"> sus hermanos Mario Eduardo y José Francisco, todos de apellidos Tavares de León</w:t>
      </w:r>
      <w:r>
        <w:rPr>
          <w:i w:val="0"/>
          <w:szCs w:val="20"/>
        </w:rPr>
        <w:t>,</w:t>
      </w:r>
      <w:r w:rsidRPr="00A87DBC">
        <w:rPr>
          <w:i w:val="0"/>
          <w:szCs w:val="20"/>
        </w:rPr>
        <w:t xml:space="preserve"> y su suegra Clarisa </w:t>
      </w:r>
      <w:proofErr w:type="spellStart"/>
      <w:r w:rsidRPr="00A87DBC">
        <w:rPr>
          <w:i w:val="0"/>
          <w:szCs w:val="20"/>
        </w:rPr>
        <w:t>Eberatriz</w:t>
      </w:r>
      <w:proofErr w:type="spellEnd"/>
      <w:r w:rsidRPr="00A87DBC">
        <w:rPr>
          <w:i w:val="0"/>
          <w:szCs w:val="20"/>
        </w:rPr>
        <w:t xml:space="preserve"> Rodríguez</w:t>
      </w:r>
      <w:r w:rsidRPr="00A87DBC">
        <w:rPr>
          <w:rStyle w:val="Refdenotaalpie"/>
          <w:i w:val="0"/>
        </w:rPr>
        <w:footnoteReference w:id="351"/>
      </w:r>
      <w:r w:rsidRPr="00A87DBC">
        <w:rPr>
          <w:i w:val="0"/>
          <w:szCs w:val="20"/>
        </w:rPr>
        <w:t>.</w:t>
      </w:r>
    </w:p>
    <w:p w14:paraId="599BE906" w14:textId="77777777" w:rsidR="003C2AC6" w:rsidRPr="001D3F8A" w:rsidRDefault="003C2AC6" w:rsidP="003C2AC6">
      <w:pPr>
        <w:pStyle w:val="PrrafodeSentencia"/>
      </w:pPr>
    </w:p>
    <w:p w14:paraId="4D4764CB" w14:textId="77777777" w:rsidR="003C2AC6" w:rsidRPr="00A87DBC" w:rsidRDefault="003C2AC6" w:rsidP="003C2AC6">
      <w:pPr>
        <w:pStyle w:val="PrrafodeSentencia"/>
      </w:pPr>
      <w:r>
        <w:tab/>
      </w:r>
      <w:r w:rsidRPr="00A87DBC">
        <w:t>B.31. Miguel Lucas Vaíl</w:t>
      </w:r>
    </w:p>
    <w:p w14:paraId="46F2A2E0" w14:textId="77777777" w:rsidR="003C2AC6" w:rsidRPr="00A87DBC" w:rsidRDefault="003C2AC6" w:rsidP="003C2AC6">
      <w:pPr>
        <w:pStyle w:val="PrrafodeSentencia"/>
      </w:pPr>
    </w:p>
    <w:p w14:paraId="655F5120"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El señor Lucas </w:t>
      </w:r>
      <w:proofErr w:type="spellStart"/>
      <w:r w:rsidRPr="00A87DBC">
        <w:rPr>
          <w:i w:val="0"/>
          <w:szCs w:val="20"/>
        </w:rPr>
        <w:t>Vaíl</w:t>
      </w:r>
      <w:proofErr w:type="spellEnd"/>
      <w:r w:rsidRPr="00A87DBC">
        <w:rPr>
          <w:i w:val="0"/>
          <w:szCs w:val="20"/>
        </w:rPr>
        <w:t xml:space="preserve"> es originario del Municipio de </w:t>
      </w:r>
      <w:proofErr w:type="spellStart"/>
      <w:r w:rsidRPr="00A87DBC">
        <w:rPr>
          <w:i w:val="0"/>
          <w:szCs w:val="20"/>
        </w:rPr>
        <w:t>Huitán</w:t>
      </w:r>
      <w:proofErr w:type="spellEnd"/>
      <w:r w:rsidRPr="00A87DBC">
        <w:rPr>
          <w:i w:val="0"/>
          <w:szCs w:val="20"/>
        </w:rPr>
        <w:t>, Departamento de Quetza</w:t>
      </w:r>
      <w:r>
        <w:rPr>
          <w:i w:val="0"/>
          <w:szCs w:val="20"/>
        </w:rPr>
        <w:t>ltenango. Nació el 23 de septie</w:t>
      </w:r>
      <w:r w:rsidRPr="00A87DBC">
        <w:rPr>
          <w:i w:val="0"/>
          <w:szCs w:val="20"/>
        </w:rPr>
        <w:t>mbre de 1946. Reside en el Departamento de Quetzaltenango, Guatemala. No asistió a la es</w:t>
      </w:r>
      <w:r>
        <w:rPr>
          <w:i w:val="0"/>
          <w:szCs w:val="20"/>
        </w:rPr>
        <w:t>cuela y</w:t>
      </w:r>
      <w:r w:rsidRPr="00A87DBC">
        <w:rPr>
          <w:i w:val="0"/>
          <w:szCs w:val="20"/>
        </w:rPr>
        <w:t xml:space="preserve"> no sabe leer ni escribir. Fue </w:t>
      </w:r>
      <w:r>
        <w:rPr>
          <w:i w:val="0"/>
          <w:szCs w:val="20"/>
        </w:rPr>
        <w:t>diagnosticado con VIH en 2001</w:t>
      </w:r>
      <w:r w:rsidRPr="00A87DBC">
        <w:rPr>
          <w:i w:val="0"/>
          <w:szCs w:val="20"/>
        </w:rPr>
        <w:t xml:space="preserve"> en una clínica privada en la Ciudad de Guatemala. </w:t>
      </w:r>
      <w:r>
        <w:rPr>
          <w:i w:val="0"/>
          <w:szCs w:val="20"/>
        </w:rPr>
        <w:t xml:space="preserve">Durante un año acudió al </w:t>
      </w:r>
      <w:r w:rsidRPr="00A87DBC">
        <w:rPr>
          <w:i w:val="0"/>
          <w:szCs w:val="20"/>
        </w:rPr>
        <w:t>Hospital General San Juan de Dios</w:t>
      </w:r>
      <w:r>
        <w:rPr>
          <w:i w:val="0"/>
          <w:szCs w:val="20"/>
        </w:rPr>
        <w:t>, t</w:t>
      </w:r>
      <w:r w:rsidRPr="00A87DBC">
        <w:rPr>
          <w:i w:val="0"/>
          <w:szCs w:val="20"/>
        </w:rPr>
        <w:t xml:space="preserve">oda vez que su fuente de trabajo se encontraba </w:t>
      </w:r>
      <w:r>
        <w:rPr>
          <w:i w:val="0"/>
          <w:szCs w:val="20"/>
        </w:rPr>
        <w:t>en la capital. N</w:t>
      </w:r>
      <w:r w:rsidRPr="00A87DBC">
        <w:rPr>
          <w:i w:val="0"/>
          <w:szCs w:val="20"/>
        </w:rPr>
        <w:t>o recibió tratamiento antirretroviral. En el 2004 comenzó el tratamiento antirretroviral a través de MSF,</w:t>
      </w:r>
      <w:r>
        <w:rPr>
          <w:i w:val="0"/>
          <w:szCs w:val="20"/>
        </w:rPr>
        <w:t xml:space="preserve"> y</w:t>
      </w:r>
      <w:r w:rsidRPr="00A87DBC">
        <w:rPr>
          <w:i w:val="0"/>
          <w:szCs w:val="20"/>
        </w:rPr>
        <w:t xml:space="preserve"> posteriormente fue transferido a la Clínica 12 del Hospital Nacional de Coatepeque</w:t>
      </w:r>
      <w:r>
        <w:rPr>
          <w:rStyle w:val="Refdenotaalpie"/>
          <w:i w:val="0"/>
        </w:rPr>
        <w:t xml:space="preserve">. </w:t>
      </w:r>
      <w:r>
        <w:rPr>
          <w:i w:val="0"/>
          <w:szCs w:val="20"/>
        </w:rPr>
        <w:t>I</w:t>
      </w:r>
      <w:r w:rsidRPr="00A87DBC">
        <w:rPr>
          <w:i w:val="0"/>
          <w:szCs w:val="20"/>
        </w:rPr>
        <w:t>nicialmente tampoco recibió tratamiento antirretroviral por el desabasto. De su residencia actual al hospital hace 30 minutos de camino</w:t>
      </w:r>
      <w:r w:rsidRPr="0008310C">
        <w:rPr>
          <w:i w:val="0"/>
          <w:szCs w:val="20"/>
        </w:rPr>
        <w:t>.</w:t>
      </w:r>
      <w:r w:rsidRPr="00A87DBC">
        <w:rPr>
          <w:i w:val="0"/>
          <w:szCs w:val="20"/>
        </w:rPr>
        <w:t xml:space="preserve"> Los exámenes de CD4 (5) y carga viral (1) le han sido practicados de forma irregular. Ha padecido de candidiasis oral, infecciones en el tracto respiratorio superior y diarrea. Ha recibido pláticas sobre cómo usar el condón y sobre adherencia en la Clínica 12 del Hospital Nacional de Coatepeque. Antes y después de su diagnóstico se desempeñaba como jardinero. En ocasiones ha tenido que pagar el costo de algunos exámenes o trasladarse al hospital</w:t>
      </w:r>
      <w:r>
        <w:rPr>
          <w:i w:val="0"/>
          <w:szCs w:val="20"/>
        </w:rPr>
        <w:t>. D</w:t>
      </w:r>
      <w:r w:rsidRPr="00A87DBC">
        <w:rPr>
          <w:i w:val="0"/>
          <w:szCs w:val="20"/>
        </w:rPr>
        <w:t>icho traslado tiene un costo de 150 quetzales y se demora 5 horas en llegar, pero usualmente recibe ayuda de sus patrones para afrontar esos gastos</w:t>
      </w:r>
      <w:r w:rsidRPr="0008310C">
        <w:rPr>
          <w:rStyle w:val="Refdenotaalpie"/>
          <w:i w:val="0"/>
        </w:rPr>
        <w:footnoteReference w:id="352"/>
      </w:r>
      <w:r>
        <w:rPr>
          <w:i w:val="0"/>
          <w:szCs w:val="20"/>
        </w:rPr>
        <w:t>.</w:t>
      </w:r>
    </w:p>
    <w:p w14:paraId="14B82C18" w14:textId="77777777" w:rsidR="003C2AC6" w:rsidRPr="00A87DBC" w:rsidRDefault="003C2AC6" w:rsidP="003C2AC6">
      <w:pPr>
        <w:pStyle w:val="Estilo1"/>
        <w:tabs>
          <w:tab w:val="left" w:pos="709"/>
          <w:tab w:val="left" w:pos="1134"/>
        </w:tabs>
        <w:spacing w:after="0"/>
        <w:ind w:left="0" w:right="-4" w:firstLine="0"/>
        <w:rPr>
          <w:i w:val="0"/>
          <w:szCs w:val="20"/>
        </w:rPr>
      </w:pPr>
    </w:p>
    <w:p w14:paraId="788044AB"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familiar se compone de sus hijos e hijas, Ramón, Romeo, Mario Romeo, Miguel, Silvia Marleny, Adán, Ana Patricia y Juan Carlos, todos de apellidos Lucas Miranda</w:t>
      </w:r>
      <w:r w:rsidRPr="0008310C">
        <w:rPr>
          <w:i w:val="0"/>
          <w:szCs w:val="20"/>
        </w:rPr>
        <w:t>,</w:t>
      </w:r>
      <w:r w:rsidRPr="00A87DBC">
        <w:rPr>
          <w:i w:val="0"/>
          <w:szCs w:val="20"/>
        </w:rPr>
        <w:t xml:space="preserve"> </w:t>
      </w:r>
      <w:r>
        <w:rPr>
          <w:i w:val="0"/>
          <w:szCs w:val="20"/>
        </w:rPr>
        <w:t xml:space="preserve">y </w:t>
      </w:r>
      <w:r w:rsidRPr="00A87DBC">
        <w:rPr>
          <w:i w:val="0"/>
          <w:szCs w:val="20"/>
        </w:rPr>
        <w:t xml:space="preserve">su nieta María Dominga y su nieto Uri Miguel, de apellidos Lucas Miranda. Vive con su hija Ana Patricia Lucas Miranda y sus dos nietos. Tiene un tercer nieto, al cual reconoció como </w:t>
      </w:r>
      <w:r w:rsidRPr="00A87DBC">
        <w:rPr>
          <w:i w:val="0"/>
          <w:szCs w:val="20"/>
        </w:rPr>
        <w:lastRenderedPageBreak/>
        <w:t xml:space="preserve">hijo. Su esposa, María Dominga Miranda, falleció el 29 de noviembre del 2001 </w:t>
      </w:r>
      <w:r>
        <w:rPr>
          <w:i w:val="0"/>
          <w:szCs w:val="20"/>
        </w:rPr>
        <w:t>por causas relacionadas con su condición como persona que vivía con</w:t>
      </w:r>
      <w:r w:rsidRPr="00A87DBC">
        <w:rPr>
          <w:i w:val="0"/>
          <w:szCs w:val="20"/>
        </w:rPr>
        <w:t xml:space="preserve"> VIH</w:t>
      </w:r>
      <w:r w:rsidRPr="00A87DBC">
        <w:rPr>
          <w:rStyle w:val="Refdenotaalpie"/>
          <w:i w:val="0"/>
        </w:rPr>
        <w:footnoteReference w:id="353"/>
      </w:r>
      <w:r>
        <w:rPr>
          <w:i w:val="0"/>
          <w:szCs w:val="20"/>
        </w:rPr>
        <w:t>.</w:t>
      </w:r>
    </w:p>
    <w:p w14:paraId="6BD75DE9" w14:textId="77777777" w:rsidR="003C2AC6" w:rsidRPr="00A87DBC" w:rsidRDefault="003C2AC6" w:rsidP="003C2AC6">
      <w:pPr>
        <w:pStyle w:val="PrrafodeSentencia"/>
      </w:pPr>
    </w:p>
    <w:p w14:paraId="403AB559" w14:textId="77777777" w:rsidR="003C2AC6" w:rsidRPr="00A87DBC" w:rsidRDefault="003C2AC6" w:rsidP="003C2AC6">
      <w:pPr>
        <w:pStyle w:val="PrrafodeSentencia"/>
      </w:pPr>
      <w:r>
        <w:tab/>
      </w:r>
      <w:r w:rsidRPr="00147A69">
        <w:t>B.32. Santos Vásquez Oliveros</w:t>
      </w:r>
    </w:p>
    <w:p w14:paraId="274BDAFE" w14:textId="77777777" w:rsidR="003C2AC6" w:rsidRPr="00A87DBC" w:rsidRDefault="003C2AC6" w:rsidP="003C2AC6">
      <w:pPr>
        <w:pStyle w:val="PrrafodeSentencia"/>
      </w:pPr>
    </w:p>
    <w:p w14:paraId="241D1CF0" w14:textId="204D24A6"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El señor Vásquez Oliveros reside en </w:t>
      </w:r>
      <w:proofErr w:type="spellStart"/>
      <w:r w:rsidRPr="00A87DBC">
        <w:rPr>
          <w:i w:val="0"/>
          <w:szCs w:val="20"/>
        </w:rPr>
        <w:t>Parcelamiento</w:t>
      </w:r>
      <w:proofErr w:type="spellEnd"/>
      <w:r w:rsidRPr="00A87DBC">
        <w:rPr>
          <w:i w:val="0"/>
          <w:szCs w:val="20"/>
        </w:rPr>
        <w:t xml:space="preserve"> el Pital, Municipio de Coatepeque, Departamento de Quetzaltenango, Guatemala</w:t>
      </w:r>
      <w:r w:rsidRPr="00147A69">
        <w:rPr>
          <w:i w:val="0"/>
          <w:szCs w:val="20"/>
        </w:rPr>
        <w:t>.</w:t>
      </w:r>
      <w:r w:rsidRPr="00A87DBC">
        <w:rPr>
          <w:i w:val="0"/>
          <w:szCs w:val="20"/>
        </w:rPr>
        <w:t xml:space="preserve"> Fue diagnosticado con VIH en el año 2002 en una clínica particular</w:t>
      </w:r>
      <w:r w:rsidRPr="00147A69">
        <w:rPr>
          <w:i w:val="0"/>
          <w:szCs w:val="20"/>
        </w:rPr>
        <w:t>.</w:t>
      </w:r>
      <w:r w:rsidRPr="00A87DBC">
        <w:rPr>
          <w:i w:val="0"/>
          <w:szCs w:val="20"/>
        </w:rPr>
        <w:t xml:space="preserve"> Inició tratamiento antirretroviral en el año 2003</w:t>
      </w:r>
      <w:r w:rsidRPr="00A87DBC" w:rsidDel="004530C3">
        <w:rPr>
          <w:rStyle w:val="Refdenotaalpie"/>
          <w:i w:val="0"/>
        </w:rPr>
        <w:t xml:space="preserve"> </w:t>
      </w:r>
      <w:r w:rsidRPr="00A87DBC">
        <w:rPr>
          <w:i w:val="0"/>
          <w:szCs w:val="20"/>
        </w:rPr>
        <w:t xml:space="preserve">con MSF, y actualmente se los proporciona la Clínica 12 del Hospital Nacional de Coatepeque. Se le han realizado exámenes CD4 y de carga viral de manera irregular. Ha presentado como enfermedades oportunistas candidiasis oral, desnutrición grado I, </w:t>
      </w:r>
      <w:proofErr w:type="spellStart"/>
      <w:r w:rsidRPr="00A87DBC">
        <w:rPr>
          <w:i w:val="0"/>
          <w:szCs w:val="20"/>
          <w:shd w:val="clear" w:color="auto" w:fill="FFFFFF" w:themeFill="background1"/>
        </w:rPr>
        <w:t>lombalgia</w:t>
      </w:r>
      <w:proofErr w:type="spellEnd"/>
      <w:r w:rsidRPr="00A87DBC">
        <w:rPr>
          <w:i w:val="0"/>
          <w:szCs w:val="20"/>
        </w:rPr>
        <w:t xml:space="preserve"> y amigdalitis. Ha recibido pláticas sobre adherencia y sobre el uso del preservativo para evitar la reinfección por parte de proyecto vida y psicólogos de la Clínica 12. Antes de recibir el diagnóstico estaba desempleado, posterior a éste se desempeñó como jornalero</w:t>
      </w:r>
      <w:r w:rsidRPr="00147A69">
        <w:rPr>
          <w:i w:val="0"/>
          <w:szCs w:val="20"/>
        </w:rPr>
        <w:t>.</w:t>
      </w:r>
      <w:r w:rsidRPr="00A87DBC">
        <w:rPr>
          <w:i w:val="0"/>
          <w:szCs w:val="20"/>
        </w:rPr>
        <w:t xml:space="preserve"> Para trasladarse a la Clínica gasta 25 quetzales y se demora una hora para llegar</w:t>
      </w:r>
      <w:r w:rsidRPr="00A87DBC">
        <w:rPr>
          <w:rStyle w:val="Refdenotaalpie"/>
          <w:i w:val="0"/>
        </w:rPr>
        <w:footnoteReference w:id="354"/>
      </w:r>
      <w:r>
        <w:rPr>
          <w:i w:val="0"/>
          <w:szCs w:val="20"/>
        </w:rPr>
        <w:t>.</w:t>
      </w:r>
    </w:p>
    <w:p w14:paraId="0BEBF4CA" w14:textId="77777777" w:rsidR="003C2AC6" w:rsidRPr="00A87DBC" w:rsidRDefault="003C2AC6" w:rsidP="003C2AC6">
      <w:pPr>
        <w:pStyle w:val="Estilo1"/>
        <w:tabs>
          <w:tab w:val="left" w:pos="709"/>
          <w:tab w:val="left" w:pos="1134"/>
        </w:tabs>
        <w:spacing w:after="0"/>
        <w:ind w:left="0" w:right="-4" w:firstLine="0"/>
        <w:rPr>
          <w:i w:val="0"/>
          <w:szCs w:val="20"/>
        </w:rPr>
      </w:pPr>
    </w:p>
    <w:p w14:paraId="761A9570"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Su núcleo familiar lo conforman su esposa</w:t>
      </w:r>
      <w:r>
        <w:rPr>
          <w:i w:val="0"/>
          <w:szCs w:val="20"/>
        </w:rPr>
        <w:t xml:space="preserve"> María Elena Moreno,</w:t>
      </w:r>
      <w:r w:rsidRPr="00A87DBC">
        <w:rPr>
          <w:i w:val="0"/>
          <w:szCs w:val="20"/>
        </w:rPr>
        <w:t xml:space="preserve"> sus dos hijas Viviana Mercedes y María Elena, ambas de apellidos Vásquez Moreno</w:t>
      </w:r>
      <w:r>
        <w:rPr>
          <w:i w:val="0"/>
          <w:szCs w:val="20"/>
        </w:rPr>
        <w:t>,</w:t>
      </w:r>
      <w:r w:rsidRPr="00A87DBC">
        <w:rPr>
          <w:i w:val="0"/>
          <w:szCs w:val="20"/>
        </w:rPr>
        <w:t xml:space="preserve"> su padre</w:t>
      </w:r>
      <w:r>
        <w:rPr>
          <w:i w:val="0"/>
          <w:szCs w:val="20"/>
        </w:rPr>
        <w:t xml:space="preserve"> Rafael Vásquez Gómez, </w:t>
      </w:r>
      <w:r w:rsidRPr="00A87DBC">
        <w:rPr>
          <w:i w:val="0"/>
          <w:szCs w:val="20"/>
        </w:rPr>
        <w:t>su madre Francisca Oliveros de Vásquez y su suegra Josefina Izabel Miranda</w:t>
      </w:r>
      <w:r w:rsidRPr="00A87DBC">
        <w:rPr>
          <w:rStyle w:val="Refdenotaalpie"/>
          <w:i w:val="0"/>
        </w:rPr>
        <w:footnoteReference w:id="355"/>
      </w:r>
      <w:r w:rsidRPr="005746FE">
        <w:rPr>
          <w:i w:val="0"/>
          <w:szCs w:val="20"/>
        </w:rPr>
        <w:t>.</w:t>
      </w:r>
    </w:p>
    <w:p w14:paraId="74E3E265" w14:textId="77777777" w:rsidR="003C2AC6" w:rsidRPr="00A87DBC" w:rsidRDefault="003C2AC6" w:rsidP="003C2AC6">
      <w:pPr>
        <w:pStyle w:val="PrrafodeSentencia"/>
      </w:pPr>
    </w:p>
    <w:p w14:paraId="65712E81" w14:textId="41511A32" w:rsidR="003C2AC6" w:rsidRPr="00A87DBC" w:rsidRDefault="003C2AC6" w:rsidP="003C2AC6">
      <w:pPr>
        <w:pStyle w:val="PrrafodeSentencia"/>
      </w:pPr>
      <w:r>
        <w:tab/>
      </w:r>
      <w:r w:rsidRPr="00A87DBC">
        <w:t xml:space="preserve">B.33. Iris Carolina Vicente </w:t>
      </w:r>
      <w:r w:rsidR="00573F6B">
        <w:t>Barillas</w:t>
      </w:r>
    </w:p>
    <w:p w14:paraId="421207C5" w14:textId="77777777" w:rsidR="003C2AC6" w:rsidRPr="00A87DBC" w:rsidRDefault="003C2AC6" w:rsidP="003C2AC6">
      <w:pPr>
        <w:pStyle w:val="PrrafodeSentencia"/>
      </w:pPr>
    </w:p>
    <w:p w14:paraId="48C0E28A" w14:textId="7CC709BB" w:rsidR="003C2AC6"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La señora Vicente </w:t>
      </w:r>
      <w:r>
        <w:rPr>
          <w:i w:val="0"/>
          <w:szCs w:val="20"/>
        </w:rPr>
        <w:t>Ba</w:t>
      </w:r>
      <w:r w:rsidR="00573F6B">
        <w:rPr>
          <w:i w:val="0"/>
          <w:szCs w:val="20"/>
        </w:rPr>
        <w:t>ri</w:t>
      </w:r>
      <w:r>
        <w:rPr>
          <w:i w:val="0"/>
          <w:szCs w:val="20"/>
        </w:rPr>
        <w:t xml:space="preserve">llas </w:t>
      </w:r>
      <w:r w:rsidRPr="00A87DBC">
        <w:rPr>
          <w:i w:val="0"/>
          <w:szCs w:val="20"/>
        </w:rPr>
        <w:t>nació el 19 de diciembre de 1981</w:t>
      </w:r>
      <w:r w:rsidRPr="00E15B2F">
        <w:rPr>
          <w:i w:val="0"/>
          <w:szCs w:val="20"/>
        </w:rPr>
        <w:t>.</w:t>
      </w:r>
      <w:r w:rsidRPr="00A87DBC">
        <w:rPr>
          <w:i w:val="0"/>
          <w:szCs w:val="20"/>
        </w:rPr>
        <w:t xml:space="preserve"> Residió en el Departamento de Retalhuleu, Guatemala. Fue diagnosticada con VIH en el </w:t>
      </w:r>
      <w:r>
        <w:rPr>
          <w:i w:val="0"/>
          <w:szCs w:val="20"/>
        </w:rPr>
        <w:t xml:space="preserve">año </w:t>
      </w:r>
      <w:r w:rsidRPr="00A87DBC">
        <w:rPr>
          <w:i w:val="0"/>
          <w:szCs w:val="20"/>
        </w:rPr>
        <w:t>2003</w:t>
      </w:r>
      <w:r w:rsidRPr="00E15B2F">
        <w:rPr>
          <w:i w:val="0"/>
          <w:szCs w:val="20"/>
        </w:rPr>
        <w:t>.</w:t>
      </w:r>
      <w:r w:rsidRPr="00A87DBC">
        <w:rPr>
          <w:i w:val="0"/>
          <w:szCs w:val="20"/>
        </w:rPr>
        <w:t xml:space="preserve"> Inicialmente recibió atención médica en MSF, </w:t>
      </w:r>
      <w:r>
        <w:rPr>
          <w:i w:val="0"/>
          <w:szCs w:val="20"/>
        </w:rPr>
        <w:t xml:space="preserve">y </w:t>
      </w:r>
      <w:r w:rsidRPr="00A87DBC">
        <w:rPr>
          <w:i w:val="0"/>
          <w:szCs w:val="20"/>
        </w:rPr>
        <w:t xml:space="preserve">posteriormente fue trasladada al Hospital Nacional de Coatepeque. Inició el tratamiento antirretroviral en noviembre del 2006. En el 2007 se fue a vivir a Estados Unidos. Ha padecido de diversas enfermedades oportunistas como faringitis, </w:t>
      </w:r>
      <w:proofErr w:type="spellStart"/>
      <w:r w:rsidRPr="00A87DBC">
        <w:rPr>
          <w:i w:val="0"/>
          <w:szCs w:val="20"/>
        </w:rPr>
        <w:t>rash</w:t>
      </w:r>
      <w:proofErr w:type="spellEnd"/>
      <w:r w:rsidRPr="00A87DBC">
        <w:rPr>
          <w:i w:val="0"/>
          <w:szCs w:val="20"/>
        </w:rPr>
        <w:t xml:space="preserve"> cutáneo, </w:t>
      </w:r>
      <w:proofErr w:type="spellStart"/>
      <w:r w:rsidRPr="00A87DBC">
        <w:rPr>
          <w:i w:val="0"/>
          <w:szCs w:val="20"/>
        </w:rPr>
        <w:t>sarcoptiosis</w:t>
      </w:r>
      <w:proofErr w:type="spellEnd"/>
      <w:r w:rsidRPr="00A87DBC">
        <w:rPr>
          <w:i w:val="0"/>
          <w:szCs w:val="20"/>
        </w:rPr>
        <w:t>, neumonía bacteriana, dolor lumbar, candidiasis vaginal, conjuntivitis, flujo vaginal, osteopenia, colitis, insomnio, neuropatía periférica, cervicitis moderada y enfermedad péptica</w:t>
      </w:r>
      <w:r w:rsidRPr="00A87DBC">
        <w:rPr>
          <w:rStyle w:val="Refdenotaalpie"/>
          <w:i w:val="0"/>
        </w:rPr>
        <w:footnoteReference w:id="356"/>
      </w:r>
      <w:r w:rsidRPr="00A87DBC">
        <w:rPr>
          <w:i w:val="0"/>
          <w:szCs w:val="20"/>
        </w:rPr>
        <w:t>.</w:t>
      </w:r>
    </w:p>
    <w:p w14:paraId="2ABF9709" w14:textId="77777777" w:rsidR="003C2AC6" w:rsidRPr="00A87DBC" w:rsidRDefault="003C2AC6" w:rsidP="003C2AC6">
      <w:pPr>
        <w:pStyle w:val="Estilo1"/>
        <w:tabs>
          <w:tab w:val="left" w:pos="709"/>
          <w:tab w:val="left" w:pos="1134"/>
        </w:tabs>
        <w:spacing w:after="0"/>
        <w:ind w:left="0" w:right="-4" w:firstLine="0"/>
        <w:rPr>
          <w:i w:val="0"/>
          <w:szCs w:val="20"/>
        </w:rPr>
      </w:pPr>
    </w:p>
    <w:p w14:paraId="1311F203"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 xml:space="preserve">Su núcleo familiar se compone por su hijo e hijas Christian Alexander, Emma Elizabeth e Iris Carolina, </w:t>
      </w:r>
      <w:r>
        <w:rPr>
          <w:i w:val="0"/>
          <w:szCs w:val="20"/>
        </w:rPr>
        <w:t>todos</w:t>
      </w:r>
      <w:r w:rsidRPr="00A87DBC">
        <w:rPr>
          <w:i w:val="0"/>
          <w:szCs w:val="20"/>
        </w:rPr>
        <w:t xml:space="preserve"> de apellidos </w:t>
      </w:r>
      <w:proofErr w:type="spellStart"/>
      <w:r w:rsidRPr="00A87DBC">
        <w:rPr>
          <w:i w:val="0"/>
          <w:szCs w:val="20"/>
        </w:rPr>
        <w:t>Chij</w:t>
      </w:r>
      <w:proofErr w:type="spellEnd"/>
      <w:r w:rsidRPr="00A87DBC">
        <w:rPr>
          <w:i w:val="0"/>
          <w:szCs w:val="20"/>
        </w:rPr>
        <w:t xml:space="preserve"> Vicente</w:t>
      </w:r>
      <w:r>
        <w:rPr>
          <w:i w:val="0"/>
          <w:szCs w:val="20"/>
        </w:rPr>
        <w:t>,</w:t>
      </w:r>
      <w:r w:rsidRPr="00A87DBC">
        <w:rPr>
          <w:i w:val="0"/>
          <w:szCs w:val="20"/>
        </w:rPr>
        <w:t xml:space="preserve"> su abuela Olivia Aguilar Ambrosio de Barillas </w:t>
      </w:r>
      <w:r w:rsidRPr="00A87DBC">
        <w:rPr>
          <w:i w:val="0"/>
          <w:szCs w:val="20"/>
        </w:rPr>
        <w:lastRenderedPageBreak/>
        <w:t>y su abuelo Balbino Barillas Barreno</w:t>
      </w:r>
      <w:r>
        <w:rPr>
          <w:i w:val="0"/>
          <w:szCs w:val="20"/>
        </w:rPr>
        <w:t>,</w:t>
      </w:r>
      <w:r w:rsidRPr="00A87DBC">
        <w:rPr>
          <w:i w:val="0"/>
          <w:szCs w:val="20"/>
        </w:rPr>
        <w:t xml:space="preserve"> su tío Héctor Barrillas y su tía materna Olivia Barillas de Sánchez</w:t>
      </w:r>
      <w:r w:rsidRPr="00A87DBC">
        <w:rPr>
          <w:rStyle w:val="Refdenotaalpie"/>
          <w:i w:val="0"/>
        </w:rPr>
        <w:footnoteReference w:id="357"/>
      </w:r>
      <w:r>
        <w:rPr>
          <w:i w:val="0"/>
          <w:szCs w:val="20"/>
        </w:rPr>
        <w:t>.</w:t>
      </w:r>
    </w:p>
    <w:p w14:paraId="327E2A58" w14:textId="77777777" w:rsidR="003C2AC6" w:rsidRPr="00A87DBC" w:rsidRDefault="003C2AC6" w:rsidP="003C2AC6">
      <w:pPr>
        <w:pStyle w:val="PrrafodeSentencia"/>
      </w:pPr>
    </w:p>
    <w:p w14:paraId="2D2B2FDC" w14:textId="77777777" w:rsidR="003C2AC6" w:rsidRPr="00A87DBC" w:rsidRDefault="003C2AC6" w:rsidP="003C2AC6">
      <w:pPr>
        <w:pStyle w:val="PrrafodeSentencia"/>
      </w:pPr>
      <w:r>
        <w:tab/>
      </w:r>
      <w:r w:rsidRPr="00A87DBC">
        <w:t>B.34. Sandra Lisbeth Zepeda Herrera</w:t>
      </w:r>
    </w:p>
    <w:p w14:paraId="6CD7E61B" w14:textId="77777777" w:rsidR="003C2AC6" w:rsidRPr="00A87DBC" w:rsidRDefault="003C2AC6" w:rsidP="003C2AC6">
      <w:pPr>
        <w:pStyle w:val="PrrafodeSentencia"/>
      </w:pPr>
    </w:p>
    <w:p w14:paraId="31A39C2F" w14:textId="77777777"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La señora Zepeda Herrera reside en el Municipio de Guatemala, Departamento de Guatemala, Guatemala</w:t>
      </w:r>
      <w:r w:rsidRPr="00E15B2F">
        <w:rPr>
          <w:i w:val="0"/>
          <w:szCs w:val="20"/>
        </w:rPr>
        <w:t>.</w:t>
      </w:r>
      <w:r w:rsidRPr="00A87DBC">
        <w:rPr>
          <w:b/>
          <w:i w:val="0"/>
          <w:szCs w:val="20"/>
        </w:rPr>
        <w:t xml:space="preserve"> </w:t>
      </w:r>
      <w:r w:rsidRPr="00A87DBC">
        <w:rPr>
          <w:i w:val="0"/>
          <w:szCs w:val="20"/>
        </w:rPr>
        <w:t>Nació el 30 de septiembre de 1968</w:t>
      </w:r>
      <w:r w:rsidRPr="00E15B2F">
        <w:rPr>
          <w:i w:val="0"/>
          <w:szCs w:val="20"/>
        </w:rPr>
        <w:t>.</w:t>
      </w:r>
      <w:r w:rsidRPr="00A87DBC">
        <w:rPr>
          <w:i w:val="0"/>
          <w:szCs w:val="20"/>
        </w:rPr>
        <w:t xml:space="preserve"> Su nivel de estudios es segundo básico. Trabaja como vendedora ambulante en los mercados. Fue diagnosticada el 6 de enero de 2000, en el Hospital General San Juan de Dios, teniendo siete meses de embarazo</w:t>
      </w:r>
      <w:r w:rsidRPr="00E15B2F">
        <w:rPr>
          <w:i w:val="0"/>
          <w:szCs w:val="20"/>
        </w:rPr>
        <w:t>.</w:t>
      </w:r>
      <w:r w:rsidRPr="00A87DBC">
        <w:rPr>
          <w:i w:val="0"/>
          <w:szCs w:val="20"/>
        </w:rPr>
        <w:t xml:space="preserve"> </w:t>
      </w:r>
      <w:r>
        <w:rPr>
          <w:i w:val="0"/>
          <w:szCs w:val="20"/>
        </w:rPr>
        <w:t>Hubo transmisión vertical del</w:t>
      </w:r>
      <w:r w:rsidRPr="00A87DBC">
        <w:rPr>
          <w:i w:val="0"/>
          <w:szCs w:val="20"/>
        </w:rPr>
        <w:t xml:space="preserve"> virus del VIH </w:t>
      </w:r>
      <w:r>
        <w:rPr>
          <w:i w:val="0"/>
          <w:szCs w:val="20"/>
        </w:rPr>
        <w:t>a</w:t>
      </w:r>
      <w:r w:rsidRPr="00A87DBC">
        <w:rPr>
          <w:i w:val="0"/>
          <w:szCs w:val="20"/>
        </w:rPr>
        <w:t xml:space="preserve"> su hija. En el 2002 fue referida a MSF, donde le dieron seguimiento, pero había desabastecimiento de antirretrovirales y no le fueron practicados exámenes de CD4</w:t>
      </w:r>
      <w:r w:rsidRPr="0048591A">
        <w:rPr>
          <w:i w:val="0"/>
          <w:szCs w:val="20"/>
        </w:rPr>
        <w:t>.</w:t>
      </w:r>
      <w:r w:rsidRPr="00A87DBC">
        <w:rPr>
          <w:i w:val="0"/>
          <w:szCs w:val="20"/>
        </w:rPr>
        <w:t xml:space="preserve"> El 13 de mayo del 2004, a través de la clínica </w:t>
      </w:r>
      <w:proofErr w:type="spellStart"/>
      <w:r w:rsidRPr="00A87DBC">
        <w:rPr>
          <w:i w:val="0"/>
          <w:szCs w:val="20"/>
        </w:rPr>
        <w:t>Yaloc</w:t>
      </w:r>
      <w:proofErr w:type="spellEnd"/>
      <w:r w:rsidRPr="00A87DBC">
        <w:rPr>
          <w:i w:val="0"/>
          <w:szCs w:val="20"/>
        </w:rPr>
        <w:t xml:space="preserve"> de MSF, reinició tratamiento antirretroviral</w:t>
      </w:r>
      <w:r>
        <w:rPr>
          <w:i w:val="0"/>
          <w:szCs w:val="20"/>
        </w:rPr>
        <w:t xml:space="preserve"> </w:t>
      </w:r>
      <w:r w:rsidRPr="00A87DBC">
        <w:rPr>
          <w:i w:val="0"/>
          <w:szCs w:val="20"/>
        </w:rPr>
        <w:t>y se le realizaron exámenes de manera periódica de CD4 y carga viral. En el 2007 fue referida a la Fundación Marco Antonio, donde continuó recibiendo tratamiento antirretroviral. En el 2009 fue transferida a la Clínica Luis Ángel García, donde continuó recibiendo, tanto ella como su hija, tratamiento antirretroviral y se le han practicado exámenes de CD4 y carga viral, aunque en ocasiones no se han podido realizar éstos ni se le han proporcionado medicamentos para otras enfermedades. Como enfermedad oportu</w:t>
      </w:r>
      <w:r>
        <w:rPr>
          <w:i w:val="0"/>
          <w:szCs w:val="20"/>
        </w:rPr>
        <w:t>nista ha padecido lipodistrofia</w:t>
      </w:r>
      <w:r w:rsidRPr="00A87DBC">
        <w:rPr>
          <w:rStyle w:val="Refdenotaalpie"/>
          <w:i w:val="0"/>
        </w:rPr>
        <w:footnoteReference w:id="358"/>
      </w:r>
      <w:r>
        <w:rPr>
          <w:i w:val="0"/>
          <w:szCs w:val="20"/>
        </w:rPr>
        <w:t>.</w:t>
      </w:r>
    </w:p>
    <w:p w14:paraId="6CAB9302" w14:textId="77777777" w:rsidR="003C2AC6" w:rsidRPr="00A87DBC" w:rsidRDefault="003C2AC6" w:rsidP="003C2AC6">
      <w:pPr>
        <w:pStyle w:val="Estilo1"/>
        <w:tabs>
          <w:tab w:val="left" w:pos="709"/>
          <w:tab w:val="left" w:pos="1134"/>
        </w:tabs>
        <w:spacing w:after="0"/>
        <w:ind w:left="0" w:right="-4" w:firstLine="0"/>
        <w:rPr>
          <w:i w:val="0"/>
          <w:szCs w:val="20"/>
        </w:rPr>
      </w:pPr>
    </w:p>
    <w:p w14:paraId="0D33AF10" w14:textId="566F5BB1" w:rsidR="003C2AC6" w:rsidRPr="00A87DBC" w:rsidRDefault="003C2AC6" w:rsidP="003C2AC6">
      <w:pPr>
        <w:pStyle w:val="Estilo1"/>
        <w:numPr>
          <w:ilvl w:val="0"/>
          <w:numId w:val="20"/>
        </w:numPr>
        <w:tabs>
          <w:tab w:val="left" w:pos="709"/>
          <w:tab w:val="left" w:pos="1134"/>
        </w:tabs>
        <w:spacing w:after="0"/>
        <w:ind w:left="0" w:right="-4" w:firstLine="0"/>
        <w:rPr>
          <w:i w:val="0"/>
          <w:szCs w:val="20"/>
        </w:rPr>
      </w:pPr>
      <w:r w:rsidRPr="00A87DBC">
        <w:rPr>
          <w:i w:val="0"/>
          <w:szCs w:val="20"/>
        </w:rPr>
        <w:t>La señora Zepeda Herrera manifestó que el trato recibido en el Hospital San Juan de Dios recibió por parte del personal de salud fue poco cordial, y que a veces no había medicamentos, por lo que debía comprarlos</w:t>
      </w:r>
      <w:r>
        <w:rPr>
          <w:i w:val="0"/>
          <w:szCs w:val="20"/>
        </w:rPr>
        <w:t>. M</w:t>
      </w:r>
      <w:r w:rsidRPr="00A87DBC">
        <w:rPr>
          <w:i w:val="0"/>
          <w:szCs w:val="20"/>
        </w:rPr>
        <w:t xml:space="preserve">anifestó que en la Clínica Luis Ángel García el personal médico mostraba interés por su salud y le brindaba un trato adecuado. Antes de ser diagnosticada trabajaba como empleada en la maquila “Fábrica </w:t>
      </w:r>
      <w:proofErr w:type="spellStart"/>
      <w:r w:rsidRPr="00A87DBC">
        <w:rPr>
          <w:i w:val="0"/>
          <w:szCs w:val="20"/>
        </w:rPr>
        <w:t>Fashion</w:t>
      </w:r>
      <w:proofErr w:type="spellEnd"/>
      <w:r w:rsidRPr="00A87DBC">
        <w:rPr>
          <w:i w:val="0"/>
          <w:szCs w:val="20"/>
        </w:rPr>
        <w:t>”, pero fue despedida al informar a</w:t>
      </w:r>
      <w:r>
        <w:rPr>
          <w:i w:val="0"/>
          <w:szCs w:val="20"/>
        </w:rPr>
        <w:t xml:space="preserve"> de su diagnóstico. Actualmente</w:t>
      </w:r>
      <w:r w:rsidR="00695413">
        <w:rPr>
          <w:i w:val="0"/>
          <w:szCs w:val="20"/>
        </w:rPr>
        <w:t>,</w:t>
      </w:r>
      <w:r w:rsidRPr="00A87DBC">
        <w:rPr>
          <w:i w:val="0"/>
          <w:szCs w:val="20"/>
        </w:rPr>
        <w:t xml:space="preserve"> le resulta difícil conseguir empleo dado que le requieren exámenes y la tarjeta de salud, además necesita pedir permisos para acudir a sus chequeos médicos y eso se le dificulta pues las empresas “cuestionan </w:t>
      </w:r>
      <w:r>
        <w:rPr>
          <w:i w:val="0"/>
          <w:szCs w:val="20"/>
        </w:rPr>
        <w:t>mucho, hasta llegar a hostigar”. P</w:t>
      </w:r>
      <w:r w:rsidRPr="00A87DBC">
        <w:rPr>
          <w:i w:val="0"/>
          <w:szCs w:val="20"/>
        </w:rPr>
        <w:t xml:space="preserve">or </w:t>
      </w:r>
      <w:r>
        <w:rPr>
          <w:i w:val="0"/>
          <w:szCs w:val="20"/>
        </w:rPr>
        <w:t>esta razón</w:t>
      </w:r>
      <w:r w:rsidRPr="00A87DBC">
        <w:rPr>
          <w:i w:val="0"/>
          <w:szCs w:val="20"/>
        </w:rPr>
        <w:t xml:space="preserve"> se dedica a la venta ambulante de diversos productos en los mercados de la Ciudad de Guatemala</w:t>
      </w:r>
      <w:r w:rsidRPr="00E15B2F">
        <w:rPr>
          <w:i w:val="0"/>
          <w:szCs w:val="20"/>
        </w:rPr>
        <w:t>.</w:t>
      </w:r>
      <w:r w:rsidRPr="0048591A">
        <w:rPr>
          <w:i w:val="0"/>
          <w:szCs w:val="20"/>
        </w:rPr>
        <w:t xml:space="preserve"> </w:t>
      </w:r>
      <w:r w:rsidRPr="00A87DBC">
        <w:rPr>
          <w:i w:val="0"/>
          <w:szCs w:val="20"/>
        </w:rPr>
        <w:t>También sufrió rechazo por parte de su familia, por lo que ha carecido de apoyo económico, de manera que no pudo proporcionarle estudios a su hija, quien ha tenido que tra</w:t>
      </w:r>
      <w:r>
        <w:rPr>
          <w:i w:val="0"/>
          <w:szCs w:val="20"/>
        </w:rPr>
        <w:t>bajar con ella para poder comer</w:t>
      </w:r>
      <w:r w:rsidRPr="00A87DBC">
        <w:rPr>
          <w:rStyle w:val="Refdenotaalpie"/>
          <w:i w:val="0"/>
        </w:rPr>
        <w:footnoteReference w:id="359"/>
      </w:r>
      <w:r>
        <w:rPr>
          <w:i w:val="0"/>
          <w:szCs w:val="20"/>
        </w:rPr>
        <w:t>.</w:t>
      </w:r>
    </w:p>
    <w:p w14:paraId="12CFAB8B" w14:textId="77777777" w:rsidR="003C2AC6" w:rsidRPr="00A87DBC" w:rsidRDefault="003C2AC6" w:rsidP="003C2AC6">
      <w:pPr>
        <w:pStyle w:val="Estilo1"/>
        <w:tabs>
          <w:tab w:val="left" w:pos="709"/>
          <w:tab w:val="left" w:pos="1134"/>
        </w:tabs>
        <w:spacing w:after="0"/>
        <w:ind w:left="0" w:right="-4" w:firstLine="0"/>
        <w:rPr>
          <w:i w:val="0"/>
          <w:szCs w:val="20"/>
        </w:rPr>
      </w:pPr>
    </w:p>
    <w:p w14:paraId="7DF974F0" w14:textId="77777777" w:rsidR="00844818" w:rsidRDefault="003C2AC6" w:rsidP="003C2AC6">
      <w:pPr>
        <w:pStyle w:val="Estilo1"/>
        <w:numPr>
          <w:ilvl w:val="0"/>
          <w:numId w:val="20"/>
        </w:numPr>
        <w:tabs>
          <w:tab w:val="left" w:pos="709"/>
          <w:tab w:val="left" w:pos="1134"/>
        </w:tabs>
        <w:spacing w:after="0"/>
        <w:ind w:left="0" w:right="-4" w:firstLine="0"/>
        <w:rPr>
          <w:i w:val="0"/>
          <w:szCs w:val="20"/>
        </w:rPr>
        <w:sectPr w:rsidR="00844818" w:rsidSect="007F7531">
          <w:footerReference w:type="default" r:id="rId8"/>
          <w:pgSz w:w="12240" w:h="15840"/>
          <w:pgMar w:top="1440" w:right="1440" w:bottom="1440" w:left="1440" w:header="720" w:footer="720" w:gutter="0"/>
          <w:cols w:space="720"/>
          <w:docGrid w:linePitch="360"/>
        </w:sectPr>
      </w:pPr>
      <w:r w:rsidRPr="008F0B71">
        <w:rPr>
          <w:i w:val="0"/>
          <w:szCs w:val="20"/>
        </w:rPr>
        <w:t>Su núcleo familiar se compone por sus hijos Jorge Eduardo, Josué David, Brandon y Antonio, todos de apellido Zepeda, así como su hija Katherine Alejandra Girón Zepeda y su pareja José Luis Girón (fallecido)</w:t>
      </w:r>
      <w:r w:rsidRPr="00A87DBC">
        <w:rPr>
          <w:rStyle w:val="Refdenotaalpie"/>
          <w:i w:val="0"/>
        </w:rPr>
        <w:footnoteReference w:id="360"/>
      </w:r>
      <w:r w:rsidRPr="008F0B71">
        <w:rPr>
          <w:i w:val="0"/>
          <w:szCs w:val="20"/>
        </w:rPr>
        <w:t>.</w:t>
      </w:r>
    </w:p>
    <w:p w14:paraId="0174795B" w14:textId="20E7B948" w:rsidR="00844818" w:rsidRDefault="00844818" w:rsidP="00844818">
      <w:pPr>
        <w:pStyle w:val="Estilo1"/>
        <w:tabs>
          <w:tab w:val="left" w:pos="709"/>
          <w:tab w:val="left" w:pos="1134"/>
        </w:tabs>
        <w:ind w:left="0" w:right="-4" w:firstLine="0"/>
        <w:rPr>
          <w:lang w:eastAsia="es-ES"/>
        </w:rPr>
      </w:pPr>
      <w:r>
        <w:rPr>
          <w:lang w:eastAsia="es-ES"/>
        </w:rPr>
        <w:lastRenderedPageBreak/>
        <w:t xml:space="preserve">Corte IDH. Caso </w:t>
      </w:r>
      <w:proofErr w:type="spellStart"/>
      <w:r>
        <w:rPr>
          <w:lang w:eastAsia="es-ES"/>
        </w:rPr>
        <w:t>Cuscúl</w:t>
      </w:r>
      <w:proofErr w:type="spellEnd"/>
      <w:r>
        <w:rPr>
          <w:lang w:eastAsia="es-ES"/>
        </w:rPr>
        <w:t xml:space="preserve"> Pivaral y otros Vs. Guatemala. Excepción Preliminar, Fondo,</w:t>
      </w:r>
      <w:r>
        <w:rPr>
          <w:lang w:eastAsia="es-ES"/>
        </w:rPr>
        <w:t xml:space="preserve"> </w:t>
      </w:r>
      <w:r>
        <w:rPr>
          <w:lang w:eastAsia="es-ES"/>
        </w:rPr>
        <w:t>Reparaciones y Costas. Sentencia de 23 de agosto de 2018.</w:t>
      </w:r>
    </w:p>
    <w:p w14:paraId="036C233C" w14:textId="77777777" w:rsidR="00844818" w:rsidRDefault="00844818" w:rsidP="00844818">
      <w:pPr>
        <w:pStyle w:val="Estilo1"/>
        <w:tabs>
          <w:tab w:val="left" w:pos="709"/>
          <w:tab w:val="left" w:pos="1134"/>
        </w:tabs>
        <w:ind w:left="0" w:right="-4" w:firstLine="0"/>
        <w:rPr>
          <w:lang w:eastAsia="es-ES"/>
        </w:rPr>
      </w:pPr>
    </w:p>
    <w:p w14:paraId="66907994" w14:textId="77777777" w:rsidR="00844818" w:rsidRDefault="00844818" w:rsidP="00844818">
      <w:pPr>
        <w:pStyle w:val="Estilo1"/>
        <w:tabs>
          <w:tab w:val="left" w:pos="709"/>
          <w:tab w:val="left" w:pos="1134"/>
        </w:tabs>
        <w:ind w:left="0" w:right="-4" w:firstLine="0"/>
        <w:rPr>
          <w:lang w:eastAsia="es-ES"/>
        </w:rPr>
      </w:pPr>
    </w:p>
    <w:p w14:paraId="4F95193A" w14:textId="77777777" w:rsidR="00844818" w:rsidRDefault="00844818" w:rsidP="00844818">
      <w:pPr>
        <w:pStyle w:val="Estilo1"/>
        <w:tabs>
          <w:tab w:val="left" w:pos="709"/>
          <w:tab w:val="left" w:pos="1134"/>
        </w:tabs>
        <w:ind w:left="0" w:right="-4" w:firstLine="0"/>
        <w:rPr>
          <w:lang w:eastAsia="es-ES"/>
        </w:rPr>
      </w:pPr>
    </w:p>
    <w:p w14:paraId="25F5A694" w14:textId="77777777" w:rsidR="00844818" w:rsidRDefault="00844818" w:rsidP="00844818">
      <w:pPr>
        <w:pStyle w:val="Estilo1"/>
        <w:tabs>
          <w:tab w:val="left" w:pos="709"/>
          <w:tab w:val="left" w:pos="1134"/>
        </w:tabs>
        <w:ind w:left="0" w:right="-4" w:firstLine="0"/>
        <w:jc w:val="center"/>
        <w:rPr>
          <w:lang w:eastAsia="es-ES"/>
        </w:rPr>
      </w:pPr>
      <w:r>
        <w:rPr>
          <w:lang w:eastAsia="es-ES"/>
        </w:rPr>
        <w:t>Eduardo Ferrer Mac-</w:t>
      </w:r>
      <w:proofErr w:type="spellStart"/>
      <w:r>
        <w:rPr>
          <w:lang w:eastAsia="es-ES"/>
        </w:rPr>
        <w:t>Gregor</w:t>
      </w:r>
      <w:proofErr w:type="spellEnd"/>
      <w:r>
        <w:rPr>
          <w:lang w:eastAsia="es-ES"/>
        </w:rPr>
        <w:t xml:space="preserve"> </w:t>
      </w:r>
      <w:proofErr w:type="spellStart"/>
      <w:r>
        <w:rPr>
          <w:lang w:eastAsia="es-ES"/>
        </w:rPr>
        <w:t>Poisot</w:t>
      </w:r>
      <w:proofErr w:type="spellEnd"/>
    </w:p>
    <w:p w14:paraId="5C0453CE" w14:textId="2C05E1DE" w:rsidR="00844818" w:rsidRDefault="00844818" w:rsidP="00844818">
      <w:pPr>
        <w:pStyle w:val="Estilo1"/>
        <w:tabs>
          <w:tab w:val="left" w:pos="709"/>
          <w:tab w:val="left" w:pos="1134"/>
        </w:tabs>
        <w:ind w:left="0" w:right="-4" w:firstLine="0"/>
        <w:jc w:val="center"/>
        <w:rPr>
          <w:lang w:eastAsia="es-ES"/>
        </w:rPr>
      </w:pPr>
      <w:r>
        <w:rPr>
          <w:lang w:eastAsia="es-ES"/>
        </w:rPr>
        <w:t>Presidente</w:t>
      </w:r>
    </w:p>
    <w:p w14:paraId="2D0FF016" w14:textId="77777777" w:rsidR="00844818" w:rsidRDefault="00844818" w:rsidP="00844818">
      <w:pPr>
        <w:pStyle w:val="Estilo1"/>
        <w:tabs>
          <w:tab w:val="left" w:pos="709"/>
          <w:tab w:val="left" w:pos="1134"/>
        </w:tabs>
        <w:ind w:left="0" w:right="-4" w:firstLine="0"/>
        <w:rPr>
          <w:lang w:eastAsia="es-ES"/>
        </w:rPr>
      </w:pPr>
    </w:p>
    <w:p w14:paraId="08BD7AC4" w14:textId="4AAAB608" w:rsidR="00844818" w:rsidRDefault="00844818" w:rsidP="00844818">
      <w:pPr>
        <w:pStyle w:val="Estilo1"/>
        <w:tabs>
          <w:tab w:val="left" w:pos="709"/>
          <w:tab w:val="left" w:pos="1134"/>
        </w:tabs>
        <w:ind w:left="0" w:right="-4" w:firstLine="0"/>
        <w:rPr>
          <w:lang w:eastAsia="es-ES"/>
        </w:rPr>
      </w:pPr>
    </w:p>
    <w:p w14:paraId="12162A60" w14:textId="77777777" w:rsidR="00844818" w:rsidRDefault="00844818" w:rsidP="00844818">
      <w:pPr>
        <w:pStyle w:val="Estilo1"/>
        <w:tabs>
          <w:tab w:val="left" w:pos="709"/>
          <w:tab w:val="left" w:pos="1134"/>
        </w:tabs>
        <w:ind w:left="0" w:right="-4" w:firstLine="0"/>
        <w:rPr>
          <w:lang w:eastAsia="es-ES"/>
        </w:rPr>
      </w:pPr>
    </w:p>
    <w:p w14:paraId="7D00C3BE" w14:textId="77777777" w:rsidR="00844818" w:rsidRDefault="00844818" w:rsidP="00844818">
      <w:pPr>
        <w:pStyle w:val="Estilo1"/>
        <w:tabs>
          <w:tab w:val="left" w:pos="709"/>
          <w:tab w:val="left" w:pos="1134"/>
        </w:tabs>
        <w:ind w:left="0" w:right="-4" w:firstLine="0"/>
        <w:rPr>
          <w:lang w:eastAsia="es-ES"/>
        </w:rPr>
      </w:pPr>
    </w:p>
    <w:p w14:paraId="216250AD" w14:textId="0C44E8FC" w:rsidR="00844818" w:rsidRDefault="00844818" w:rsidP="00844818">
      <w:pPr>
        <w:pStyle w:val="Estilo1"/>
        <w:tabs>
          <w:tab w:val="left" w:pos="709"/>
          <w:tab w:val="left" w:pos="1134"/>
        </w:tabs>
        <w:ind w:left="0" w:right="-4" w:firstLine="0"/>
        <w:rPr>
          <w:lang w:eastAsia="es-ES"/>
        </w:rPr>
      </w:pPr>
      <w:r>
        <w:rPr>
          <w:lang w:eastAsia="es-ES"/>
        </w:rPr>
        <w:t xml:space="preserve">Humberto A. Sierra Porto </w:t>
      </w:r>
      <w:r>
        <w:rPr>
          <w:lang w:eastAsia="es-ES"/>
        </w:rPr>
        <w:tab/>
      </w:r>
      <w:r>
        <w:rPr>
          <w:lang w:eastAsia="es-ES"/>
        </w:rPr>
        <w:tab/>
      </w:r>
      <w:r>
        <w:rPr>
          <w:lang w:eastAsia="es-ES"/>
        </w:rPr>
        <w:tab/>
      </w:r>
      <w:r>
        <w:rPr>
          <w:lang w:eastAsia="es-ES"/>
        </w:rPr>
        <w:tab/>
      </w:r>
      <w:r>
        <w:rPr>
          <w:lang w:eastAsia="es-ES"/>
        </w:rPr>
        <w:tab/>
        <w:t xml:space="preserve"> </w:t>
      </w:r>
      <w:r>
        <w:rPr>
          <w:lang w:eastAsia="es-ES"/>
        </w:rPr>
        <w:t xml:space="preserve">         </w:t>
      </w:r>
      <w:r>
        <w:rPr>
          <w:lang w:eastAsia="es-ES"/>
        </w:rPr>
        <w:t xml:space="preserve">   Elizabeth Odio Benito</w:t>
      </w:r>
    </w:p>
    <w:p w14:paraId="53BDD20A" w14:textId="77777777" w:rsidR="00844818" w:rsidRDefault="00844818" w:rsidP="00844818">
      <w:pPr>
        <w:pStyle w:val="Estilo1"/>
        <w:tabs>
          <w:tab w:val="left" w:pos="709"/>
          <w:tab w:val="left" w:pos="1134"/>
        </w:tabs>
        <w:ind w:left="0" w:right="-4" w:firstLine="0"/>
        <w:rPr>
          <w:lang w:eastAsia="es-ES"/>
        </w:rPr>
      </w:pPr>
    </w:p>
    <w:p w14:paraId="342FB7A1" w14:textId="77777777" w:rsidR="00844818" w:rsidRDefault="00844818" w:rsidP="00844818">
      <w:pPr>
        <w:pStyle w:val="Estilo1"/>
        <w:tabs>
          <w:tab w:val="left" w:pos="709"/>
          <w:tab w:val="left" w:pos="1134"/>
        </w:tabs>
        <w:ind w:left="0" w:right="-4" w:firstLine="0"/>
        <w:rPr>
          <w:lang w:eastAsia="es-ES"/>
        </w:rPr>
      </w:pPr>
    </w:p>
    <w:p w14:paraId="72BD3B81" w14:textId="77777777" w:rsidR="00844818" w:rsidRDefault="00844818" w:rsidP="00844818">
      <w:pPr>
        <w:pStyle w:val="Estilo1"/>
        <w:tabs>
          <w:tab w:val="left" w:pos="709"/>
          <w:tab w:val="left" w:pos="1134"/>
        </w:tabs>
        <w:ind w:left="0" w:right="-4" w:firstLine="0"/>
        <w:rPr>
          <w:lang w:eastAsia="es-ES"/>
        </w:rPr>
      </w:pPr>
    </w:p>
    <w:p w14:paraId="60A0C1BE" w14:textId="7AAAA8DD" w:rsidR="00844818" w:rsidRDefault="00844818" w:rsidP="00844818">
      <w:pPr>
        <w:pStyle w:val="Estilo1"/>
        <w:tabs>
          <w:tab w:val="left" w:pos="709"/>
          <w:tab w:val="left" w:pos="1134"/>
        </w:tabs>
        <w:ind w:left="0" w:right="-4" w:firstLine="0"/>
        <w:rPr>
          <w:lang w:eastAsia="es-ES"/>
        </w:rPr>
      </w:pPr>
      <w:r>
        <w:rPr>
          <w:lang w:eastAsia="es-ES"/>
        </w:rPr>
        <w:t xml:space="preserve">Eugenio Raúl Zaffaroni </w:t>
      </w:r>
      <w:r>
        <w:rPr>
          <w:lang w:eastAsia="es-ES"/>
        </w:rPr>
        <w:tab/>
      </w:r>
      <w:r>
        <w:rPr>
          <w:lang w:eastAsia="es-ES"/>
        </w:rPr>
        <w:tab/>
      </w:r>
      <w:r>
        <w:rPr>
          <w:lang w:eastAsia="es-ES"/>
        </w:rPr>
        <w:tab/>
      </w:r>
      <w:r>
        <w:rPr>
          <w:lang w:eastAsia="es-ES"/>
        </w:rPr>
        <w:tab/>
      </w:r>
      <w:r>
        <w:rPr>
          <w:lang w:eastAsia="es-ES"/>
        </w:rPr>
        <w:tab/>
        <w:t xml:space="preserve">     </w:t>
      </w:r>
      <w:r>
        <w:rPr>
          <w:lang w:eastAsia="es-ES"/>
        </w:rPr>
        <w:t xml:space="preserve">   </w:t>
      </w:r>
      <w:r>
        <w:rPr>
          <w:lang w:eastAsia="es-ES"/>
        </w:rPr>
        <w:t>L. Patricio Pazmiño Freire</w:t>
      </w:r>
    </w:p>
    <w:p w14:paraId="123575DC" w14:textId="77777777" w:rsidR="00844818" w:rsidRDefault="00844818" w:rsidP="00844818">
      <w:pPr>
        <w:pStyle w:val="Estilo1"/>
        <w:tabs>
          <w:tab w:val="left" w:pos="709"/>
          <w:tab w:val="left" w:pos="1134"/>
        </w:tabs>
        <w:ind w:left="0" w:right="-4" w:firstLine="0"/>
        <w:rPr>
          <w:lang w:eastAsia="es-ES"/>
        </w:rPr>
      </w:pPr>
    </w:p>
    <w:p w14:paraId="27F7389D" w14:textId="77777777" w:rsidR="00844818" w:rsidRDefault="00844818" w:rsidP="00844818">
      <w:pPr>
        <w:pStyle w:val="Estilo1"/>
        <w:tabs>
          <w:tab w:val="left" w:pos="709"/>
          <w:tab w:val="left" w:pos="1134"/>
        </w:tabs>
        <w:ind w:left="0" w:right="-4" w:firstLine="0"/>
        <w:rPr>
          <w:lang w:eastAsia="es-ES"/>
        </w:rPr>
      </w:pPr>
    </w:p>
    <w:p w14:paraId="3259DAA5" w14:textId="77777777" w:rsidR="00844818" w:rsidRDefault="00844818" w:rsidP="00844818">
      <w:pPr>
        <w:pStyle w:val="Estilo1"/>
        <w:tabs>
          <w:tab w:val="left" w:pos="709"/>
          <w:tab w:val="left" w:pos="1134"/>
        </w:tabs>
        <w:ind w:left="0" w:right="-4" w:firstLine="0"/>
        <w:rPr>
          <w:lang w:eastAsia="es-ES"/>
        </w:rPr>
      </w:pPr>
    </w:p>
    <w:p w14:paraId="3C25B91E" w14:textId="77777777" w:rsidR="00844818" w:rsidRDefault="00844818" w:rsidP="00844818">
      <w:pPr>
        <w:pStyle w:val="Estilo1"/>
        <w:tabs>
          <w:tab w:val="left" w:pos="709"/>
          <w:tab w:val="left" w:pos="1134"/>
        </w:tabs>
        <w:ind w:left="0" w:right="-4" w:firstLine="0"/>
        <w:jc w:val="center"/>
        <w:rPr>
          <w:lang w:eastAsia="es-ES"/>
        </w:rPr>
      </w:pPr>
      <w:r>
        <w:rPr>
          <w:lang w:eastAsia="es-ES"/>
        </w:rPr>
        <w:t>Pablo Saavedra Alessandri</w:t>
      </w:r>
    </w:p>
    <w:p w14:paraId="0E3B9130" w14:textId="77777777" w:rsidR="00844818" w:rsidRDefault="00844818" w:rsidP="00844818">
      <w:pPr>
        <w:pStyle w:val="Estilo1"/>
        <w:tabs>
          <w:tab w:val="left" w:pos="709"/>
          <w:tab w:val="left" w:pos="1134"/>
        </w:tabs>
        <w:ind w:left="0" w:right="-4" w:firstLine="0"/>
        <w:jc w:val="center"/>
        <w:rPr>
          <w:lang w:eastAsia="es-ES"/>
        </w:rPr>
      </w:pPr>
      <w:r>
        <w:rPr>
          <w:lang w:eastAsia="es-ES"/>
        </w:rPr>
        <w:t>Secretario</w:t>
      </w:r>
    </w:p>
    <w:p w14:paraId="1E3D9763" w14:textId="77777777" w:rsidR="00844818" w:rsidRDefault="00844818" w:rsidP="00844818">
      <w:pPr>
        <w:pStyle w:val="Estilo1"/>
        <w:tabs>
          <w:tab w:val="left" w:pos="709"/>
          <w:tab w:val="left" w:pos="1134"/>
        </w:tabs>
        <w:ind w:left="0" w:right="-4" w:firstLine="0"/>
        <w:rPr>
          <w:lang w:eastAsia="es-ES"/>
        </w:rPr>
      </w:pPr>
    </w:p>
    <w:p w14:paraId="6A90119E" w14:textId="77777777" w:rsidR="00844818" w:rsidRDefault="00844818" w:rsidP="00844818">
      <w:pPr>
        <w:pStyle w:val="Estilo1"/>
        <w:tabs>
          <w:tab w:val="left" w:pos="709"/>
          <w:tab w:val="left" w:pos="1134"/>
        </w:tabs>
        <w:ind w:left="0" w:right="-4" w:firstLine="0"/>
        <w:rPr>
          <w:lang w:eastAsia="es-ES"/>
        </w:rPr>
      </w:pPr>
    </w:p>
    <w:p w14:paraId="1C6AFEAD" w14:textId="77777777" w:rsidR="00844818" w:rsidRDefault="00844818" w:rsidP="00844818">
      <w:pPr>
        <w:pStyle w:val="Estilo1"/>
        <w:tabs>
          <w:tab w:val="left" w:pos="709"/>
          <w:tab w:val="left" w:pos="1134"/>
        </w:tabs>
        <w:ind w:left="0" w:right="-4" w:firstLine="0"/>
        <w:rPr>
          <w:lang w:eastAsia="es-ES"/>
        </w:rPr>
      </w:pPr>
    </w:p>
    <w:p w14:paraId="4FB8F6CF" w14:textId="77777777" w:rsidR="00844818" w:rsidRDefault="00844818" w:rsidP="00844818">
      <w:pPr>
        <w:pStyle w:val="Estilo1"/>
        <w:tabs>
          <w:tab w:val="left" w:pos="709"/>
          <w:tab w:val="left" w:pos="1134"/>
        </w:tabs>
        <w:ind w:left="0" w:right="-4" w:firstLine="0"/>
        <w:rPr>
          <w:lang w:eastAsia="es-ES"/>
        </w:rPr>
      </w:pPr>
      <w:r>
        <w:rPr>
          <w:lang w:eastAsia="es-ES"/>
        </w:rPr>
        <w:t>Comuníquese y ejecútese,</w:t>
      </w:r>
    </w:p>
    <w:p w14:paraId="05E13360" w14:textId="77777777" w:rsidR="00844818" w:rsidRDefault="00844818" w:rsidP="00844818">
      <w:pPr>
        <w:pStyle w:val="Estilo1"/>
        <w:tabs>
          <w:tab w:val="left" w:pos="709"/>
          <w:tab w:val="left" w:pos="1134"/>
        </w:tabs>
        <w:ind w:left="0" w:right="-4" w:firstLine="0"/>
        <w:rPr>
          <w:lang w:eastAsia="es-ES"/>
        </w:rPr>
      </w:pPr>
    </w:p>
    <w:p w14:paraId="68B87FD4" w14:textId="77777777" w:rsidR="00844818" w:rsidRDefault="00844818" w:rsidP="00844818">
      <w:pPr>
        <w:pStyle w:val="Estilo1"/>
        <w:tabs>
          <w:tab w:val="left" w:pos="709"/>
          <w:tab w:val="left" w:pos="1134"/>
        </w:tabs>
        <w:ind w:left="0" w:right="-4" w:firstLine="0"/>
        <w:rPr>
          <w:lang w:eastAsia="es-ES"/>
        </w:rPr>
      </w:pPr>
    </w:p>
    <w:p w14:paraId="090CD2A4" w14:textId="77777777" w:rsidR="00844818" w:rsidRDefault="00844818" w:rsidP="00844818">
      <w:pPr>
        <w:pStyle w:val="Estilo1"/>
        <w:tabs>
          <w:tab w:val="left" w:pos="709"/>
          <w:tab w:val="left" w:pos="1134"/>
        </w:tabs>
        <w:ind w:left="0" w:right="-4" w:firstLine="0"/>
        <w:rPr>
          <w:lang w:eastAsia="es-ES"/>
        </w:rPr>
      </w:pPr>
    </w:p>
    <w:p w14:paraId="4BF9A343" w14:textId="77777777" w:rsidR="00844818" w:rsidRDefault="00844818" w:rsidP="00844818">
      <w:pPr>
        <w:pStyle w:val="Estilo1"/>
        <w:tabs>
          <w:tab w:val="left" w:pos="709"/>
          <w:tab w:val="left" w:pos="1134"/>
        </w:tabs>
        <w:ind w:left="0" w:right="-4" w:firstLine="0"/>
        <w:rPr>
          <w:lang w:eastAsia="es-ES"/>
        </w:rPr>
      </w:pPr>
    </w:p>
    <w:p w14:paraId="42F91855" w14:textId="77777777" w:rsidR="00844818" w:rsidRDefault="00844818" w:rsidP="00844818">
      <w:pPr>
        <w:pStyle w:val="Estilo1"/>
        <w:tabs>
          <w:tab w:val="left" w:pos="709"/>
          <w:tab w:val="left" w:pos="1134"/>
        </w:tabs>
        <w:ind w:left="0" w:right="-4" w:firstLine="0"/>
        <w:jc w:val="center"/>
        <w:rPr>
          <w:lang w:eastAsia="es-ES"/>
        </w:rPr>
      </w:pPr>
      <w:r>
        <w:rPr>
          <w:lang w:eastAsia="es-ES"/>
        </w:rPr>
        <w:t>Eduardo Ferrer Mac-</w:t>
      </w:r>
      <w:proofErr w:type="spellStart"/>
      <w:r>
        <w:rPr>
          <w:lang w:eastAsia="es-ES"/>
        </w:rPr>
        <w:t>Gregor</w:t>
      </w:r>
      <w:proofErr w:type="spellEnd"/>
      <w:r>
        <w:rPr>
          <w:lang w:eastAsia="es-ES"/>
        </w:rPr>
        <w:t xml:space="preserve"> </w:t>
      </w:r>
      <w:proofErr w:type="spellStart"/>
      <w:r>
        <w:rPr>
          <w:lang w:eastAsia="es-ES"/>
        </w:rPr>
        <w:t>Poisot</w:t>
      </w:r>
      <w:proofErr w:type="spellEnd"/>
    </w:p>
    <w:p w14:paraId="69274A4C" w14:textId="77777777" w:rsidR="00844818" w:rsidRDefault="00844818" w:rsidP="00844818">
      <w:pPr>
        <w:pStyle w:val="Estilo1"/>
        <w:tabs>
          <w:tab w:val="left" w:pos="709"/>
          <w:tab w:val="left" w:pos="1134"/>
        </w:tabs>
        <w:ind w:left="0" w:right="-4" w:firstLine="0"/>
        <w:jc w:val="center"/>
        <w:rPr>
          <w:lang w:eastAsia="es-ES"/>
        </w:rPr>
      </w:pPr>
      <w:r>
        <w:rPr>
          <w:lang w:eastAsia="es-ES"/>
        </w:rPr>
        <w:t>Presidente</w:t>
      </w:r>
    </w:p>
    <w:p w14:paraId="53DCCBCB" w14:textId="77777777" w:rsidR="00844818" w:rsidRDefault="00844818" w:rsidP="00844818">
      <w:pPr>
        <w:pStyle w:val="Estilo1"/>
        <w:tabs>
          <w:tab w:val="left" w:pos="709"/>
          <w:tab w:val="left" w:pos="1134"/>
        </w:tabs>
        <w:ind w:left="0" w:right="-4" w:firstLine="0"/>
        <w:jc w:val="center"/>
        <w:rPr>
          <w:lang w:eastAsia="es-ES"/>
        </w:rPr>
      </w:pPr>
    </w:p>
    <w:p w14:paraId="3605F826" w14:textId="77777777" w:rsidR="00844818" w:rsidRDefault="00844818" w:rsidP="00844818">
      <w:pPr>
        <w:pStyle w:val="Estilo1"/>
        <w:tabs>
          <w:tab w:val="left" w:pos="709"/>
          <w:tab w:val="left" w:pos="1134"/>
        </w:tabs>
        <w:ind w:left="0" w:right="-4" w:firstLine="0"/>
        <w:jc w:val="center"/>
        <w:rPr>
          <w:lang w:eastAsia="es-ES"/>
        </w:rPr>
      </w:pPr>
    </w:p>
    <w:p w14:paraId="1E0D89DF" w14:textId="77777777" w:rsidR="00844818" w:rsidRDefault="00844818" w:rsidP="00844818">
      <w:pPr>
        <w:pStyle w:val="Estilo1"/>
        <w:tabs>
          <w:tab w:val="left" w:pos="709"/>
          <w:tab w:val="left" w:pos="1134"/>
        </w:tabs>
        <w:ind w:left="0" w:right="-4" w:firstLine="0"/>
        <w:jc w:val="center"/>
        <w:rPr>
          <w:lang w:eastAsia="es-ES"/>
        </w:rPr>
      </w:pPr>
    </w:p>
    <w:p w14:paraId="086EEF1B" w14:textId="77777777" w:rsidR="00844818" w:rsidRDefault="00844818" w:rsidP="00844818">
      <w:pPr>
        <w:pStyle w:val="Estilo1"/>
        <w:tabs>
          <w:tab w:val="left" w:pos="709"/>
          <w:tab w:val="left" w:pos="1134"/>
        </w:tabs>
        <w:ind w:left="0" w:right="-4" w:firstLine="0"/>
        <w:jc w:val="center"/>
        <w:rPr>
          <w:lang w:eastAsia="es-ES"/>
        </w:rPr>
      </w:pPr>
      <w:r>
        <w:rPr>
          <w:lang w:eastAsia="es-ES"/>
        </w:rPr>
        <w:t>Pablo Saavedra Alessandri</w:t>
      </w:r>
    </w:p>
    <w:p w14:paraId="6BD6F22C" w14:textId="316EF367" w:rsidR="003C2AC6" w:rsidRPr="003C2AC6" w:rsidRDefault="00844818" w:rsidP="00844818">
      <w:pPr>
        <w:pStyle w:val="Estilo1"/>
        <w:tabs>
          <w:tab w:val="left" w:pos="709"/>
          <w:tab w:val="left" w:pos="1134"/>
        </w:tabs>
        <w:spacing w:after="0"/>
        <w:ind w:left="0" w:right="-4" w:firstLine="0"/>
        <w:jc w:val="center"/>
        <w:rPr>
          <w:lang w:eastAsia="es-ES"/>
        </w:rPr>
      </w:pPr>
      <w:r>
        <w:rPr>
          <w:lang w:eastAsia="es-ES"/>
        </w:rPr>
        <w:t>Secretario</w:t>
      </w:r>
    </w:p>
    <w:sectPr w:rsidR="003C2AC6" w:rsidRPr="003C2AC6" w:rsidSect="00844818">
      <w:pgSz w:w="12240" w:h="1584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ADF47" w14:textId="77777777" w:rsidR="00D8008E" w:rsidRDefault="00D8008E" w:rsidP="00F162A7">
      <w:r>
        <w:separator/>
      </w:r>
    </w:p>
  </w:endnote>
  <w:endnote w:type="continuationSeparator" w:id="0">
    <w:p w14:paraId="5C07732A" w14:textId="77777777" w:rsidR="00D8008E" w:rsidRDefault="00D8008E" w:rsidP="00F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Bold">
    <w:altName w:val="Times New Roman"/>
    <w:charset w:val="00"/>
    <w:family w:val="auto"/>
    <w:pitch w:val="variable"/>
    <w:sig w:usb0="00000001"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698202"/>
      <w:docPartObj>
        <w:docPartGallery w:val="Page Numbers (Bottom of Page)"/>
        <w:docPartUnique/>
      </w:docPartObj>
    </w:sdtPr>
    <w:sdtEndPr>
      <w:rPr>
        <w:noProof/>
      </w:rPr>
    </w:sdtEndPr>
    <w:sdtContent>
      <w:p w14:paraId="282D8C4C" w14:textId="671A627B" w:rsidR="00604517" w:rsidRDefault="00604517">
        <w:pPr>
          <w:pStyle w:val="Piedepgina"/>
          <w:jc w:val="center"/>
        </w:pPr>
        <w:r w:rsidRPr="00BC4444">
          <w:rPr>
            <w:rFonts w:ascii="Verdana" w:hAnsi="Verdana"/>
            <w:sz w:val="20"/>
            <w:szCs w:val="20"/>
          </w:rPr>
          <w:fldChar w:fldCharType="begin"/>
        </w:r>
        <w:r w:rsidRPr="00BC4444">
          <w:rPr>
            <w:rFonts w:ascii="Verdana" w:hAnsi="Verdana"/>
            <w:sz w:val="20"/>
            <w:szCs w:val="20"/>
          </w:rPr>
          <w:instrText xml:space="preserve"> PAGE   \* MERGEFORMAT </w:instrText>
        </w:r>
        <w:r w:rsidRPr="00BC4444">
          <w:rPr>
            <w:rFonts w:ascii="Verdana" w:hAnsi="Verdana"/>
            <w:sz w:val="20"/>
            <w:szCs w:val="20"/>
          </w:rPr>
          <w:fldChar w:fldCharType="separate"/>
        </w:r>
        <w:r w:rsidR="00741BB6">
          <w:rPr>
            <w:rFonts w:ascii="Verdana" w:hAnsi="Verdana"/>
            <w:noProof/>
            <w:sz w:val="20"/>
            <w:szCs w:val="20"/>
          </w:rPr>
          <w:t>47</w:t>
        </w:r>
        <w:r w:rsidRPr="00BC4444">
          <w:rPr>
            <w:rFonts w:ascii="Verdana" w:hAnsi="Verdana"/>
            <w:noProof/>
            <w:sz w:val="20"/>
            <w:szCs w:val="20"/>
          </w:rPr>
          <w:fldChar w:fldCharType="end"/>
        </w:r>
      </w:p>
    </w:sdtContent>
  </w:sdt>
  <w:p w14:paraId="656BE652" w14:textId="77777777" w:rsidR="00604517" w:rsidRDefault="00604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66C13" w14:textId="77777777" w:rsidR="00D8008E" w:rsidRDefault="00D8008E" w:rsidP="00F162A7">
      <w:r>
        <w:separator/>
      </w:r>
    </w:p>
  </w:footnote>
  <w:footnote w:type="continuationSeparator" w:id="0">
    <w:p w14:paraId="3ED12AAB" w14:textId="77777777" w:rsidR="00D8008E" w:rsidRDefault="00D8008E" w:rsidP="00F162A7">
      <w:r>
        <w:continuationSeparator/>
      </w:r>
    </w:p>
  </w:footnote>
  <w:footnote w:id="1">
    <w:p w14:paraId="176E8F55" w14:textId="09F5A1AA"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Por razones de fuerza mayor, el Vicepresidente de la Corte, Juez Eduardo Vio Grossi, no participó en la deliberación y firma de la presente Sentencia. </w:t>
      </w:r>
    </w:p>
  </w:footnote>
  <w:footnote w:id="2">
    <w:p w14:paraId="064F90EF" w14:textId="762630A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CIDH, Informe No. 32/05, Petición 642/2003, Admisibilidad, </w:t>
      </w:r>
      <w:r w:rsidRPr="00E42101">
        <w:rPr>
          <w:i/>
          <w:szCs w:val="16"/>
          <w:lang w:val="es-CR"/>
        </w:rPr>
        <w:t xml:space="preserve">Luis Ronaldo </w:t>
      </w:r>
      <w:proofErr w:type="spellStart"/>
      <w:r w:rsidRPr="00E42101">
        <w:rPr>
          <w:i/>
          <w:szCs w:val="16"/>
          <w:lang w:val="es-CR"/>
        </w:rPr>
        <w:t>Cuscul</w:t>
      </w:r>
      <w:proofErr w:type="spellEnd"/>
      <w:r w:rsidRPr="00E42101">
        <w:rPr>
          <w:i/>
          <w:szCs w:val="16"/>
          <w:lang w:val="es-CR"/>
        </w:rPr>
        <w:t xml:space="preserve"> Pivaral y otras personas afectadas por el VIH/SIDA, </w:t>
      </w:r>
      <w:r w:rsidRPr="00E42101">
        <w:rPr>
          <w:szCs w:val="16"/>
          <w:lang w:val="es-CR"/>
        </w:rPr>
        <w:t>Guatemala, 7 de marzo de 2005.</w:t>
      </w:r>
    </w:p>
  </w:footnote>
  <w:footnote w:id="3">
    <w:p w14:paraId="51EA3634" w14:textId="21E7BB99"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rFonts w:eastAsia="Calibri" w:cs="Verdana"/>
          <w:spacing w:val="-2"/>
          <w:szCs w:val="16"/>
          <w:lang w:val="es-CR" w:eastAsia="es-ES"/>
        </w:rPr>
        <w:t xml:space="preserve">El 21 de febrero de 2017 el Estado informó que los Agentes que actuarían en su representación son los señores </w:t>
      </w:r>
      <w:proofErr w:type="spellStart"/>
      <w:r w:rsidRPr="00E42101">
        <w:rPr>
          <w:rFonts w:eastAsia="Calibri" w:cs="Verdana"/>
          <w:spacing w:val="-2"/>
          <w:szCs w:val="16"/>
          <w:lang w:val="es-CR" w:eastAsia="es-ES"/>
        </w:rPr>
        <w:t>Victor</w:t>
      </w:r>
      <w:proofErr w:type="spellEnd"/>
      <w:r w:rsidRPr="00E42101">
        <w:rPr>
          <w:rFonts w:eastAsia="Calibri" w:cs="Verdana"/>
          <w:spacing w:val="-2"/>
          <w:szCs w:val="16"/>
          <w:lang w:val="es-CR" w:eastAsia="es-ES"/>
        </w:rPr>
        <w:t xml:space="preserve"> Hugo Godoy Morales y a la señora María José Ortiz Samayoa. Posteriormente, en su escrito de 3 de noviembre de 2017 el señor Jorge Luis Borrayo Reyes, Presidente de COPREDEH, informó que en su ausencia el señor Felipe Sánchez González firmaría las comunicaciones que se dirijan a la Corte.</w:t>
      </w:r>
    </w:p>
  </w:footnote>
  <w:footnote w:id="4">
    <w:p w14:paraId="1D74736B" w14:textId="69450412"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Cuscul</w:t>
      </w:r>
      <w:proofErr w:type="spellEnd"/>
      <w:r w:rsidRPr="00E42101">
        <w:rPr>
          <w:i/>
          <w:szCs w:val="16"/>
          <w:lang w:val="es-CR"/>
        </w:rPr>
        <w:t xml:space="preserve"> Pivaral y otros Vs. Guatemala. Fondo de Asistencia Legal de Víctimas. </w:t>
      </w:r>
      <w:r w:rsidRPr="00E42101">
        <w:rPr>
          <w:szCs w:val="16"/>
          <w:lang w:val="es-CR"/>
        </w:rPr>
        <w:t>Resolución de 24 de julio de 2017. Disponible en http://www.corteidh.or.cr/docs/asuntos/cuscul_fv_17.pdf.</w:t>
      </w:r>
    </w:p>
  </w:footnote>
  <w:footnote w:id="5">
    <w:p w14:paraId="1F448AA4" w14:textId="3D557DB5"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El escrito fue firmado por Denise </w:t>
      </w:r>
      <w:proofErr w:type="spellStart"/>
      <w:r w:rsidRPr="00E42101">
        <w:rPr>
          <w:szCs w:val="16"/>
          <w:lang w:val="es-CR"/>
        </w:rPr>
        <w:t>Ciraudo</w:t>
      </w:r>
      <w:proofErr w:type="spellEnd"/>
      <w:r w:rsidRPr="00E42101">
        <w:rPr>
          <w:szCs w:val="16"/>
          <w:lang w:val="es-CR"/>
        </w:rPr>
        <w:t xml:space="preserve">, Javier Ruiz y Felipe </w:t>
      </w:r>
      <w:proofErr w:type="spellStart"/>
      <w:r w:rsidRPr="00E42101">
        <w:rPr>
          <w:szCs w:val="16"/>
          <w:lang w:val="es-CR"/>
        </w:rPr>
        <w:t>Sautu</w:t>
      </w:r>
      <w:proofErr w:type="spellEnd"/>
      <w:r w:rsidRPr="00E42101">
        <w:rPr>
          <w:szCs w:val="16"/>
          <w:lang w:val="es-CR"/>
        </w:rPr>
        <w:t>. El escrito analiza la situación del VIH en Guatemala y explica que la atención médica prestada por el Estado a los portadores de VIH ha sido nula o deficiente. A través de un análisis del marco normativo nacional e internacional del Estado de Guatemala concluye que éste incumplió los compromisos y obligaciones asumidas. El documento realiza un análisis sobre el derecho a la vida de las víctimas, a la integridad personal de los afectados, a la integridad personal de familiares de éstos y sobre el derecho a la protección judicial en relación al recurso de amparo interpuesto. Concluye que el Estado es responsable de la violación de los derechos mencionados y propone que la Corte tome en consideración las siguientes medidas de reparación: reparación del daño material e inmaterial, medidas de memoria a víctimas fallecidas, medidas de no repetición y la realización de un acto público.</w:t>
      </w:r>
    </w:p>
  </w:footnote>
  <w:footnote w:id="6">
    <w:p w14:paraId="61C87F46" w14:textId="11932CCA"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El escrito fue firmado por Ariel </w:t>
      </w:r>
      <w:proofErr w:type="spellStart"/>
      <w:r w:rsidRPr="00E42101">
        <w:rPr>
          <w:szCs w:val="16"/>
          <w:lang w:val="es-CR"/>
        </w:rPr>
        <w:t>Dulitzky</w:t>
      </w:r>
      <w:proofErr w:type="spellEnd"/>
      <w:r w:rsidRPr="00E42101">
        <w:rPr>
          <w:szCs w:val="16"/>
          <w:lang w:val="es-CR"/>
        </w:rPr>
        <w:t xml:space="preserve"> a nombre de todos los autores. En el documento se enfatiza que de conformidad con las normas de interpretación establecidas en la Convención Americana y de la Convención de Viena, así como los criterios desarrollados por la Corte, el artículo 26 de la Convención protege los derechos económicos, sociales y culturales que de la Carta de la OEA derivan, entre ellos el derecho a la salud, y que éstos están sujetos a obligaciones generales de respeto y garantía impuestas en los artículos 1.1 y 2 de la Convención. El escrito diferencia entre derecho a la salud y los derechos a la vida y a la integridad personal, puesto que el primero es un derecho en sí mismo que impone además obligaciones específicas. El documento aborda las generalidades del VIH y su situación en Guatemala, resaltando la importancia de implementar políticas en salud pública enfocadas en su atención. Concluye que la respuesta adoptada por Guatemala frente a la crisis del VIH ha sido tardía y muy por debajo de los estándares de cuidado clínico, lo que se tradujo en afectaciones directas a cada una de las victimas del presente caso.</w:t>
      </w:r>
    </w:p>
  </w:footnote>
  <w:footnote w:id="7">
    <w:p w14:paraId="409239E1" w14:textId="26B131CC"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El escrito fue firmado por María de los Ángeles Cruz Rosel, Carlos Luis </w:t>
      </w:r>
      <w:proofErr w:type="spellStart"/>
      <w:r w:rsidRPr="00E42101">
        <w:rPr>
          <w:szCs w:val="16"/>
          <w:lang w:val="es-CR"/>
        </w:rPr>
        <w:t>Escoffié</w:t>
      </w:r>
      <w:proofErr w:type="spellEnd"/>
      <w:r w:rsidRPr="00E42101">
        <w:rPr>
          <w:szCs w:val="16"/>
          <w:lang w:val="es-CR"/>
        </w:rPr>
        <w:t xml:space="preserve"> Duarte, Jessy Guadalupe </w:t>
      </w:r>
      <w:proofErr w:type="spellStart"/>
      <w:r w:rsidRPr="00E42101">
        <w:rPr>
          <w:szCs w:val="16"/>
          <w:lang w:val="es-CR"/>
        </w:rPr>
        <w:t>Cetz</w:t>
      </w:r>
      <w:proofErr w:type="spellEnd"/>
      <w:r w:rsidRPr="00E42101">
        <w:rPr>
          <w:szCs w:val="16"/>
          <w:lang w:val="es-CR"/>
        </w:rPr>
        <w:t xml:space="preserve"> </w:t>
      </w:r>
      <w:proofErr w:type="spellStart"/>
      <w:r w:rsidRPr="00E42101">
        <w:rPr>
          <w:szCs w:val="16"/>
          <w:lang w:val="es-CR"/>
        </w:rPr>
        <w:t>Ceils</w:t>
      </w:r>
      <w:proofErr w:type="spellEnd"/>
      <w:r w:rsidRPr="00E42101">
        <w:rPr>
          <w:szCs w:val="16"/>
          <w:lang w:val="es-CR"/>
        </w:rPr>
        <w:t xml:space="preserve">, Enrique de Jesús Gallegos Madrigal y Andrea Guadalupe Tejero Gamboa. En primer lugar, el documento analiza la concepción del principio de progresividad en el derecho internacional, particularmente en cómo se ha analizado en altas cortes de la región. Enfatiza la necesidad de que la Corte se pronuncie para generar los primeros parámetros interamericanos y respecto a las obligaciones de los Estados en la materia. En segundo lugar, el escrito considera que debe establecerse como criterio jurisprudencial que la falta de indicadores, información y estadísticas es </w:t>
      </w:r>
      <w:r w:rsidRPr="00E42101">
        <w:rPr>
          <w:i/>
          <w:szCs w:val="16"/>
          <w:lang w:val="es-CR"/>
        </w:rPr>
        <w:t>per se</w:t>
      </w:r>
      <w:r w:rsidRPr="00E42101">
        <w:rPr>
          <w:szCs w:val="16"/>
          <w:lang w:val="es-CR"/>
        </w:rPr>
        <w:t xml:space="preserve"> una violación al principio en virtud de las obligaciones mínimas e inmediatas que se derivan del artículo 26, en relación con los artículos 1.1 y 2 de la Convención. El escrito aborda las experiencias regionales para limitar las patentes por razones de interés público. Hace hincapié en la necesidad de adoptar medidas alternas como las licencias obligatorias por razones de interés público a las patentes farmacéuticas.</w:t>
      </w:r>
    </w:p>
  </w:footnote>
  <w:footnote w:id="8">
    <w:p w14:paraId="212E485A" w14:textId="4BFA940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Cuscul</w:t>
      </w:r>
      <w:proofErr w:type="spellEnd"/>
      <w:r w:rsidRPr="00E42101">
        <w:rPr>
          <w:i/>
          <w:szCs w:val="16"/>
          <w:lang w:val="es-CR"/>
        </w:rPr>
        <w:t xml:space="preserve"> Pivaral y otros Vs. Guatemala. Convocatoria de audiencia</w:t>
      </w:r>
      <w:r w:rsidRPr="00E42101">
        <w:rPr>
          <w:szCs w:val="16"/>
          <w:lang w:val="es-CR"/>
        </w:rPr>
        <w:t>. Resolución del Presidente de la Corte Interamericana de Derechos Humanos de 8 de febrero de 2018. Disponible en: http://www.corteidh.or.cr/docs/asuntos/cuscul_08_02_18.pdf.</w:t>
      </w:r>
    </w:p>
  </w:footnote>
  <w:footnote w:id="9">
    <w:p w14:paraId="079A67E9" w14:textId="715D27F8" w:rsidR="00604517" w:rsidRPr="00E42101" w:rsidRDefault="00604517" w:rsidP="00E47BD5">
      <w:pPr>
        <w:pStyle w:val="Textonotapie"/>
        <w:spacing w:before="0"/>
        <w:rPr>
          <w:rFonts w:eastAsia="Times New Roman" w:cs="Times New Roman"/>
          <w:bCs/>
          <w:iCs/>
          <w:szCs w:val="16"/>
          <w:lang w:val="es-CR"/>
        </w:rPr>
      </w:pPr>
      <w:r w:rsidRPr="00E42101">
        <w:rPr>
          <w:rStyle w:val="Refdenotaalpie"/>
          <w:szCs w:val="16"/>
          <w:lang w:val="es-CR"/>
        </w:rPr>
        <w:footnoteRef/>
      </w:r>
      <w:r w:rsidRPr="00E42101">
        <w:rPr>
          <w:szCs w:val="16"/>
          <w:lang w:val="es-CR"/>
        </w:rPr>
        <w:tab/>
      </w:r>
      <w:r w:rsidRPr="00E42101">
        <w:rPr>
          <w:rFonts w:eastAsia="Times New Roman" w:cs="Times New Roman"/>
          <w:bCs/>
          <w:iCs/>
          <w:szCs w:val="16"/>
          <w:lang w:val="es-CR"/>
        </w:rPr>
        <w:t xml:space="preserve">A esta audiencia comparecieron: a) por la Comisión Interamericana: Silvia Serrano Guzmán y Soledad García Muñoz; b) por los representantes: Esteban Madrigal Brenes, Gisela De </w:t>
      </w:r>
      <w:proofErr w:type="spellStart"/>
      <w:r w:rsidRPr="00E42101">
        <w:rPr>
          <w:rFonts w:eastAsia="Times New Roman" w:cs="Times New Roman"/>
          <w:bCs/>
          <w:iCs/>
          <w:szCs w:val="16"/>
          <w:lang w:val="es-CR"/>
        </w:rPr>
        <w:t>Léon</w:t>
      </w:r>
      <w:proofErr w:type="spellEnd"/>
      <w:r w:rsidRPr="00E42101">
        <w:rPr>
          <w:rFonts w:eastAsia="Times New Roman" w:cs="Times New Roman"/>
          <w:bCs/>
          <w:iCs/>
          <w:szCs w:val="16"/>
          <w:lang w:val="es-CR"/>
        </w:rPr>
        <w:t xml:space="preserve">, Marcia Aguiluz, Antonio Jaén, Mariana </w:t>
      </w:r>
      <w:proofErr w:type="spellStart"/>
      <w:r w:rsidRPr="00E42101">
        <w:rPr>
          <w:rFonts w:eastAsia="Times New Roman" w:cs="Times New Roman"/>
          <w:bCs/>
          <w:iCs/>
          <w:szCs w:val="16"/>
          <w:lang w:val="es-CR"/>
        </w:rPr>
        <w:t>Brocca</w:t>
      </w:r>
      <w:proofErr w:type="spellEnd"/>
      <w:r w:rsidRPr="00E42101">
        <w:rPr>
          <w:rFonts w:eastAsia="Times New Roman" w:cs="Times New Roman"/>
          <w:bCs/>
          <w:iCs/>
          <w:szCs w:val="16"/>
          <w:lang w:val="es-CR"/>
        </w:rPr>
        <w:t xml:space="preserve">, Eduardo </w:t>
      </w:r>
      <w:proofErr w:type="spellStart"/>
      <w:r w:rsidRPr="00E42101">
        <w:rPr>
          <w:rFonts w:eastAsia="Times New Roman" w:cs="Times New Roman"/>
          <w:bCs/>
          <w:iCs/>
          <w:szCs w:val="16"/>
          <w:lang w:val="es-CR"/>
        </w:rPr>
        <w:t>Arathoon</w:t>
      </w:r>
      <w:proofErr w:type="spellEnd"/>
      <w:r w:rsidRPr="00E42101">
        <w:rPr>
          <w:rFonts w:eastAsia="Times New Roman" w:cs="Times New Roman"/>
          <w:bCs/>
          <w:iCs/>
          <w:szCs w:val="16"/>
          <w:lang w:val="es-CR"/>
        </w:rPr>
        <w:t xml:space="preserve"> y Cristina Calderón, y c) por el Estado de Guatemala: Juan Carlos Orellana Juárez, Felipe Sánchez González, Lourdes </w:t>
      </w:r>
      <w:proofErr w:type="spellStart"/>
      <w:r w:rsidRPr="00E42101">
        <w:rPr>
          <w:rFonts w:eastAsia="Times New Roman" w:cs="Times New Roman"/>
          <w:bCs/>
          <w:iCs/>
          <w:szCs w:val="16"/>
          <w:lang w:val="es-CR"/>
        </w:rPr>
        <w:t>Mylene</w:t>
      </w:r>
      <w:proofErr w:type="spellEnd"/>
      <w:r w:rsidRPr="00E42101">
        <w:rPr>
          <w:rFonts w:eastAsia="Times New Roman" w:cs="Times New Roman"/>
          <w:bCs/>
          <w:iCs/>
          <w:szCs w:val="16"/>
          <w:lang w:val="es-CR"/>
        </w:rPr>
        <w:t xml:space="preserve"> Woolfolk Contreras, </w:t>
      </w:r>
      <w:proofErr w:type="spellStart"/>
      <w:r w:rsidRPr="00E42101">
        <w:rPr>
          <w:rFonts w:eastAsia="Times New Roman" w:cs="Times New Roman"/>
          <w:bCs/>
          <w:iCs/>
          <w:szCs w:val="16"/>
          <w:lang w:val="es-CR"/>
        </w:rPr>
        <w:t>Briceida</w:t>
      </w:r>
      <w:proofErr w:type="spellEnd"/>
      <w:r w:rsidRPr="00E42101">
        <w:rPr>
          <w:rFonts w:eastAsia="Times New Roman" w:cs="Times New Roman"/>
          <w:bCs/>
          <w:iCs/>
          <w:szCs w:val="16"/>
          <w:lang w:val="es-CR"/>
        </w:rPr>
        <w:t xml:space="preserve"> Aracely </w:t>
      </w:r>
      <w:proofErr w:type="spellStart"/>
      <w:r w:rsidRPr="00E42101">
        <w:rPr>
          <w:rFonts w:eastAsia="Times New Roman" w:cs="Times New Roman"/>
          <w:bCs/>
          <w:iCs/>
          <w:szCs w:val="16"/>
          <w:lang w:val="es-CR"/>
        </w:rPr>
        <w:t>Hoenes</w:t>
      </w:r>
      <w:proofErr w:type="spellEnd"/>
      <w:r w:rsidRPr="00E42101">
        <w:rPr>
          <w:rFonts w:eastAsia="Times New Roman" w:cs="Times New Roman"/>
          <w:bCs/>
          <w:iCs/>
          <w:szCs w:val="16"/>
          <w:lang w:val="es-CR"/>
        </w:rPr>
        <w:t xml:space="preserve"> Raquel, Mario Enrique </w:t>
      </w:r>
      <w:proofErr w:type="spellStart"/>
      <w:r w:rsidRPr="00E42101">
        <w:rPr>
          <w:rFonts w:eastAsia="Times New Roman" w:cs="Times New Roman"/>
          <w:bCs/>
          <w:iCs/>
          <w:szCs w:val="16"/>
          <w:lang w:val="es-CR"/>
        </w:rPr>
        <w:t>Anthoon</w:t>
      </w:r>
      <w:proofErr w:type="spellEnd"/>
      <w:r w:rsidRPr="00E42101">
        <w:rPr>
          <w:rFonts w:eastAsia="Times New Roman" w:cs="Times New Roman"/>
          <w:bCs/>
          <w:iCs/>
          <w:szCs w:val="16"/>
          <w:lang w:val="es-CR"/>
        </w:rPr>
        <w:t xml:space="preserve"> Urbina, Rafael Eduardo Bran Paz y Verónica Jiménez.</w:t>
      </w:r>
    </w:p>
  </w:footnote>
  <w:footnote w:id="10">
    <w:p w14:paraId="052FF46C" w14:textId="1BE9672E"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 xml:space="preserve">El artículo 62.3 de la Convención establece: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 </w:t>
      </w:r>
    </w:p>
  </w:footnote>
  <w:footnote w:id="11">
    <w:p w14:paraId="01F11F0B" w14:textId="528AF766" w:rsidR="00604517" w:rsidRPr="00E42101" w:rsidRDefault="00604517" w:rsidP="00E47BD5">
      <w:pPr>
        <w:spacing w:after="120"/>
        <w:rPr>
          <w:b/>
          <w:sz w:val="16"/>
          <w:szCs w:val="16"/>
          <w:lang w:val="es-CR"/>
        </w:rPr>
      </w:pPr>
      <w:r w:rsidRPr="00E42101">
        <w:rPr>
          <w:rStyle w:val="Refdenotaalpie"/>
          <w:sz w:val="16"/>
          <w:szCs w:val="16"/>
          <w:lang w:val="es-CR"/>
        </w:rPr>
        <w:footnoteRef/>
      </w:r>
      <w:r w:rsidRPr="00E42101">
        <w:rPr>
          <w:sz w:val="16"/>
          <w:szCs w:val="16"/>
          <w:lang w:val="es-CR"/>
        </w:rPr>
        <w:tab/>
      </w:r>
      <w:r w:rsidRPr="00E42101">
        <w:rPr>
          <w:i/>
          <w:sz w:val="16"/>
          <w:szCs w:val="16"/>
          <w:lang w:val="es-CR"/>
        </w:rPr>
        <w:t>Cfr.</w:t>
      </w:r>
      <w:r w:rsidRPr="00E42101">
        <w:rPr>
          <w:sz w:val="16"/>
          <w:szCs w:val="16"/>
          <w:shd w:val="clear" w:color="auto" w:fill="FFFFFF"/>
          <w:lang w:val="es-CR"/>
        </w:rPr>
        <w:t xml:space="preserve"> </w:t>
      </w:r>
      <w:r w:rsidRPr="00E42101">
        <w:rPr>
          <w:bCs/>
          <w:i/>
          <w:sz w:val="16"/>
          <w:szCs w:val="16"/>
          <w:shd w:val="clear" w:color="auto" w:fill="FFFFFF"/>
          <w:lang w:val="es-CR"/>
        </w:rPr>
        <w:t>Caso Velásquez Rodríguez Vs. Honduras. Excepciones Preliminares</w:t>
      </w:r>
      <w:r w:rsidRPr="00E42101">
        <w:rPr>
          <w:bCs/>
          <w:sz w:val="16"/>
          <w:szCs w:val="16"/>
          <w:shd w:val="clear" w:color="auto" w:fill="FFFFFF"/>
          <w:lang w:val="es-CR"/>
        </w:rPr>
        <w:t>. Sentencia de 26 de junio de 1987. Serie C No. 1, párr. 63,</w:t>
      </w:r>
      <w:r w:rsidRPr="00E42101">
        <w:rPr>
          <w:rStyle w:val="Textoennegrita"/>
          <w:sz w:val="16"/>
          <w:szCs w:val="16"/>
          <w:shd w:val="clear" w:color="auto" w:fill="FFFFFF"/>
          <w:lang w:val="es-CR"/>
        </w:rPr>
        <w:t xml:space="preserve"> </w:t>
      </w:r>
      <w:r w:rsidRPr="00E42101">
        <w:rPr>
          <w:rStyle w:val="Textoennegrita"/>
          <w:b w:val="0"/>
          <w:sz w:val="16"/>
          <w:szCs w:val="16"/>
          <w:shd w:val="clear" w:color="auto" w:fill="FFFFFF"/>
          <w:lang w:val="es-CR"/>
        </w:rPr>
        <w:t xml:space="preserve">y </w:t>
      </w:r>
      <w:r w:rsidRPr="00E42101">
        <w:rPr>
          <w:rStyle w:val="Textoennegrita"/>
          <w:b w:val="0"/>
          <w:i/>
          <w:color w:val="000000"/>
          <w:sz w:val="16"/>
          <w:szCs w:val="16"/>
          <w:shd w:val="clear" w:color="auto" w:fill="FFFFFF"/>
          <w:lang w:val="es-CR"/>
        </w:rPr>
        <w:t>Caso Amrhein y otros vs. Costa Rica. Excepciones Preliminares, Fondo, Reparaciones y Costas.</w:t>
      </w:r>
      <w:r w:rsidRPr="00E42101">
        <w:rPr>
          <w:rStyle w:val="Textoennegrita"/>
          <w:b w:val="0"/>
          <w:color w:val="000000"/>
          <w:sz w:val="16"/>
          <w:szCs w:val="16"/>
          <w:shd w:val="clear" w:color="auto" w:fill="FFFFFF"/>
          <w:lang w:val="es-CR"/>
        </w:rPr>
        <w:t xml:space="preserve"> Sentencia de 25 de abril de 2018. Serie C No. 354, párr. 39.</w:t>
      </w:r>
    </w:p>
  </w:footnote>
  <w:footnote w:id="12">
    <w:p w14:paraId="1A40AA1D" w14:textId="43E716CC" w:rsidR="00604517" w:rsidRPr="00E42101" w:rsidRDefault="00604517" w:rsidP="00E47BD5">
      <w:pPr>
        <w:spacing w:after="120"/>
        <w:rPr>
          <w:bCs/>
          <w:i/>
          <w:sz w:val="16"/>
          <w:szCs w:val="16"/>
          <w:shd w:val="clear" w:color="auto" w:fill="FFFFFF"/>
          <w:lang w:val="es-CR"/>
        </w:rPr>
      </w:pPr>
      <w:r w:rsidRPr="00E42101">
        <w:rPr>
          <w:rStyle w:val="Refdenotaalpie"/>
          <w:sz w:val="16"/>
          <w:szCs w:val="16"/>
          <w:lang w:val="es-CR"/>
        </w:rPr>
        <w:footnoteRef/>
      </w:r>
      <w:r w:rsidRPr="00E42101">
        <w:rPr>
          <w:sz w:val="16"/>
          <w:szCs w:val="16"/>
          <w:lang w:val="es-CR"/>
        </w:rPr>
        <w:tab/>
      </w:r>
      <w:r w:rsidRPr="00E42101">
        <w:rPr>
          <w:rFonts w:cs="Verdana"/>
          <w:i/>
          <w:iCs/>
          <w:sz w:val="16"/>
          <w:szCs w:val="16"/>
          <w:lang w:val="es-CR"/>
        </w:rPr>
        <w:t xml:space="preserve">Cfr. </w:t>
      </w:r>
      <w:r w:rsidRPr="00E42101">
        <w:rPr>
          <w:rStyle w:val="Textoennegrita"/>
          <w:b w:val="0"/>
          <w:i/>
          <w:sz w:val="16"/>
          <w:szCs w:val="16"/>
          <w:shd w:val="clear" w:color="auto" w:fill="FFFFFF"/>
          <w:lang w:val="es-CR"/>
        </w:rPr>
        <w:t>Caso Velásquez Rodríguez Vs. Honduras. Excepciones Preliminares</w:t>
      </w:r>
      <w:r>
        <w:rPr>
          <w:rFonts w:cs="Verdana"/>
          <w:i/>
          <w:sz w:val="16"/>
          <w:szCs w:val="16"/>
          <w:lang w:val="es-CR"/>
        </w:rPr>
        <w:t>.</w:t>
      </w:r>
      <w:r w:rsidRPr="00E42101">
        <w:rPr>
          <w:rFonts w:cs="Verdana"/>
          <w:sz w:val="16"/>
          <w:szCs w:val="16"/>
          <w:lang w:val="es-CR"/>
        </w:rPr>
        <w:t xml:space="preserve"> </w:t>
      </w:r>
      <w:r w:rsidRPr="00E42101">
        <w:rPr>
          <w:bCs/>
          <w:sz w:val="16"/>
          <w:szCs w:val="16"/>
          <w:shd w:val="clear" w:color="auto" w:fill="FFFFFF"/>
          <w:lang w:val="es-CR"/>
        </w:rPr>
        <w:t xml:space="preserve">Sentencia de 26 de junio de 1987. Serie C No. 1, </w:t>
      </w:r>
      <w:r w:rsidRPr="00E42101">
        <w:rPr>
          <w:rFonts w:cs="Verdana"/>
          <w:sz w:val="16"/>
          <w:szCs w:val="16"/>
          <w:lang w:val="es-CR"/>
        </w:rPr>
        <w:t xml:space="preserve">párr. 88, y </w:t>
      </w:r>
      <w:r w:rsidRPr="00E42101">
        <w:rPr>
          <w:rStyle w:val="Textoennegrita"/>
          <w:b w:val="0"/>
          <w:i/>
          <w:color w:val="000000"/>
          <w:sz w:val="16"/>
          <w:szCs w:val="16"/>
          <w:shd w:val="clear" w:color="auto" w:fill="FFFFFF"/>
          <w:lang w:val="es-CR"/>
        </w:rPr>
        <w:t>Caso Amrhein y otros vs. Costa Rica. Excepciones Preliminares, Fondo, Reparaciones y Costas.</w:t>
      </w:r>
      <w:r w:rsidRPr="00E42101">
        <w:rPr>
          <w:rStyle w:val="Textoennegrita"/>
          <w:b w:val="0"/>
          <w:color w:val="000000"/>
          <w:sz w:val="16"/>
          <w:szCs w:val="16"/>
          <w:shd w:val="clear" w:color="auto" w:fill="FFFFFF"/>
          <w:lang w:val="es-CR"/>
        </w:rPr>
        <w:t xml:space="preserve"> Sentencia de 25 de abril de 2018. Serie C No. 354, párr. 39.</w:t>
      </w:r>
    </w:p>
  </w:footnote>
  <w:footnote w:id="13">
    <w:p w14:paraId="28A3042D" w14:textId="7D178770"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Oficio P-435-2004 de 18 de junio del 2004 suscrito por Frank La Rue Lewy, Presidente de COPREDEH, dirigido a la Comisión Interamericana de Derechos Humanos (</w:t>
      </w:r>
      <w:r w:rsidRPr="00E42101">
        <w:rPr>
          <w:bCs/>
          <w:sz w:val="16"/>
          <w:szCs w:val="16"/>
          <w:lang w:val="es-CR"/>
        </w:rPr>
        <w:t>expediente de prueba, folio 111).</w:t>
      </w:r>
    </w:p>
  </w:footnote>
  <w:footnote w:id="14">
    <w:p w14:paraId="65C48274" w14:textId="63D2C8EE" w:rsidR="00604517" w:rsidRPr="00E42101" w:rsidRDefault="00604517" w:rsidP="00E47BD5">
      <w:pPr>
        <w:pStyle w:val="Textonotapie"/>
        <w:tabs>
          <w:tab w:val="left" w:pos="709"/>
        </w:tabs>
        <w:spacing w:before="0"/>
        <w:rPr>
          <w:b/>
          <w:szCs w:val="16"/>
          <w:lang w:val="es-CR"/>
        </w:rPr>
      </w:pPr>
      <w:r w:rsidRPr="00E42101">
        <w:rPr>
          <w:rStyle w:val="Refdenotaalpie"/>
          <w:szCs w:val="16"/>
          <w:lang w:val="es-CR"/>
        </w:rPr>
        <w:footnoteRef/>
      </w:r>
      <w:r w:rsidRPr="00E42101">
        <w:rPr>
          <w:szCs w:val="16"/>
          <w:lang w:val="es-CR"/>
        </w:rPr>
        <w:tab/>
      </w:r>
      <w:r w:rsidRPr="00E42101">
        <w:rPr>
          <w:szCs w:val="16"/>
          <w:lang w:val="es-CR"/>
        </w:rPr>
        <w:tab/>
      </w:r>
      <w:r w:rsidRPr="00E42101">
        <w:rPr>
          <w:i/>
          <w:szCs w:val="16"/>
          <w:lang w:val="es-CR"/>
        </w:rPr>
        <w:t xml:space="preserve">Cfr. </w:t>
      </w:r>
      <w:r w:rsidRPr="00E42101">
        <w:rPr>
          <w:rStyle w:val="Textoennegrita"/>
          <w:b w:val="0"/>
          <w:i/>
          <w:szCs w:val="16"/>
          <w:shd w:val="clear" w:color="auto" w:fill="FFFFFF"/>
          <w:lang w:val="es-CR"/>
        </w:rPr>
        <w:t>Caso de las Masacres de Ituango Vs. Colombia</w:t>
      </w:r>
      <w:r w:rsidRPr="00E42101">
        <w:rPr>
          <w:rStyle w:val="Textoennegrita"/>
          <w:b w:val="0"/>
          <w:szCs w:val="16"/>
          <w:shd w:val="clear" w:color="auto" w:fill="FFFFFF"/>
          <w:lang w:val="es-CR"/>
        </w:rPr>
        <w:t>.</w:t>
      </w:r>
      <w:r w:rsidRPr="00E42101">
        <w:rPr>
          <w:rStyle w:val="Textoennegrita"/>
          <w:b w:val="0"/>
          <w:i/>
          <w:szCs w:val="16"/>
          <w:shd w:val="clear" w:color="auto" w:fill="FFFFFF"/>
          <w:lang w:val="es-CR"/>
        </w:rPr>
        <w:t xml:space="preserve"> </w:t>
      </w:r>
      <w:r w:rsidRPr="00E42101">
        <w:rPr>
          <w:rStyle w:val="Textoennegrita"/>
          <w:b w:val="0"/>
          <w:szCs w:val="16"/>
          <w:shd w:val="clear" w:color="auto" w:fill="FFFFFF"/>
          <w:lang w:val="es-CR"/>
        </w:rPr>
        <w:t xml:space="preserve">Sentencia de 1 de julio de 2006. Serie C No. 148, párr. 98, y </w:t>
      </w:r>
      <w:r w:rsidRPr="00E42101">
        <w:rPr>
          <w:rStyle w:val="Textoennegrita"/>
          <w:b w:val="0"/>
          <w:i/>
          <w:szCs w:val="16"/>
          <w:lang w:val="es-CR"/>
        </w:rPr>
        <w:t xml:space="preserve">Caso Favela Nova </w:t>
      </w:r>
      <w:proofErr w:type="spellStart"/>
      <w:r w:rsidRPr="00E42101">
        <w:rPr>
          <w:rStyle w:val="Textoennegrita"/>
          <w:b w:val="0"/>
          <w:i/>
          <w:szCs w:val="16"/>
          <w:lang w:val="es-CR"/>
        </w:rPr>
        <w:t>Brasília</w:t>
      </w:r>
      <w:proofErr w:type="spellEnd"/>
      <w:r w:rsidRPr="00E42101">
        <w:rPr>
          <w:rStyle w:val="Textoennegrita"/>
          <w:b w:val="0"/>
          <w:i/>
          <w:szCs w:val="16"/>
          <w:lang w:val="es-CR"/>
        </w:rPr>
        <w:t xml:space="preserve"> Vs. Brasil. Excepciones Preliminares, Fondo, Reparaciones y Costas</w:t>
      </w:r>
      <w:r w:rsidRPr="00E42101">
        <w:rPr>
          <w:rStyle w:val="Textoennegrita"/>
          <w:b w:val="0"/>
          <w:szCs w:val="16"/>
          <w:lang w:val="es-CR"/>
        </w:rPr>
        <w:t>. Sentencia de 16 de febrero de 2017. Serie C No. 333, párr. 36.</w:t>
      </w:r>
    </w:p>
  </w:footnote>
  <w:footnote w:id="15">
    <w:p w14:paraId="3ECD869D" w14:textId="1444EE20" w:rsidR="00604517" w:rsidRPr="00E42101" w:rsidRDefault="00604517" w:rsidP="00E47BD5">
      <w:pPr>
        <w:pStyle w:val="Textonotapie"/>
        <w:tabs>
          <w:tab w:val="left" w:pos="709"/>
        </w:tabs>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szCs w:val="16"/>
          <w:shd w:val="clear" w:color="auto" w:fill="FFFFFF"/>
          <w:lang w:val="es-CR"/>
        </w:rPr>
        <w:t>Caso de las Masacres de Ituango Vs. Colombia</w:t>
      </w:r>
      <w:r w:rsidRPr="00E42101">
        <w:rPr>
          <w:rStyle w:val="Textoennegrita"/>
          <w:b w:val="0"/>
          <w:szCs w:val="16"/>
          <w:shd w:val="clear" w:color="auto" w:fill="FFFFFF"/>
          <w:lang w:val="es-CR"/>
        </w:rPr>
        <w:t>.</w:t>
      </w:r>
      <w:r w:rsidRPr="00E42101">
        <w:rPr>
          <w:rStyle w:val="Textoennegrita"/>
          <w:b w:val="0"/>
          <w:i/>
          <w:szCs w:val="16"/>
          <w:shd w:val="clear" w:color="auto" w:fill="FFFFFF"/>
          <w:lang w:val="es-CR"/>
        </w:rPr>
        <w:t xml:space="preserve"> </w:t>
      </w:r>
      <w:r w:rsidRPr="00E42101">
        <w:rPr>
          <w:rStyle w:val="Textoennegrita"/>
          <w:b w:val="0"/>
          <w:szCs w:val="16"/>
          <w:shd w:val="clear" w:color="auto" w:fill="FFFFFF"/>
          <w:lang w:val="es-CR"/>
        </w:rPr>
        <w:t>Sentencia de 1 de julio de 2006. Serie C No. 148, párr. 98, y</w:t>
      </w:r>
      <w:r w:rsidRPr="00E42101">
        <w:rPr>
          <w:rStyle w:val="Textoennegrita"/>
          <w:szCs w:val="16"/>
          <w:shd w:val="clear" w:color="auto" w:fill="FFFFFF"/>
          <w:lang w:val="es-CR"/>
        </w:rPr>
        <w:t xml:space="preserve"> </w:t>
      </w:r>
      <w:r w:rsidRPr="00E42101">
        <w:rPr>
          <w:rFonts w:eastAsia="Calibri"/>
          <w:bCs/>
          <w:i/>
          <w:szCs w:val="16"/>
          <w:shd w:val="clear" w:color="auto" w:fill="FFFFFF"/>
          <w:lang w:val="es-CR"/>
        </w:rPr>
        <w:t>Caso I.V. Vs. Bolivia. Excepciones Preliminares, Fondo, Reparaciones y Costas.</w:t>
      </w:r>
      <w:r w:rsidRPr="00E42101">
        <w:rPr>
          <w:rFonts w:eastAsia="Calibri"/>
          <w:bCs/>
          <w:szCs w:val="16"/>
          <w:shd w:val="clear" w:color="auto" w:fill="FFFFFF"/>
          <w:lang w:val="es-CR"/>
        </w:rPr>
        <w:t xml:space="preserve"> Sentencia de 30 de noviembre de 2016. Serie C No. 329, párr. 41.</w:t>
      </w:r>
    </w:p>
  </w:footnote>
  <w:footnote w:id="16">
    <w:p w14:paraId="6DB21325" w14:textId="33700A3B" w:rsidR="00604517" w:rsidRPr="00E42101" w:rsidRDefault="00604517" w:rsidP="00E47BD5">
      <w:pPr>
        <w:pStyle w:val="Textonotapie"/>
        <w:tabs>
          <w:tab w:val="left" w:pos="709"/>
        </w:tabs>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i/>
          <w:iCs/>
          <w:szCs w:val="16"/>
          <w:lang w:val="es-CR"/>
        </w:rPr>
        <w:t>Caso Masacres de Río Negro Vs. Guatemala. Excepción Preliminar, Fondo, Reparaciones y Costas</w:t>
      </w:r>
      <w:r w:rsidRPr="00E42101">
        <w:rPr>
          <w:szCs w:val="16"/>
          <w:lang w:val="es-CR"/>
        </w:rPr>
        <w:t>. Sentencia de 4 de septiembre de 2012. Serie C No. 250, párr. 48, y</w:t>
      </w:r>
      <w:r w:rsidRPr="00E42101">
        <w:rPr>
          <w:i/>
          <w:szCs w:val="16"/>
          <w:lang w:val="es-CR"/>
        </w:rPr>
        <w:t xml:space="preserve"> </w:t>
      </w:r>
      <w:r w:rsidRPr="00E42101">
        <w:rPr>
          <w:rStyle w:val="Textoennegrita"/>
          <w:b w:val="0"/>
          <w:i/>
          <w:szCs w:val="16"/>
          <w:lang w:val="es-CR"/>
        </w:rPr>
        <w:t xml:space="preserve">Caso Favela Nova </w:t>
      </w:r>
      <w:proofErr w:type="spellStart"/>
      <w:r w:rsidRPr="00E42101">
        <w:rPr>
          <w:rStyle w:val="Textoennegrita"/>
          <w:b w:val="0"/>
          <w:i/>
          <w:szCs w:val="16"/>
          <w:lang w:val="es-CR"/>
        </w:rPr>
        <w:t>Brasília</w:t>
      </w:r>
      <w:proofErr w:type="spellEnd"/>
      <w:r w:rsidRPr="00E42101">
        <w:rPr>
          <w:rStyle w:val="Textoennegrita"/>
          <w:b w:val="0"/>
          <w:i/>
          <w:szCs w:val="16"/>
          <w:lang w:val="es-CR"/>
        </w:rPr>
        <w:t xml:space="preserve"> Vs. Brasil. Excepciones Preliminares, Fondo, Reparaciones y Costas</w:t>
      </w:r>
      <w:r w:rsidRPr="00E42101">
        <w:rPr>
          <w:rStyle w:val="Textoennegrita"/>
          <w:b w:val="0"/>
          <w:szCs w:val="16"/>
          <w:lang w:val="es-CR"/>
        </w:rPr>
        <w:t>.</w:t>
      </w:r>
      <w:r w:rsidRPr="00E42101">
        <w:rPr>
          <w:rStyle w:val="Textoennegrita"/>
          <w:b w:val="0"/>
          <w:i/>
          <w:szCs w:val="16"/>
          <w:lang w:val="es-CR"/>
        </w:rPr>
        <w:t xml:space="preserve"> </w:t>
      </w:r>
      <w:r w:rsidRPr="00E42101">
        <w:rPr>
          <w:rStyle w:val="Textoennegrita"/>
          <w:b w:val="0"/>
          <w:szCs w:val="16"/>
          <w:lang w:val="es-CR"/>
        </w:rPr>
        <w:t>Sentencia de 16 de febrero de 2017. Serie C No. 333, párr. 36.</w:t>
      </w:r>
    </w:p>
  </w:footnote>
  <w:footnote w:id="17">
    <w:p w14:paraId="14E74168" w14:textId="545E94E1"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t xml:space="preserve">Cabe destacar que la Corte ha aplicado el artículo 35.2 de su Reglamento, entre otros, en los siguientes casos: </w:t>
      </w:r>
      <w:r w:rsidRPr="00E42101">
        <w:rPr>
          <w:i/>
          <w:szCs w:val="16"/>
          <w:lang w:val="es-CR"/>
        </w:rPr>
        <w:t>Caso Masacres de Río Negro Vs. Guatemala</w:t>
      </w:r>
      <w:r w:rsidRPr="00E42101">
        <w:rPr>
          <w:szCs w:val="16"/>
          <w:lang w:val="es-CR"/>
        </w:rPr>
        <w:t xml:space="preserve">. </w:t>
      </w:r>
      <w:r w:rsidRPr="00E42101">
        <w:rPr>
          <w:i/>
          <w:szCs w:val="16"/>
          <w:lang w:val="es-CR"/>
        </w:rPr>
        <w:t>Excepción Preliminar, Fondo, Reparaciones y Costas</w:t>
      </w:r>
      <w:r w:rsidRPr="00E42101">
        <w:rPr>
          <w:szCs w:val="16"/>
          <w:lang w:val="es-CR"/>
        </w:rPr>
        <w:t xml:space="preserve">. Sentencia de 4 de septiembre de 2012. Serie C No. 250; </w:t>
      </w:r>
      <w:r w:rsidRPr="00E42101">
        <w:rPr>
          <w:i/>
          <w:szCs w:val="16"/>
          <w:lang w:val="es-CR"/>
        </w:rPr>
        <w:t xml:space="preserve">Caso </w:t>
      </w:r>
      <w:proofErr w:type="spellStart"/>
      <w:r w:rsidRPr="00E42101">
        <w:rPr>
          <w:i/>
          <w:szCs w:val="16"/>
          <w:lang w:val="es-CR"/>
        </w:rPr>
        <w:t>Nadege</w:t>
      </w:r>
      <w:proofErr w:type="spellEnd"/>
      <w:r w:rsidRPr="00E42101">
        <w:rPr>
          <w:i/>
          <w:szCs w:val="16"/>
          <w:lang w:val="es-CR"/>
        </w:rPr>
        <w:t xml:space="preserve"> </w:t>
      </w:r>
      <w:proofErr w:type="spellStart"/>
      <w:r w:rsidRPr="00E42101">
        <w:rPr>
          <w:i/>
          <w:szCs w:val="16"/>
          <w:lang w:val="es-CR"/>
        </w:rPr>
        <w:t>Dorzema</w:t>
      </w:r>
      <w:proofErr w:type="spellEnd"/>
      <w:r w:rsidRPr="00E42101">
        <w:rPr>
          <w:i/>
          <w:szCs w:val="16"/>
          <w:lang w:val="es-CR"/>
        </w:rPr>
        <w:t xml:space="preserve"> y otros Vs. República Dominicana. Fondo Reparaciones y Costas</w:t>
      </w:r>
      <w:r w:rsidRPr="00E42101">
        <w:rPr>
          <w:szCs w:val="16"/>
          <w:lang w:val="es-CR"/>
        </w:rPr>
        <w:t xml:space="preserve">. Sentencia de 24 de octubre de 2012. Serie C No. 251; </w:t>
      </w:r>
      <w:r w:rsidRPr="00E42101">
        <w:rPr>
          <w:i/>
          <w:szCs w:val="16"/>
          <w:lang w:val="es-CR"/>
        </w:rPr>
        <w:t>Caso Masacres de El Mozote y lugares aledaños Vs. El Salvador. Fondo, Reparaciones y Costas</w:t>
      </w:r>
      <w:r w:rsidRPr="00E42101">
        <w:rPr>
          <w:szCs w:val="16"/>
          <w:lang w:val="es-CR"/>
        </w:rPr>
        <w:t>. Sentencia de 25 de o</w:t>
      </w:r>
      <w:r>
        <w:rPr>
          <w:szCs w:val="16"/>
          <w:lang w:val="es-CR"/>
        </w:rPr>
        <w:t>ctubre de 2012. Serie C No. 252, y</w:t>
      </w:r>
      <w:r w:rsidRPr="00E42101">
        <w:rPr>
          <w:szCs w:val="16"/>
          <w:lang w:val="es-CR"/>
        </w:rPr>
        <w:t xml:space="preserve"> </w:t>
      </w:r>
      <w:r w:rsidRPr="00E42101">
        <w:rPr>
          <w:i/>
          <w:szCs w:val="16"/>
          <w:lang w:val="es-CR"/>
        </w:rPr>
        <w:t>Caso de las Comunidades Afrodescendientes Desplazadas de la Cuenca del Río Cacarica (Operación Génesis) Vs. Colombia. Excepciones Preliminares, Fondo, Reparaciones y Costas</w:t>
      </w:r>
      <w:r w:rsidRPr="00E42101">
        <w:rPr>
          <w:szCs w:val="16"/>
          <w:lang w:val="es-CR"/>
        </w:rPr>
        <w:t>. Sentencia de 20 de noviembre de 2013. Serie C No. 270.</w:t>
      </w:r>
    </w:p>
  </w:footnote>
  <w:footnote w:id="18">
    <w:p w14:paraId="181EC5E8" w14:textId="3457619D" w:rsidR="00604517" w:rsidRPr="00E42101" w:rsidRDefault="00604517" w:rsidP="00E47BD5">
      <w:pPr>
        <w:pStyle w:val="Textonotapie"/>
        <w:tabs>
          <w:tab w:val="left" w:pos="426"/>
        </w:tabs>
        <w:rPr>
          <w:szCs w:val="16"/>
          <w:lang w:val="es-CR"/>
        </w:rPr>
      </w:pPr>
      <w:r w:rsidRPr="00E42101">
        <w:rPr>
          <w:rStyle w:val="Refdenotaalpie"/>
          <w:szCs w:val="16"/>
          <w:lang w:val="es-CR"/>
        </w:rPr>
        <w:footnoteRef/>
      </w:r>
      <w:r w:rsidRPr="00E42101">
        <w:rPr>
          <w:bCs/>
          <w:szCs w:val="16"/>
          <w:lang w:val="es-CR"/>
        </w:rPr>
        <w:tab/>
      </w:r>
      <w:r w:rsidRPr="00E42101">
        <w:rPr>
          <w:bCs/>
          <w:szCs w:val="16"/>
          <w:lang w:val="es-CR"/>
        </w:rPr>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Pr="00E42101">
        <w:rPr>
          <w:bCs/>
          <w:i/>
          <w:szCs w:val="16"/>
          <w:lang w:val="es-CR"/>
        </w:rPr>
        <w:t xml:space="preserve">Cfr.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Barbani</w:t>
      </w:r>
      <w:proofErr w:type="spellEnd"/>
      <w:r w:rsidRPr="00E42101">
        <w:rPr>
          <w:rStyle w:val="Textoennegrita"/>
          <w:b w:val="0"/>
          <w:i/>
          <w:color w:val="000000"/>
          <w:szCs w:val="16"/>
          <w:shd w:val="clear" w:color="auto" w:fill="FFFFFF"/>
        </w:rPr>
        <w:t xml:space="preserve"> Duarte y otros Vs. Uruguay. Fondo Reparaciones y Costas</w:t>
      </w:r>
      <w:r w:rsidRPr="00E42101">
        <w:rPr>
          <w:rStyle w:val="Textoennegrita"/>
          <w:b w:val="0"/>
          <w:color w:val="000000"/>
          <w:szCs w:val="16"/>
          <w:shd w:val="clear" w:color="auto" w:fill="FFFFFF"/>
        </w:rPr>
        <w:t>. Sentencia de 13 de octubre de 2011. Serie C No. 234, párr. 22</w:t>
      </w:r>
      <w:r w:rsidRPr="00E42101">
        <w:rPr>
          <w:bCs/>
          <w:szCs w:val="16"/>
          <w:lang w:val="es-CR"/>
        </w:rPr>
        <w:t xml:space="preserve">, y </w:t>
      </w:r>
      <w:r w:rsidRPr="00E42101">
        <w:rPr>
          <w:rStyle w:val="Textoennegrita"/>
          <w:b w:val="0"/>
          <w:i/>
          <w:color w:val="000000"/>
          <w:szCs w:val="16"/>
          <w:shd w:val="clear" w:color="auto" w:fill="FFFFFF"/>
          <w:lang w:val="es-CR"/>
        </w:rPr>
        <w:t xml:space="preserve">Caso </w:t>
      </w:r>
      <w:proofErr w:type="spellStart"/>
      <w:r w:rsidRPr="00E42101">
        <w:rPr>
          <w:rStyle w:val="Textoennegrita"/>
          <w:b w:val="0"/>
          <w:i/>
          <w:color w:val="000000"/>
          <w:szCs w:val="16"/>
          <w:shd w:val="clear" w:color="auto" w:fill="FFFFFF"/>
          <w:lang w:val="es-CR"/>
        </w:rPr>
        <w:t>Amrhein</w:t>
      </w:r>
      <w:proofErr w:type="spellEnd"/>
      <w:r w:rsidRPr="00E42101">
        <w:rPr>
          <w:rStyle w:val="Textoennegrita"/>
          <w:b w:val="0"/>
          <w:i/>
          <w:color w:val="000000"/>
          <w:szCs w:val="16"/>
          <w:shd w:val="clear" w:color="auto" w:fill="FFFFFF"/>
          <w:lang w:val="es-CR"/>
        </w:rPr>
        <w:t xml:space="preserve"> y otros vs. Costa Rica. Excepciones Preliminares, Fondo, Reparaciones y Costas.</w:t>
      </w:r>
      <w:r w:rsidRPr="00E42101">
        <w:rPr>
          <w:rStyle w:val="Textoennegrita"/>
          <w:b w:val="0"/>
          <w:color w:val="000000"/>
          <w:szCs w:val="16"/>
          <w:shd w:val="clear" w:color="auto" w:fill="FFFFFF"/>
          <w:lang w:val="es-CR"/>
        </w:rPr>
        <w:t xml:space="preserve"> Sentencia de 25 de abril de 2018. Serie C No. 354, párr. 138.</w:t>
      </w:r>
    </w:p>
  </w:footnote>
  <w:footnote w:id="19">
    <w:p w14:paraId="6F9B1E42" w14:textId="7E4266AD" w:rsidR="00604517" w:rsidRPr="00E42101" w:rsidRDefault="00604517" w:rsidP="00E47BD5">
      <w:pPr>
        <w:pStyle w:val="Textonotapie"/>
        <w:tabs>
          <w:tab w:val="left" w:pos="426"/>
        </w:tabs>
        <w:rPr>
          <w:szCs w:val="16"/>
          <w:lang w:val="es-CR"/>
        </w:rPr>
      </w:pPr>
      <w:r w:rsidRPr="00E42101">
        <w:rPr>
          <w:rStyle w:val="Refdenotaalpie"/>
          <w:szCs w:val="16"/>
          <w:lang w:val="es-CR"/>
        </w:rPr>
        <w:footnoteRef/>
      </w:r>
      <w:r w:rsidRPr="00E42101">
        <w:rPr>
          <w:szCs w:val="16"/>
          <w:lang w:val="es-CR"/>
        </w:rPr>
        <w:tab/>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Velásquez Rodríguez Vs. Honduras. Fondo</w:t>
      </w:r>
      <w:r w:rsidRPr="00E42101">
        <w:rPr>
          <w:szCs w:val="16"/>
          <w:lang w:val="es-CR"/>
        </w:rPr>
        <w:t xml:space="preserve">. Sentencia de 29 de julio de 1988. Serie C No.4, párr. 140, y </w:t>
      </w:r>
      <w:r w:rsidRPr="00E42101">
        <w:rPr>
          <w:rStyle w:val="Textoennegrita"/>
          <w:b w:val="0"/>
          <w:i/>
          <w:color w:val="000000"/>
          <w:szCs w:val="16"/>
          <w:shd w:val="clear" w:color="auto" w:fill="FFFFFF"/>
          <w:lang w:val="es-CR"/>
        </w:rPr>
        <w:t xml:space="preserve">Caso </w:t>
      </w:r>
      <w:proofErr w:type="spellStart"/>
      <w:r w:rsidRPr="00E42101">
        <w:rPr>
          <w:rStyle w:val="Textoennegrita"/>
          <w:b w:val="0"/>
          <w:i/>
          <w:color w:val="000000"/>
          <w:szCs w:val="16"/>
          <w:shd w:val="clear" w:color="auto" w:fill="FFFFFF"/>
          <w:lang w:val="es-CR"/>
        </w:rPr>
        <w:t>Amrhein</w:t>
      </w:r>
      <w:proofErr w:type="spellEnd"/>
      <w:r w:rsidRPr="00E42101">
        <w:rPr>
          <w:rStyle w:val="Textoennegrita"/>
          <w:b w:val="0"/>
          <w:i/>
          <w:color w:val="000000"/>
          <w:szCs w:val="16"/>
          <w:shd w:val="clear" w:color="auto" w:fill="FFFFFF"/>
          <w:lang w:val="es-CR"/>
        </w:rPr>
        <w:t xml:space="preserve"> y otros vs. Costa Rica. Excepciones Preliminares, Fondo, Reparaciones y Costas.</w:t>
      </w:r>
      <w:r w:rsidRPr="00E42101">
        <w:rPr>
          <w:rStyle w:val="Textoennegrita"/>
          <w:b w:val="0"/>
          <w:color w:val="000000"/>
          <w:szCs w:val="16"/>
          <w:shd w:val="clear" w:color="auto" w:fill="FFFFFF"/>
          <w:lang w:val="es-CR"/>
        </w:rPr>
        <w:t xml:space="preserve"> Sentencia de 25 de abril de 2018. Serie C No. 354, párr. 137.</w:t>
      </w:r>
    </w:p>
  </w:footnote>
  <w:footnote w:id="20">
    <w:p w14:paraId="0526CE63" w14:textId="03E5818C"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Estos anexos se refieren a lo siguiente: 3) Record fotográfico de las unidades médicas que cuentan con clínicas para la atención de VIH/SIDA; 4) Información sobre la atención que brinda la Asociación Hospicio San José a personas con VIH/SIDA; 7) Copia simple del comunicado de prensa 002 de la Comisión Internacional Contra la Impunidad en Guatemala (CICIG) y artículo periodístico de “</w:t>
      </w:r>
      <w:proofErr w:type="spellStart"/>
      <w:r w:rsidRPr="00E42101">
        <w:rPr>
          <w:szCs w:val="16"/>
          <w:lang w:val="es-CR"/>
        </w:rPr>
        <w:t>elperiódico</w:t>
      </w:r>
      <w:proofErr w:type="spellEnd"/>
      <w:r w:rsidRPr="00E42101">
        <w:rPr>
          <w:szCs w:val="16"/>
          <w:lang w:val="es-CR"/>
        </w:rPr>
        <w:t>”, de fecha 14 de febrero de 2018, elaborado por la periodista Cindy Espina; el artículo se titula “El Ministerio de Salud finaliza Convenio Anticorrupción con CICIG”; 10) Acuerdo Gubernativo No. 266 del 22 de septiembre de 2016.</w:t>
      </w:r>
    </w:p>
  </w:footnote>
  <w:footnote w:id="21">
    <w:p w14:paraId="53351D78" w14:textId="0F9A39D9"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Los objetos de las declaraciones se encuentran establecidos en la Resolución del Presidente de la Corte de 8 de febrero de 2018 (</w:t>
      </w:r>
      <w:r w:rsidRPr="00E42101">
        <w:rPr>
          <w:i/>
          <w:szCs w:val="16"/>
          <w:lang w:val="es-CR"/>
        </w:rPr>
        <w:t>supra</w:t>
      </w:r>
      <w:r w:rsidRPr="00E42101">
        <w:rPr>
          <w:szCs w:val="16"/>
          <w:lang w:val="es-CR"/>
        </w:rPr>
        <w:t xml:space="preserve"> nota 8).</w:t>
      </w:r>
    </w:p>
  </w:footnote>
  <w:footnote w:id="22">
    <w:p w14:paraId="77791071" w14:textId="7C268A6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Ver Anexo I a la presente Sentencia.</w:t>
      </w:r>
    </w:p>
  </w:footnote>
  <w:footnote w:id="23">
    <w:p w14:paraId="0C18F0E5" w14:textId="0715024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7C6F6F">
        <w:rPr>
          <w:i/>
          <w:szCs w:val="16"/>
          <w:lang w:val="es-CR"/>
        </w:rPr>
        <w:t xml:space="preserve">Cfr. </w:t>
      </w:r>
      <w:r w:rsidRPr="007C6F6F">
        <w:rPr>
          <w:szCs w:val="16"/>
          <w:lang w:val="es-CR"/>
        </w:rPr>
        <w:t xml:space="preserve">Programa Conjunto de las Naciones Unidas sobre el VIH/SIDA (ONUSIDA), Comunicar en VIH y SIDA, Manual de capacitación en VIH y SIDA para comunicadores sociales, STATOIL, 1era. Edición, Caracas, 2006, pág. 4; Organización Mundial de la Salud </w:t>
      </w:r>
      <w:r>
        <w:rPr>
          <w:szCs w:val="16"/>
          <w:lang w:val="es-CR"/>
        </w:rPr>
        <w:t>(OMS),</w:t>
      </w:r>
      <w:r w:rsidRPr="007C6F6F">
        <w:rPr>
          <w:szCs w:val="16"/>
          <w:lang w:val="es-CR"/>
        </w:rPr>
        <w:t xml:space="preserve"> Orientaciones mundiales sobre los criterios y procesos para la validación de la eliminación de la transmisión </w:t>
      </w:r>
      <w:proofErr w:type="spellStart"/>
      <w:r w:rsidRPr="007C6F6F">
        <w:rPr>
          <w:szCs w:val="16"/>
          <w:lang w:val="es-CR"/>
        </w:rPr>
        <w:t>maternoinfantil</w:t>
      </w:r>
      <w:proofErr w:type="spellEnd"/>
      <w:r w:rsidRPr="007C6F6F">
        <w:rPr>
          <w:szCs w:val="16"/>
          <w:lang w:val="es-CR"/>
        </w:rPr>
        <w:t xml:space="preserve"> del VIH y la sífilis, 2015, pág. 3</w:t>
      </w:r>
      <w:r w:rsidRPr="00E42101">
        <w:rPr>
          <w:szCs w:val="16"/>
          <w:lang w:val="es-CR"/>
        </w:rPr>
        <w:t xml:space="preserve">, y Programa Conjunto de las Naciones Unidas sobre el VIH/SIDA (ONUSIDA), Enfermedades oportunistas relacionadas con el VIH, 1999, pág. 3. Disponible en: </w:t>
      </w:r>
      <w:hyperlink r:id="rId1" w:history="1">
        <w:r w:rsidRPr="002D64B2">
          <w:rPr>
            <w:rStyle w:val="Hipervnculo"/>
            <w:color w:val="auto"/>
            <w:szCs w:val="16"/>
            <w:u w:val="none"/>
          </w:rPr>
          <w:t>http://data.unaids.org/publications/irc-pub05/opportu_es.pdf</w:t>
        </w:r>
      </w:hyperlink>
      <w:r w:rsidRPr="00E42101">
        <w:rPr>
          <w:szCs w:val="16"/>
        </w:rPr>
        <w:t xml:space="preserve">. </w:t>
      </w:r>
    </w:p>
  </w:footnote>
  <w:footnote w:id="24">
    <w:p w14:paraId="301F7967" w14:textId="7FD855E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Programa Conjunto de las Naciones Unidas sobre el VIH/SIDA (ONUSIDA), Enfermedades oportunistas relacionadas con el VIH, 1999, pág. 2. Disponible en: </w:t>
      </w:r>
      <w:hyperlink r:id="rId2" w:history="1">
        <w:r w:rsidRPr="002D64B2">
          <w:rPr>
            <w:rStyle w:val="Hipervnculo"/>
            <w:color w:val="auto"/>
            <w:szCs w:val="16"/>
            <w:u w:val="none"/>
          </w:rPr>
          <w:t>http://data.unaids.org/publications/irc-pub05/opportu _es.pdf</w:t>
        </w:r>
      </w:hyperlink>
      <w:r w:rsidRPr="00E42101">
        <w:rPr>
          <w:szCs w:val="16"/>
        </w:rPr>
        <w:t xml:space="preserve">, y </w:t>
      </w:r>
      <w:r w:rsidRPr="00E42101">
        <w:rPr>
          <w:szCs w:val="16"/>
          <w:lang w:val="es-CR"/>
        </w:rPr>
        <w:t>peritaje rendido por Ricardo Boza Cordero en la audiencia pública celebrada ante esta Corte e informe escrito sobre dicho peritaje (expediente de fondo, folios 1459 y 1460).</w:t>
      </w:r>
    </w:p>
  </w:footnote>
  <w:footnote w:id="25">
    <w:p w14:paraId="24283745" w14:textId="1AFBD47C"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Programa Conjunto de las Naciones Unidas sobre el VIH/SIDA (ONUSIDA), Orientaciones terminológicas del ONUSIDA (expediente de prueba, folio 8456); </w:t>
      </w:r>
      <w:proofErr w:type="spellStart"/>
      <w:r w:rsidRPr="00E42101">
        <w:rPr>
          <w:szCs w:val="16"/>
          <w:lang w:val="es-CR"/>
        </w:rPr>
        <w:t>World</w:t>
      </w:r>
      <w:proofErr w:type="spellEnd"/>
      <w:r w:rsidRPr="00E42101">
        <w:rPr>
          <w:szCs w:val="16"/>
          <w:lang w:val="es-CR"/>
        </w:rPr>
        <w:t xml:space="preserve"> </w:t>
      </w:r>
      <w:proofErr w:type="spellStart"/>
      <w:r w:rsidRPr="00E42101">
        <w:rPr>
          <w:szCs w:val="16"/>
          <w:lang w:val="es-CR"/>
        </w:rPr>
        <w:t>Health</w:t>
      </w:r>
      <w:proofErr w:type="spellEnd"/>
      <w:r w:rsidRPr="00E42101">
        <w:rPr>
          <w:szCs w:val="16"/>
          <w:lang w:val="es-CR"/>
        </w:rPr>
        <w:t xml:space="preserve"> </w:t>
      </w:r>
      <w:proofErr w:type="spellStart"/>
      <w:r w:rsidRPr="00E42101">
        <w:rPr>
          <w:szCs w:val="16"/>
          <w:lang w:val="es-CR"/>
        </w:rPr>
        <w:t>Organization</w:t>
      </w:r>
      <w:proofErr w:type="spellEnd"/>
      <w:r w:rsidRPr="00E42101">
        <w:rPr>
          <w:szCs w:val="16"/>
          <w:lang w:val="es-CR"/>
        </w:rPr>
        <w:t xml:space="preserve">, </w:t>
      </w:r>
      <w:proofErr w:type="spellStart"/>
      <w:r w:rsidRPr="00E42101">
        <w:rPr>
          <w:szCs w:val="16"/>
          <w:lang w:val="es-CR"/>
        </w:rPr>
        <w:t>Consolidated</w:t>
      </w:r>
      <w:proofErr w:type="spellEnd"/>
      <w:r w:rsidRPr="00E42101">
        <w:rPr>
          <w:szCs w:val="16"/>
          <w:lang w:val="es-CR"/>
        </w:rPr>
        <w:t xml:space="preserve"> </w:t>
      </w:r>
      <w:proofErr w:type="spellStart"/>
      <w:r w:rsidRPr="00E42101">
        <w:rPr>
          <w:szCs w:val="16"/>
          <w:lang w:val="es-CR"/>
        </w:rPr>
        <w:t>guidelines</w:t>
      </w:r>
      <w:proofErr w:type="spellEnd"/>
      <w:r w:rsidRPr="00E42101">
        <w:rPr>
          <w:szCs w:val="16"/>
          <w:lang w:val="es-CR"/>
        </w:rPr>
        <w:t xml:space="preserve"> </w:t>
      </w:r>
      <w:proofErr w:type="spellStart"/>
      <w:r w:rsidRPr="00E42101">
        <w:rPr>
          <w:szCs w:val="16"/>
          <w:lang w:val="es-CR"/>
        </w:rPr>
        <w:t>on</w:t>
      </w:r>
      <w:proofErr w:type="spellEnd"/>
      <w:r w:rsidRPr="00E42101">
        <w:rPr>
          <w:szCs w:val="16"/>
          <w:lang w:val="es-CR"/>
        </w:rPr>
        <w:t xml:space="preserve"> </w:t>
      </w:r>
      <w:proofErr w:type="spellStart"/>
      <w:r w:rsidRPr="00E42101">
        <w:rPr>
          <w:szCs w:val="16"/>
          <w:lang w:val="es-CR"/>
        </w:rPr>
        <w:t>the</w:t>
      </w:r>
      <w:proofErr w:type="spellEnd"/>
      <w:r w:rsidRPr="00E42101">
        <w:rPr>
          <w:szCs w:val="16"/>
          <w:lang w:val="es-CR"/>
        </w:rPr>
        <w:t xml:space="preserve"> use </w:t>
      </w:r>
      <w:proofErr w:type="spellStart"/>
      <w:r w:rsidRPr="00E42101">
        <w:rPr>
          <w:szCs w:val="16"/>
          <w:lang w:val="es-CR"/>
        </w:rPr>
        <w:t>of</w:t>
      </w:r>
      <w:proofErr w:type="spellEnd"/>
      <w:r w:rsidRPr="00E42101">
        <w:rPr>
          <w:szCs w:val="16"/>
          <w:lang w:val="es-CR"/>
        </w:rPr>
        <w:t xml:space="preserve"> </w:t>
      </w:r>
      <w:proofErr w:type="spellStart"/>
      <w:r w:rsidRPr="00E42101">
        <w:rPr>
          <w:szCs w:val="16"/>
          <w:lang w:val="es-CR"/>
        </w:rPr>
        <w:t>antiretroviral</w:t>
      </w:r>
      <w:proofErr w:type="spellEnd"/>
      <w:r w:rsidRPr="00E42101">
        <w:rPr>
          <w:szCs w:val="16"/>
          <w:lang w:val="es-CR"/>
        </w:rPr>
        <w:t xml:space="preserve"> </w:t>
      </w:r>
      <w:proofErr w:type="spellStart"/>
      <w:r w:rsidRPr="00E42101">
        <w:rPr>
          <w:szCs w:val="16"/>
          <w:lang w:val="es-CR"/>
        </w:rPr>
        <w:t>drugs</w:t>
      </w:r>
      <w:proofErr w:type="spellEnd"/>
      <w:r w:rsidRPr="00E42101">
        <w:rPr>
          <w:szCs w:val="16"/>
          <w:lang w:val="es-CR"/>
        </w:rPr>
        <w:t xml:space="preserve"> </w:t>
      </w:r>
      <w:proofErr w:type="spellStart"/>
      <w:r w:rsidRPr="00E42101">
        <w:rPr>
          <w:szCs w:val="16"/>
          <w:lang w:val="es-CR"/>
        </w:rPr>
        <w:t>for</w:t>
      </w:r>
      <w:proofErr w:type="spellEnd"/>
      <w:r w:rsidRPr="00E42101">
        <w:rPr>
          <w:szCs w:val="16"/>
          <w:lang w:val="es-CR"/>
        </w:rPr>
        <w:t xml:space="preserve"> </w:t>
      </w:r>
      <w:proofErr w:type="spellStart"/>
      <w:r w:rsidRPr="00E42101">
        <w:rPr>
          <w:szCs w:val="16"/>
          <w:lang w:val="es-CR"/>
        </w:rPr>
        <w:t>treating</w:t>
      </w:r>
      <w:proofErr w:type="spellEnd"/>
      <w:r w:rsidRPr="00E42101">
        <w:rPr>
          <w:szCs w:val="16"/>
          <w:lang w:val="es-CR"/>
        </w:rPr>
        <w:t xml:space="preserve"> and </w:t>
      </w:r>
      <w:proofErr w:type="spellStart"/>
      <w:r w:rsidRPr="00E42101">
        <w:rPr>
          <w:szCs w:val="16"/>
          <w:lang w:val="es-CR"/>
        </w:rPr>
        <w:t>preventing</w:t>
      </w:r>
      <w:proofErr w:type="spellEnd"/>
      <w:r w:rsidRPr="00E42101">
        <w:rPr>
          <w:szCs w:val="16"/>
          <w:lang w:val="es-CR"/>
        </w:rPr>
        <w:t xml:space="preserve"> HIV </w:t>
      </w:r>
      <w:proofErr w:type="spellStart"/>
      <w:r w:rsidRPr="00E42101">
        <w:rPr>
          <w:szCs w:val="16"/>
          <w:lang w:val="es-CR"/>
        </w:rPr>
        <w:t>infection</w:t>
      </w:r>
      <w:proofErr w:type="spellEnd"/>
      <w:r w:rsidRPr="00E42101">
        <w:rPr>
          <w:szCs w:val="16"/>
          <w:lang w:val="es-CR"/>
        </w:rPr>
        <w:t xml:space="preserve">. </w:t>
      </w:r>
      <w:proofErr w:type="spellStart"/>
      <w:r w:rsidRPr="00E42101">
        <w:rPr>
          <w:szCs w:val="16"/>
          <w:lang w:val="es-CR"/>
        </w:rPr>
        <w:t>Recommendations</w:t>
      </w:r>
      <w:proofErr w:type="spellEnd"/>
      <w:r w:rsidRPr="00E42101">
        <w:rPr>
          <w:szCs w:val="16"/>
          <w:lang w:val="es-CR"/>
        </w:rPr>
        <w:t xml:space="preserve"> </w:t>
      </w:r>
      <w:proofErr w:type="spellStart"/>
      <w:r w:rsidRPr="00E42101">
        <w:rPr>
          <w:szCs w:val="16"/>
          <w:lang w:val="es-CR"/>
        </w:rPr>
        <w:t>for</w:t>
      </w:r>
      <w:proofErr w:type="spellEnd"/>
      <w:r w:rsidRPr="00E42101">
        <w:rPr>
          <w:szCs w:val="16"/>
          <w:lang w:val="es-CR"/>
        </w:rPr>
        <w:t xml:space="preserve"> a </w:t>
      </w:r>
      <w:proofErr w:type="spellStart"/>
      <w:r w:rsidRPr="00E42101">
        <w:rPr>
          <w:szCs w:val="16"/>
          <w:lang w:val="es-CR"/>
        </w:rPr>
        <w:t>public</w:t>
      </w:r>
      <w:proofErr w:type="spellEnd"/>
      <w:r w:rsidRPr="00E42101">
        <w:rPr>
          <w:szCs w:val="16"/>
          <w:lang w:val="es-CR"/>
        </w:rPr>
        <w:t xml:space="preserve"> </w:t>
      </w:r>
      <w:proofErr w:type="spellStart"/>
      <w:r w:rsidRPr="00E42101">
        <w:rPr>
          <w:szCs w:val="16"/>
          <w:lang w:val="es-CR"/>
        </w:rPr>
        <w:t>health</w:t>
      </w:r>
      <w:proofErr w:type="spellEnd"/>
      <w:r w:rsidRPr="00E42101">
        <w:rPr>
          <w:szCs w:val="16"/>
          <w:lang w:val="es-CR"/>
        </w:rPr>
        <w:t xml:space="preserve"> </w:t>
      </w:r>
      <w:proofErr w:type="spellStart"/>
      <w:r w:rsidRPr="00E42101">
        <w:rPr>
          <w:szCs w:val="16"/>
          <w:lang w:val="es-CR"/>
        </w:rPr>
        <w:t>approach</w:t>
      </w:r>
      <w:proofErr w:type="spellEnd"/>
      <w:r w:rsidRPr="00E42101">
        <w:rPr>
          <w:szCs w:val="16"/>
          <w:lang w:val="es-CR"/>
        </w:rPr>
        <w:t xml:space="preserve"> (expediente de prueba, folios 14346 y 14461), y peritaje rendido por Ricardo Boza Cordero en la audiencia pública celebrada ante esta Corte e informe escrito sobre dicho peritaje (expediente de fondo, folios 1458 y 1467).</w:t>
      </w:r>
    </w:p>
  </w:footnote>
  <w:footnote w:id="26">
    <w:p w14:paraId="19B83FC5" w14:textId="2C7DA3E1"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La Organización Mundial de la Salud ha mencionado como poblaciones claves a las siguientes: trabajadores y trabajadoras sexuales, hombres que tienen relaciones sexuales con otros hombres, personas transgénero y personas que se inyectan drogas</w:t>
      </w:r>
      <w:r w:rsidRPr="001B74EE">
        <w:rPr>
          <w:szCs w:val="16"/>
          <w:lang w:val="es-CR"/>
        </w:rPr>
        <w:t xml:space="preserve">. </w:t>
      </w:r>
      <w:proofErr w:type="spellStart"/>
      <w:r w:rsidRPr="001B74EE">
        <w:rPr>
          <w:i/>
          <w:szCs w:val="16"/>
          <w:lang w:val="en-US"/>
        </w:rPr>
        <w:t>Cfr</w:t>
      </w:r>
      <w:proofErr w:type="spellEnd"/>
      <w:r w:rsidRPr="001B74EE">
        <w:rPr>
          <w:i/>
          <w:szCs w:val="16"/>
          <w:lang w:val="en-US"/>
        </w:rPr>
        <w:t>.</w:t>
      </w:r>
      <w:r w:rsidRPr="001B74EE">
        <w:rPr>
          <w:szCs w:val="16"/>
          <w:lang w:val="en-US"/>
        </w:rPr>
        <w:t xml:space="preserve"> World Health Organization, Guidance on couples HIV testing and counselling including antiretroviral therapy for treatment and prevention in </w:t>
      </w:r>
      <w:proofErr w:type="spellStart"/>
      <w:r w:rsidRPr="001B74EE">
        <w:rPr>
          <w:szCs w:val="16"/>
          <w:lang w:val="en-US"/>
        </w:rPr>
        <w:t>serodiscordant</w:t>
      </w:r>
      <w:proofErr w:type="spellEnd"/>
      <w:r w:rsidRPr="001B74EE">
        <w:rPr>
          <w:szCs w:val="16"/>
          <w:lang w:val="en-US"/>
        </w:rPr>
        <w:t xml:space="preserve"> couples, 2012, </w:t>
      </w:r>
      <w:proofErr w:type="spellStart"/>
      <w:r w:rsidRPr="001B74EE">
        <w:rPr>
          <w:szCs w:val="16"/>
          <w:lang w:val="en-US"/>
        </w:rPr>
        <w:t>págs</w:t>
      </w:r>
      <w:proofErr w:type="spellEnd"/>
      <w:r w:rsidRPr="001B74EE">
        <w:rPr>
          <w:szCs w:val="16"/>
          <w:lang w:val="en-US"/>
        </w:rPr>
        <w:t xml:space="preserve">. </w:t>
      </w:r>
      <w:r w:rsidRPr="001B74EE">
        <w:rPr>
          <w:szCs w:val="16"/>
          <w:lang w:val="es-CR"/>
        </w:rPr>
        <w:t>5 y 31.</w:t>
      </w:r>
    </w:p>
  </w:footnote>
  <w:footnote w:id="27">
    <w:p w14:paraId="0FA94186" w14:textId="19B56EB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Programa Conjunto de las Naciones Unidas sobre el VIH/SIDA (ONUSIDA), Hoja informativa – Últimas </w:t>
      </w:r>
      <w:proofErr w:type="spellStart"/>
      <w:r w:rsidRPr="00E42101">
        <w:rPr>
          <w:szCs w:val="16"/>
          <w:lang w:val="es-CR"/>
        </w:rPr>
        <w:t>estádisticas</w:t>
      </w:r>
      <w:proofErr w:type="spellEnd"/>
      <w:r w:rsidRPr="00E42101">
        <w:rPr>
          <w:szCs w:val="16"/>
          <w:lang w:val="es-CR"/>
        </w:rPr>
        <w:t xml:space="preserve"> sobre el estado de la epidemia de SIDA. Estadísticas mundiales sobre el VIH de 2017. Disponible en: </w:t>
      </w:r>
      <w:hyperlink r:id="rId3" w:history="1">
        <w:r w:rsidRPr="002D64B2">
          <w:rPr>
            <w:rStyle w:val="Hipervnculo"/>
            <w:color w:val="auto"/>
            <w:szCs w:val="16"/>
            <w:u w:val="none"/>
            <w:lang w:val="es-CR"/>
          </w:rPr>
          <w:t>http://www.unaids.org/es/resources/fact-sheet</w:t>
        </w:r>
      </w:hyperlink>
      <w:r w:rsidRPr="002D64B2">
        <w:rPr>
          <w:szCs w:val="16"/>
          <w:lang w:val="es-CR"/>
        </w:rPr>
        <w:t xml:space="preserve">; </w:t>
      </w:r>
      <w:r w:rsidRPr="00E42101">
        <w:rPr>
          <w:szCs w:val="16"/>
          <w:lang w:val="es-CR"/>
        </w:rPr>
        <w:t xml:space="preserve">Organización Panamericana de la Salud, </w:t>
      </w:r>
      <w:proofErr w:type="spellStart"/>
      <w:r w:rsidRPr="00E42101">
        <w:rPr>
          <w:szCs w:val="16"/>
          <w:lang w:val="es-CR"/>
        </w:rPr>
        <w:t>Infome</w:t>
      </w:r>
      <w:proofErr w:type="spellEnd"/>
      <w:r w:rsidRPr="00E42101">
        <w:rPr>
          <w:szCs w:val="16"/>
          <w:lang w:val="es-CR"/>
        </w:rPr>
        <w:t xml:space="preserve"> de Labores 2012-2013 (expediente de prueba, folio 9581); Programa Conjunto de las Naciones Unidas sobre el VIH/SIDA (ONUSIDA), Orientaciones terminológicas del ONUSIDA (expediente de prueba, folio 8460), y Programa Conjunto de las Naciones Unidas sobre el VIH/SIDA (ONUSIDA), Guatemala. Disponible en: </w:t>
      </w:r>
      <w:r w:rsidRPr="00E42101">
        <w:rPr>
          <w:rFonts w:eastAsia="Calibri"/>
          <w:szCs w:val="16"/>
          <w:lang w:val="es-CR"/>
        </w:rPr>
        <w:t>http://www.unaids.org/es/regionscountries/countries/guatemala</w:t>
      </w:r>
      <w:r w:rsidRPr="00E42101">
        <w:rPr>
          <w:szCs w:val="16"/>
          <w:lang w:val="es-CR"/>
        </w:rPr>
        <w:t>.</w:t>
      </w:r>
    </w:p>
  </w:footnote>
  <w:footnote w:id="28">
    <w:p w14:paraId="0C96D656" w14:textId="5FB34A3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Constitución Política de la República de Guatemala de 1985 (expediente de prueba, folio 9738).</w:t>
      </w:r>
    </w:p>
  </w:footnote>
  <w:footnote w:id="29">
    <w:p w14:paraId="1E92B662" w14:textId="43319A29" w:rsidR="00604517" w:rsidRPr="00E42101" w:rsidRDefault="00604517" w:rsidP="00E47BD5">
      <w:pPr>
        <w:pStyle w:val="Textonotapie"/>
        <w:spacing w:before="0"/>
        <w:rPr>
          <w:bCs/>
          <w:iCs/>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bCs/>
          <w:iCs/>
          <w:szCs w:val="16"/>
          <w:lang w:val="es-CR"/>
        </w:rPr>
        <w:t>Decreto 90-97 de 2 de octubre de 1997, Código de Salud de Guatemala, artículos 1, 2, 4, 21</w:t>
      </w:r>
      <w:r>
        <w:rPr>
          <w:bCs/>
          <w:iCs/>
          <w:szCs w:val="16"/>
          <w:lang w:val="es-CR"/>
        </w:rPr>
        <w:t>,</w:t>
      </w:r>
      <w:r w:rsidRPr="00E42101">
        <w:rPr>
          <w:bCs/>
          <w:iCs/>
          <w:szCs w:val="16"/>
          <w:lang w:val="es-CR"/>
        </w:rPr>
        <w:t xml:space="preserve"> 55 y 62 </w:t>
      </w:r>
      <w:r w:rsidRPr="00FF7D0E">
        <w:rPr>
          <w:bCs/>
          <w:iCs/>
          <w:szCs w:val="16"/>
          <w:lang w:val="es-CR"/>
        </w:rPr>
        <w:t>(expediente de prueba, folios 9850, 9851, 9856, 9864 y 9865).</w:t>
      </w:r>
    </w:p>
  </w:footnote>
  <w:footnote w:id="30">
    <w:p w14:paraId="56CC7D0E" w14:textId="3F1C53E0" w:rsidR="00604517" w:rsidRPr="00E42101" w:rsidRDefault="00604517" w:rsidP="00E47BD5">
      <w:pPr>
        <w:pStyle w:val="Textonotapie"/>
        <w:spacing w:before="0"/>
        <w:rPr>
          <w:bCs/>
          <w:iCs/>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bCs/>
          <w:iCs/>
          <w:szCs w:val="16"/>
          <w:lang w:val="es-CR"/>
        </w:rPr>
        <w:t>Decreto 27-2000 de 2 de junio de 2000, Ley General Para el Combate del Virus de Inmunodeficiencia Humana “VIH” y del Síndrome de Inmunodeficiencia Adquirida “SIDA” y de la promoción, protección y defensa de los Derechos Humanos, ante el VIH/SIDA (expediente de prueba, folios 9914-9928).</w:t>
      </w:r>
    </w:p>
  </w:footnote>
  <w:footnote w:id="31">
    <w:p w14:paraId="4AD63235" w14:textId="754EC0B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bCs/>
          <w:iCs/>
          <w:szCs w:val="16"/>
          <w:lang w:val="es-CR"/>
        </w:rPr>
        <w:t>Acuerdo Gubernativo No. 317-2002 de 6 de septiembre de 2002,</w:t>
      </w:r>
      <w:r w:rsidRPr="00E42101">
        <w:rPr>
          <w:szCs w:val="16"/>
          <w:lang w:val="es-CR"/>
        </w:rPr>
        <w:t xml:space="preserve"> Reglamento de la Ley General para el Combate del Virus de Inmunodeficiencia Adquirida -VIH- y del Síndrome de Inmunodeficiencia Adquirida -SIDA- y de la Promoción, Protección y Defensa de los Derechos Humanos ante el VIH/SIDA, artículo 31 (expediente de prueba, folio 9938).</w:t>
      </w:r>
    </w:p>
  </w:footnote>
  <w:footnote w:id="32">
    <w:p w14:paraId="3CA0824B" w14:textId="4DB47D8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bCs/>
          <w:iCs/>
          <w:szCs w:val="16"/>
          <w:lang w:val="es-CR"/>
        </w:rPr>
        <w:t>Acuerdo Gubernativo No. 317-2002 de 6 de septiembre de 2002,</w:t>
      </w:r>
      <w:r w:rsidRPr="00E42101">
        <w:rPr>
          <w:szCs w:val="16"/>
          <w:lang w:val="es-CR"/>
        </w:rPr>
        <w:t xml:space="preserve"> Reglamento de la Ley General para el Combate del Virus de Inmunodeficiencia Adquirida -VIH- y del Síndrome de Inmunodeficiencia Adquirida -SIDA- y de la Promoción, Protección y Defensa de los Derechos Humanos ante el VIH/SIDA, artículos 2, 31, 32 y 35 (expediente de prueba, folios 9931, 9938 y 9939).</w:t>
      </w:r>
    </w:p>
  </w:footnote>
  <w:footnote w:id="33">
    <w:p w14:paraId="708AC1FC" w14:textId="251819A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Oficio M12-OEA-F.9.2.1 No. 1330-2012 de 26 de noviembre del 2012, suscrito por el embajador representante permanente ante la Organización de los Estados Americanos, Rodrigo </w:t>
      </w:r>
      <w:proofErr w:type="spellStart"/>
      <w:r w:rsidRPr="00E42101">
        <w:rPr>
          <w:szCs w:val="16"/>
          <w:lang w:val="es-CR"/>
        </w:rPr>
        <w:t>Vielmann</w:t>
      </w:r>
      <w:proofErr w:type="spellEnd"/>
      <w:r w:rsidRPr="00E42101">
        <w:rPr>
          <w:szCs w:val="16"/>
          <w:lang w:val="es-CR"/>
        </w:rPr>
        <w:t>, dirigido al Secretario Ejecutivo de la Comisión Interamericana de Derechos Humanos, Emilio Álvarez Icaza (expediente de fondo, folio 210).</w:t>
      </w:r>
    </w:p>
  </w:footnote>
  <w:footnote w:id="34">
    <w:p w14:paraId="557ABC84" w14:textId="4827033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Programa Nacional de Prevención y Control de Infecciones de Transmisión Sexual –ITS-, Virus de Inmunodeficiencia Humana –VIH- y Síndrome de Inmunodeficiencia Adquirida –SIDA- (expediente de prueba, folio 8750); </w:t>
      </w:r>
      <w:r w:rsidRPr="00E42101">
        <w:rPr>
          <w:bCs/>
          <w:iCs/>
          <w:szCs w:val="16"/>
          <w:lang w:val="es-CR"/>
        </w:rPr>
        <w:t>Decreto 27-2000 de 2 de junio de 2000, Ley General Para el Combate del Virus de Inmunodeficiencia Humana “VIH” y del Síndrome de Inmunodeficiencia Adquirida “SIDA” y de la promoción, protección y defensa de los Derechos Humanos, ante el VIH/SIDA</w:t>
      </w:r>
      <w:r w:rsidRPr="00E42101">
        <w:rPr>
          <w:szCs w:val="16"/>
          <w:lang w:val="es-CR"/>
        </w:rPr>
        <w:t xml:space="preserve">, </w:t>
      </w:r>
      <w:r w:rsidRPr="00E42101">
        <w:rPr>
          <w:bCs/>
          <w:iCs/>
          <w:szCs w:val="16"/>
          <w:lang w:val="es-CR"/>
        </w:rPr>
        <w:t>artículo 4 (ex</w:t>
      </w:r>
      <w:r>
        <w:rPr>
          <w:bCs/>
          <w:iCs/>
          <w:szCs w:val="16"/>
          <w:lang w:val="es-CR"/>
        </w:rPr>
        <w:t>pediente de prueba, folio 9915), y</w:t>
      </w:r>
      <w:r w:rsidRPr="00E42101">
        <w:rPr>
          <w:bCs/>
          <w:iCs/>
          <w:szCs w:val="16"/>
          <w:lang w:val="es-CR"/>
        </w:rPr>
        <w:t xml:space="preserve"> </w:t>
      </w:r>
      <w:r w:rsidRPr="00E42101">
        <w:rPr>
          <w:szCs w:val="16"/>
          <w:lang w:val="es-CR"/>
        </w:rPr>
        <w:t>la Política de Desarrollo Social y población estableció como meta la “reducción en un 20% de las infecciones de transmisión sexual y el VIH y sida, en el largo plazo” […] enfatizando que, “[era] importante fortalecer la atención integral del ITS, VIH y sida, e informar y educar a la población para su prevención” (expediente de prueba, folio 9132).</w:t>
      </w:r>
    </w:p>
  </w:footnote>
  <w:footnote w:id="35">
    <w:p w14:paraId="7ACBBBCF" w14:textId="676D37F1"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Acuerdo Gubernativo No. 638-2005 de 30 de noviembre de 2005, mediante el cual se aprobó la Política Pública respecto de la Prevención a las Infecciones de Transmisión Sexual –ITS- y a la Respuesta a la Epidemia del Síndrome de Inmunodeficiencia Adquirida –SIDA- (expediente de prueba, folio </w:t>
      </w:r>
      <w:r w:rsidRPr="00E42101">
        <w:rPr>
          <w:szCs w:val="16"/>
          <w:lang w:val="es-EC"/>
        </w:rPr>
        <w:t>9942-9944</w:t>
      </w:r>
      <w:r w:rsidRPr="00E42101">
        <w:rPr>
          <w:szCs w:val="16"/>
          <w:lang w:val="es-CR"/>
        </w:rPr>
        <w:t xml:space="preserve">); Política Pública respecto de la Prevención a las Infecciones de Transmisión Sexual –ITS- y a la Respuesta a la Epidemia del Síndrome de Inmunodeficiencia Adquirida –SIDA- (expediente de prueba, folios </w:t>
      </w:r>
      <w:r w:rsidRPr="00E42101">
        <w:rPr>
          <w:szCs w:val="16"/>
          <w:lang w:val="es-EC"/>
        </w:rPr>
        <w:t>10064-10094</w:t>
      </w:r>
      <w:r w:rsidRPr="00E42101">
        <w:rPr>
          <w:szCs w:val="16"/>
          <w:lang w:val="es-CR"/>
        </w:rPr>
        <w:t xml:space="preserve">); Guía de Tratamiento Antirretroviral y de Infecciones Oportunistas de Guatemala, 2005 (expediente de prueba, folio </w:t>
      </w:r>
      <w:r w:rsidRPr="00E42101">
        <w:rPr>
          <w:szCs w:val="16"/>
          <w:lang w:val="es-EC"/>
        </w:rPr>
        <w:t>9946-10049</w:t>
      </w:r>
      <w:r w:rsidRPr="00E42101">
        <w:rPr>
          <w:szCs w:val="16"/>
          <w:lang w:val="es-CR"/>
        </w:rPr>
        <w:t xml:space="preserve">); Manual de Orientación en ITS/VIH/SIDA, 2005 (expediente de prueba, folio </w:t>
      </w:r>
      <w:r w:rsidRPr="00E42101">
        <w:rPr>
          <w:szCs w:val="16"/>
          <w:lang w:val="es-EC"/>
        </w:rPr>
        <w:t>16171-16229</w:t>
      </w:r>
      <w:r w:rsidRPr="00E42101">
        <w:rPr>
          <w:szCs w:val="16"/>
          <w:lang w:val="es-CR"/>
        </w:rPr>
        <w:t xml:space="preserve">); Programa Nacional de Prevención y Control de Infecciones de Transmisión Sexual –ITS-, Virus de Inmunodeficiencia Humana –VIH- y Síndrome de Inmunodeficiencia Adquirida –SIDA- (expediente de prueba, folios </w:t>
      </w:r>
      <w:r w:rsidRPr="00E42101">
        <w:rPr>
          <w:szCs w:val="16"/>
          <w:lang w:val="es-EC"/>
        </w:rPr>
        <w:t xml:space="preserve"> 8739-8797</w:t>
      </w:r>
      <w:r w:rsidRPr="00E42101">
        <w:rPr>
          <w:szCs w:val="16"/>
          <w:lang w:val="es-CR"/>
        </w:rPr>
        <w:t xml:space="preserve">); Estrategia Nacional de Información, Educación y Comunicación para cambio de comportamiento –IEC/cc- para la prevención de ITS, VIH y SIDA en Guatemala, 2007 (expediente de prueba, folio </w:t>
      </w:r>
      <w:r w:rsidRPr="00E42101">
        <w:rPr>
          <w:szCs w:val="16"/>
          <w:lang w:val="es-EC"/>
        </w:rPr>
        <w:t>15134-15457</w:t>
      </w:r>
      <w:r w:rsidRPr="00E42101">
        <w:rPr>
          <w:szCs w:val="16"/>
          <w:lang w:val="es-CR"/>
        </w:rPr>
        <w:t xml:space="preserve">); Manual para abordaje integral de las infecciones de transmisión sexual con énfasis en el manejo sindrómico, 2007 (expediente de prueba, folio </w:t>
      </w:r>
      <w:r w:rsidRPr="00E42101">
        <w:rPr>
          <w:szCs w:val="16"/>
          <w:lang w:val="es-EC"/>
        </w:rPr>
        <w:t>16092-16169</w:t>
      </w:r>
      <w:r w:rsidRPr="00E42101">
        <w:rPr>
          <w:szCs w:val="16"/>
          <w:lang w:val="es-CR"/>
        </w:rPr>
        <w:t xml:space="preserve">), y Guía para la orientación sobre alimentación de bebés de mamás con VIH, 2008 (expediente de prueba, folio </w:t>
      </w:r>
      <w:r w:rsidRPr="00E42101">
        <w:rPr>
          <w:szCs w:val="16"/>
          <w:lang w:val="es-EC"/>
        </w:rPr>
        <w:t>15682-15749</w:t>
      </w:r>
      <w:r w:rsidRPr="00E42101">
        <w:rPr>
          <w:szCs w:val="16"/>
          <w:lang w:val="es-CR"/>
        </w:rPr>
        <w:t>).</w:t>
      </w:r>
    </w:p>
  </w:footnote>
  <w:footnote w:id="36">
    <w:p w14:paraId="7AC5BF98" w14:textId="32627565"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Plan Estratégico Nacional para la Prevención, Atención y Control de ITS, VIH y SIDA para el periodo 2011-2015 (expediente de prueba, folio </w:t>
      </w:r>
      <w:r w:rsidRPr="00E42101">
        <w:rPr>
          <w:szCs w:val="16"/>
          <w:lang w:val="es-EC"/>
        </w:rPr>
        <w:t>14982-15079</w:t>
      </w:r>
      <w:r w:rsidRPr="00E42101">
        <w:rPr>
          <w:szCs w:val="16"/>
          <w:lang w:val="es-CR"/>
        </w:rPr>
        <w:t xml:space="preserve">); Guía de atención nutricional en personas con VIH, 2011 (expediente de prueba, folios 13961-14072); Manual para la atención de la Salud Sexual y Reproductiva de mujeres que viven con VIH y VIH avanzado (SIDA), 2012 (expediente de prueba, folio 14120-14161); Guía para facilitadores/as con abordaje de género e interculturalidad, Compartiendo Saberes para la prevención del ITS, con énfasis en VIH, sífilis y hepatitis B, 2013 (expediente de prueba, folio 15776-15844); Plan Nacional para la Eliminación de la Transmisión Materno Infantil del VIH y Sífilis Congénita 2013-2016 (expediente de prueba, folios </w:t>
      </w:r>
      <w:r w:rsidRPr="00E42101">
        <w:rPr>
          <w:szCs w:val="16"/>
          <w:lang w:val="es-EC"/>
        </w:rPr>
        <w:t>14936-14974</w:t>
      </w:r>
      <w:r w:rsidRPr="00E42101">
        <w:rPr>
          <w:szCs w:val="16"/>
          <w:lang w:val="es-CR"/>
        </w:rPr>
        <w:t xml:space="preserve">), y Guía de Tratamiento Antirretroviral y de Infecciones Oportunistas en Guatemala, 2013 (expediente de prueba, folios </w:t>
      </w:r>
      <w:r w:rsidRPr="00E42101">
        <w:rPr>
          <w:szCs w:val="16"/>
          <w:lang w:val="es-EC"/>
        </w:rPr>
        <w:t>14074-14118</w:t>
      </w:r>
      <w:r w:rsidRPr="00E42101">
        <w:rPr>
          <w:szCs w:val="16"/>
          <w:lang w:val="es-CR"/>
        </w:rPr>
        <w:t>).</w:t>
      </w:r>
    </w:p>
  </w:footnote>
  <w:footnote w:id="37">
    <w:p w14:paraId="59AFE493" w14:textId="179628F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Plan Nacional de Salud, Dignidad y Prevención Positivas 2015-2019, 2014 (expediente de prueba, folios </w:t>
      </w:r>
      <w:r w:rsidRPr="00E42101">
        <w:rPr>
          <w:szCs w:val="16"/>
          <w:lang w:val="es-EC"/>
        </w:rPr>
        <w:t>15081-15132</w:t>
      </w:r>
      <w:r w:rsidRPr="00E42101">
        <w:rPr>
          <w:szCs w:val="16"/>
          <w:lang w:val="es-CR"/>
        </w:rPr>
        <w:t xml:space="preserve">), y Convenio de cooperación interinstitucional “prevenir con educación”, entre el Ministerio de Educación y el Ministerio de Salud Pública y Asistencia Social, de junio 2016 (expediente de prueba, folios </w:t>
      </w:r>
      <w:r w:rsidRPr="00E42101">
        <w:rPr>
          <w:szCs w:val="16"/>
          <w:lang w:val="es-EC"/>
        </w:rPr>
        <w:t>14173-14183</w:t>
      </w:r>
      <w:r w:rsidRPr="00E42101">
        <w:rPr>
          <w:szCs w:val="16"/>
          <w:lang w:val="es-CR"/>
        </w:rPr>
        <w:t xml:space="preserve">). </w:t>
      </w:r>
    </w:p>
  </w:footnote>
  <w:footnote w:id="38">
    <w:p w14:paraId="321D2998" w14:textId="210340D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Política Pública respecto de la Prevención a las Infecciones de Transmisión Sexual –ITS- y a la Respuesta a la Epidemia del Síndrome de Inmunodeficiencia Adquirida –SIDA- (expediente de prueba, folios 10069 y 10070).</w:t>
      </w:r>
    </w:p>
  </w:footnote>
  <w:footnote w:id="39">
    <w:p w14:paraId="35EE97B2" w14:textId="14DAC19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Programa Nacional de Prevención y Control de Infecciones de Transmisión Sexual –ITS-, Virus de Inmunodeficiencia Humana –VIH- y Síndrome de Inmunodeficiencia Adquirida –SIDA- (expediente de prueba, folios 8750, 8753 y 8757).</w:t>
      </w:r>
    </w:p>
  </w:footnote>
  <w:footnote w:id="40">
    <w:p w14:paraId="28CC894D" w14:textId="039329F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Programa Nacional de Prevención y Control de Infecciones de Transmisión Sexual –ITS-, Virus de Inmunodeficiencia Humana –VIH- y Síndrome de Inmunodeficiencia Adquirida –SIDA- (expediente de prueba, folio 8750); Dra. Laura León Noriega, Diagnóstico de Situación y Respuesta al VIH-SIDA. Análisis y Conclusiones, Guatemala, enero 2008 (expediente de prueba, folio 9050); Secretaría de Planificación de la Presidencia de la República de Guatemala, Informe de Avances 2013. Política de Desarrollo Social y Población (expediente de prueba, folios 9133 y 9189), e Informe Nacional sobre los Progresos Realizados en la Lucha Contra el VIH y SIDA, 2004 (expediente de prueba, folio 8827).</w:t>
      </w:r>
    </w:p>
  </w:footnote>
  <w:footnote w:id="41">
    <w:p w14:paraId="77D0AC21" w14:textId="63743BA2"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Ver cuadro anexo </w:t>
      </w:r>
      <w:r>
        <w:rPr>
          <w:szCs w:val="16"/>
          <w:lang w:val="es-CR"/>
        </w:rPr>
        <w:t>1</w:t>
      </w:r>
      <w:r w:rsidRPr="00E42101">
        <w:rPr>
          <w:szCs w:val="16"/>
          <w:lang w:val="es-CR"/>
        </w:rPr>
        <w:t xml:space="preserve"> a la presente Sentencia.</w:t>
      </w:r>
    </w:p>
  </w:footnote>
  <w:footnote w:id="42">
    <w:p w14:paraId="26E69C8A" w14:textId="29437AC3" w:rsidR="00604517" w:rsidRPr="005275E4" w:rsidRDefault="00604517" w:rsidP="005275E4">
      <w:pPr>
        <w:rPr>
          <w:sz w:val="16"/>
          <w:szCs w:val="16"/>
        </w:rPr>
      </w:pPr>
      <w:r w:rsidRPr="00E44260">
        <w:rPr>
          <w:rStyle w:val="Refdenotaalpie"/>
          <w:sz w:val="16"/>
          <w:szCs w:val="16"/>
        </w:rPr>
        <w:footnoteRef/>
      </w:r>
      <w:r w:rsidRPr="00E44260">
        <w:rPr>
          <w:sz w:val="16"/>
          <w:szCs w:val="16"/>
        </w:rPr>
        <w:t xml:space="preserve"> </w:t>
      </w:r>
      <w:r w:rsidRPr="00E44260">
        <w:rPr>
          <w:sz w:val="16"/>
          <w:szCs w:val="16"/>
          <w:lang w:val="es-CR"/>
        </w:rPr>
        <w:tab/>
      </w:r>
      <w:r w:rsidRPr="00E44260">
        <w:rPr>
          <w:i/>
          <w:sz w:val="16"/>
          <w:szCs w:val="16"/>
          <w:lang w:val="es-CR"/>
        </w:rPr>
        <w:t>Cfr.</w:t>
      </w:r>
      <w:r w:rsidRPr="00E44260">
        <w:rPr>
          <w:b/>
          <w:i/>
          <w:sz w:val="16"/>
          <w:szCs w:val="16"/>
          <w:lang w:val="es-CR"/>
        </w:rPr>
        <w:t xml:space="preserve"> </w:t>
      </w:r>
      <w:r w:rsidRPr="00E44260">
        <w:rPr>
          <w:rStyle w:val="Textoennegrita"/>
          <w:b w:val="0"/>
          <w:i/>
          <w:color w:val="000000"/>
          <w:sz w:val="16"/>
          <w:szCs w:val="16"/>
          <w:shd w:val="clear" w:color="auto" w:fill="FFFFFF"/>
        </w:rPr>
        <w:t>Caso Miembros de la Aldea Chichupac y comunidades vecinas del Municipio de Rabinal Vs. Guatemala. Excepciones Preliminares, Fondo, Reparaciones y Costas.</w:t>
      </w:r>
      <w:r w:rsidRPr="00E44260">
        <w:rPr>
          <w:rStyle w:val="Textoennegrita"/>
          <w:b w:val="0"/>
          <w:color w:val="000000"/>
          <w:sz w:val="16"/>
          <w:szCs w:val="16"/>
          <w:shd w:val="clear" w:color="auto" w:fill="FFFFFF"/>
        </w:rPr>
        <w:t xml:space="preserve"> Sentencia de 30 de noviembre de 2016. Serie C No. 328, párr. 75. </w:t>
      </w:r>
      <w:r w:rsidRPr="00E44260">
        <w:rPr>
          <w:sz w:val="16"/>
          <w:szCs w:val="16"/>
        </w:rPr>
        <w:t xml:space="preserve">La Corte calificó de buena fe la información remitida por la Comisión y las representantes respecto a las presuntas víctimas que ya han fallecido. El Tribunal también calificó el hecho de que el Estado no negó expresamente que dichas personas hubieran fallecido, ni aportó pruebas al respecto. En este sentido, el 8 de agosto de 2018, el Tribunal requirió al Estado, como prueba para mejor resolver, que remitiera la información y/o documentación relacionada con los certificados de defunción de </w:t>
      </w:r>
      <w:r w:rsidRPr="00E44260">
        <w:rPr>
          <w:rFonts w:cs="Arial"/>
          <w:sz w:val="16"/>
          <w:szCs w:val="16"/>
        </w:rPr>
        <w:t>1) Alberto Quiché Cuxeva, 2) Facundo Gómez Reyes, 3) Juana Aguilar, 4) Marvin Josué Lucas González, 5) Rita Mariana Dubón Orozco, 6) Roberto Gómez García, 7) José Rubén Delgado López, 8) Petrona López, y 9) Reina López Mujica. El Estado, mediante escrito de 21 de agosto de 2018, expresó que no tenía la posibilidad de remitir la prueba solicitada por el Tribunal. En consecuencia, la Corte tuvo por probado que dichas presuntas víctimas ya han fallecido.</w:t>
      </w:r>
    </w:p>
  </w:footnote>
  <w:footnote w:id="43">
    <w:p w14:paraId="1585541B" w14:textId="1F88264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Carta de la Asociación Coordinadora de Sectores de Lucha contra el SIDA de 23 de noviembre de 2001 (expediente de prueba, folio 8).</w:t>
      </w:r>
    </w:p>
  </w:footnote>
  <w:footnote w:id="44">
    <w:p w14:paraId="36F851BF" w14:textId="24EF08C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Comunicación del Procurador de los Derechos Humanos de 10 junio de 2002 (expediente de prueba, folios 10 y 11).</w:t>
      </w:r>
    </w:p>
  </w:footnote>
  <w:footnote w:id="45">
    <w:p w14:paraId="48F7FA83" w14:textId="1BDA510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Comunicación del Procurador de los Derechos Humanos de 10 de junio de 2002 (expediente de prueba, folios 10 y 11).</w:t>
      </w:r>
    </w:p>
  </w:footnote>
  <w:footnote w:id="46">
    <w:p w14:paraId="6C524C87" w14:textId="78F3F71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Petición inicial presentada por el Centro por la Justicia y el Derecho Internacional ante la Comisión Interamericana de Derechos Humanos el 25 de agosto de 2003 (expediente de prueba, folio 469).</w:t>
      </w:r>
    </w:p>
  </w:footnote>
  <w:footnote w:id="47">
    <w:p w14:paraId="2C4EC830" w14:textId="59746E8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 xml:space="preserve">La acción fue presentada, inter </w:t>
      </w:r>
      <w:proofErr w:type="spellStart"/>
      <w:r w:rsidRPr="00E42101">
        <w:rPr>
          <w:szCs w:val="16"/>
          <w:lang w:val="es-CR"/>
        </w:rPr>
        <w:t>alia</w:t>
      </w:r>
      <w:proofErr w:type="spellEnd"/>
      <w:r w:rsidRPr="00E42101">
        <w:rPr>
          <w:szCs w:val="16"/>
          <w:lang w:val="es-CR"/>
        </w:rPr>
        <w:t xml:space="preserve">, por las siguientes presuntas víctimas del caso: Luis Rolando </w:t>
      </w:r>
      <w:proofErr w:type="spellStart"/>
      <w:r w:rsidRPr="00E42101">
        <w:rPr>
          <w:szCs w:val="16"/>
          <w:lang w:val="es-CR"/>
        </w:rPr>
        <w:t>Cuscul</w:t>
      </w:r>
      <w:proofErr w:type="spellEnd"/>
      <w:r w:rsidRPr="00E42101">
        <w:rPr>
          <w:szCs w:val="16"/>
          <w:lang w:val="es-CR"/>
        </w:rPr>
        <w:t xml:space="preserve"> Pivaral, Luis Armando Linares</w:t>
      </w:r>
      <w:r>
        <w:rPr>
          <w:szCs w:val="16"/>
          <w:lang w:val="es-CR"/>
        </w:rPr>
        <w:t xml:space="preserve"> Ruano</w:t>
      </w:r>
      <w:r w:rsidRPr="00E42101">
        <w:rPr>
          <w:szCs w:val="16"/>
          <w:lang w:val="es-CR"/>
        </w:rPr>
        <w:t>, Facundo Gómez Reyes, Marta Alicia Maldonado Paz, Miguel Lucas</w:t>
      </w:r>
      <w:r>
        <w:rPr>
          <w:szCs w:val="16"/>
          <w:lang w:val="es-CR"/>
        </w:rPr>
        <w:t xml:space="preserve"> </w:t>
      </w:r>
      <w:proofErr w:type="spellStart"/>
      <w:r>
        <w:rPr>
          <w:szCs w:val="16"/>
          <w:lang w:val="es-CR"/>
        </w:rPr>
        <w:t>Vaí</w:t>
      </w:r>
      <w:r w:rsidRPr="00E42101">
        <w:rPr>
          <w:szCs w:val="16"/>
          <w:lang w:val="es-CR"/>
        </w:rPr>
        <w:t>l</w:t>
      </w:r>
      <w:proofErr w:type="spellEnd"/>
      <w:r w:rsidRPr="00E42101">
        <w:rPr>
          <w:szCs w:val="16"/>
          <w:lang w:val="es-CR"/>
        </w:rPr>
        <w:t>, Ingrid Barillas Martínez, Jorge Armando Tavare</w:t>
      </w:r>
      <w:r>
        <w:rPr>
          <w:szCs w:val="16"/>
          <w:lang w:val="es-CR"/>
        </w:rPr>
        <w:t xml:space="preserve">s Barreno, Melvin </w:t>
      </w:r>
      <w:proofErr w:type="spellStart"/>
      <w:r>
        <w:rPr>
          <w:szCs w:val="16"/>
          <w:lang w:val="es-CR"/>
        </w:rPr>
        <w:t>Yovani</w:t>
      </w:r>
      <w:proofErr w:type="spellEnd"/>
      <w:r>
        <w:rPr>
          <w:szCs w:val="16"/>
          <w:lang w:val="es-CR"/>
        </w:rPr>
        <w:t xml:space="preserve"> Ajtu</w:t>
      </w:r>
      <w:r w:rsidRPr="00E42101">
        <w:rPr>
          <w:szCs w:val="16"/>
          <w:lang w:val="es-CR"/>
        </w:rPr>
        <w:t xml:space="preserve">n, </w:t>
      </w:r>
      <w:proofErr w:type="spellStart"/>
      <w:r w:rsidRPr="00E42101">
        <w:rPr>
          <w:szCs w:val="16"/>
          <w:lang w:val="es-CR"/>
        </w:rPr>
        <w:t>Mardo</w:t>
      </w:r>
      <w:proofErr w:type="spellEnd"/>
      <w:r w:rsidRPr="00E42101">
        <w:rPr>
          <w:szCs w:val="16"/>
          <w:lang w:val="es-CR"/>
        </w:rPr>
        <w:t xml:space="preserve"> Luis Hernández</w:t>
      </w:r>
      <w:r>
        <w:rPr>
          <w:szCs w:val="16"/>
          <w:lang w:val="es-CR"/>
        </w:rPr>
        <w:t xml:space="preserve"> y Hernández</w:t>
      </w:r>
      <w:r w:rsidRPr="00E42101">
        <w:rPr>
          <w:szCs w:val="16"/>
          <w:lang w:val="es-CR"/>
        </w:rPr>
        <w:t xml:space="preserve">, Alberto Quiché </w:t>
      </w:r>
      <w:proofErr w:type="spellStart"/>
      <w:r w:rsidRPr="00E42101">
        <w:rPr>
          <w:szCs w:val="16"/>
          <w:lang w:val="es-CR"/>
        </w:rPr>
        <w:t>Cuxeva</w:t>
      </w:r>
      <w:proofErr w:type="spellEnd"/>
      <w:r w:rsidRPr="00E42101">
        <w:rPr>
          <w:szCs w:val="16"/>
          <w:lang w:val="es-CR"/>
        </w:rPr>
        <w:t>, Teresa Magdalena Ramírez Castro, Rita Dubón Orozco y Dora Marina Martínez</w:t>
      </w:r>
      <w:r>
        <w:rPr>
          <w:szCs w:val="16"/>
          <w:lang w:val="es-CR"/>
        </w:rPr>
        <w:t xml:space="preserve"> </w:t>
      </w:r>
      <w:proofErr w:type="spellStart"/>
      <w:r>
        <w:rPr>
          <w:szCs w:val="16"/>
          <w:lang w:val="es-CR"/>
        </w:rPr>
        <w:t>Sofoifa</w:t>
      </w:r>
      <w:proofErr w:type="spellEnd"/>
      <w:r w:rsidRPr="00E42101">
        <w:rPr>
          <w:szCs w:val="16"/>
          <w:lang w:val="es-CR"/>
        </w:rPr>
        <w:t xml:space="preserve">. </w:t>
      </w:r>
      <w:r w:rsidRPr="00E42101">
        <w:rPr>
          <w:i/>
          <w:szCs w:val="16"/>
          <w:lang w:val="es-CR"/>
        </w:rPr>
        <w:t>Cfr.</w:t>
      </w:r>
      <w:r w:rsidRPr="00E42101">
        <w:rPr>
          <w:szCs w:val="16"/>
          <w:lang w:val="es-CR"/>
        </w:rPr>
        <w:t xml:space="preserve"> Acción de amparo presentada ante la Corte de Constitucionalidad el 26 de julio de 2002 (expediente de prueba, folio 13).</w:t>
      </w:r>
    </w:p>
  </w:footnote>
  <w:footnote w:id="48">
    <w:p w14:paraId="125CEC52" w14:textId="159A3DC9"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Acción de amparo presentada ante la Corte de Constitucionalidad el 26 de julio de 2002</w:t>
      </w:r>
      <w:r w:rsidRPr="00E42101">
        <w:rPr>
          <w:b/>
          <w:szCs w:val="16"/>
          <w:lang w:val="es-CR"/>
        </w:rPr>
        <w:t xml:space="preserve"> </w:t>
      </w:r>
      <w:r w:rsidRPr="00E42101">
        <w:rPr>
          <w:szCs w:val="16"/>
          <w:lang w:val="es-CR"/>
        </w:rPr>
        <w:t>(expediente de prueba, folio 29).</w:t>
      </w:r>
    </w:p>
  </w:footnote>
  <w:footnote w:id="49">
    <w:p w14:paraId="0E9B6198" w14:textId="73B4FB4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Acción de amparo presentada ante la Corte de Constitucionalidad el 26 de julio de 2002</w:t>
      </w:r>
      <w:r w:rsidRPr="00E42101">
        <w:rPr>
          <w:b/>
          <w:szCs w:val="16"/>
          <w:lang w:val="es-CR"/>
        </w:rPr>
        <w:t xml:space="preserve"> </w:t>
      </w:r>
      <w:r w:rsidRPr="00E42101">
        <w:rPr>
          <w:szCs w:val="16"/>
          <w:lang w:val="es-CR"/>
        </w:rPr>
        <w:t>(expediente de prueba, folios 20-24).</w:t>
      </w:r>
    </w:p>
  </w:footnote>
  <w:footnote w:id="50">
    <w:p w14:paraId="4C12F32F" w14:textId="05426A0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Acción de amparo presentada ante la Corte de Constitucionalidad el 26 de julio de 2002</w:t>
      </w:r>
      <w:r w:rsidRPr="00E42101">
        <w:rPr>
          <w:b/>
          <w:szCs w:val="16"/>
          <w:lang w:val="es-CR"/>
        </w:rPr>
        <w:t xml:space="preserve"> </w:t>
      </w:r>
      <w:r w:rsidRPr="00E42101">
        <w:rPr>
          <w:szCs w:val="16"/>
          <w:lang w:val="es-CR"/>
        </w:rPr>
        <w:t>(expediente de prueba, folios 39 y 41).</w:t>
      </w:r>
    </w:p>
  </w:footnote>
  <w:footnote w:id="51">
    <w:p w14:paraId="0E9C7CC4" w14:textId="45BD572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Escrito de Alfonso Portillo presentado ante la Corte de Constitucionalidad el 1 de agosto de 2002 (expediente de prueba, folios 44-47).</w:t>
      </w:r>
    </w:p>
  </w:footnote>
  <w:footnote w:id="52">
    <w:p w14:paraId="04A75A17" w14:textId="75C18D35"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La DGRVC informó lo siguiente: 1) se determinó que se atenderán 80 adultos y 80 niños; 2) se hicieron los términos de referencia para la compra de los medicamentos anti</w:t>
      </w:r>
      <w:r>
        <w:rPr>
          <w:szCs w:val="16"/>
          <w:lang w:val="es-CR"/>
        </w:rPr>
        <w:t>r</w:t>
      </w:r>
      <w:r w:rsidRPr="00E42101">
        <w:rPr>
          <w:szCs w:val="16"/>
          <w:lang w:val="es-CR"/>
        </w:rPr>
        <w:t xml:space="preserve">retrovirales los cuales tienen que sufrir un proceso de cotización; 3) se depositó los quinientos mil quetzales en el PNUD para agilizar y transparentar el proceso de compra; 4) se está haciendo la contratación de recursos humanos que tendrá la atención para esas personas. </w:t>
      </w:r>
      <w:r w:rsidRPr="00E42101">
        <w:rPr>
          <w:i/>
          <w:szCs w:val="16"/>
          <w:lang w:val="es-CR"/>
        </w:rPr>
        <w:t xml:space="preserve">Cfr. </w:t>
      </w:r>
      <w:r w:rsidRPr="00E42101">
        <w:rPr>
          <w:szCs w:val="16"/>
          <w:lang w:val="es-CR"/>
        </w:rPr>
        <w:t xml:space="preserve">Escrito de la Dirección General de Regulación, Vigilancia y Control de la Salud de 10 de octubre de 2002 (expediente de prueba, folio 57). </w:t>
      </w:r>
    </w:p>
  </w:footnote>
  <w:footnote w:id="53">
    <w:p w14:paraId="30DE525D" w14:textId="67DF4C79"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Escrito de expresión de alegatos de audiencia de los demandantes, de 29 de octubre de 2002 (expediente de prueba, folios 60 y 61).</w:t>
      </w:r>
    </w:p>
  </w:footnote>
  <w:footnote w:id="54">
    <w:p w14:paraId="59873AD4" w14:textId="77A3501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Escrito de expresión de alegatos de audiencia de los demandantes de 29 de octubre de 2002 (expediente de prueba, folios 61-66).</w:t>
      </w:r>
    </w:p>
  </w:footnote>
  <w:footnote w:id="55">
    <w:p w14:paraId="00DE32D9" w14:textId="5B84034F"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Resolución de la Corte de Constitucionalidad de 29 de enero de 2003 (expediente de prueba, folio 82).</w:t>
      </w:r>
    </w:p>
  </w:footnote>
  <w:footnote w:id="56">
    <w:p w14:paraId="45DCBE4B" w14:textId="41B793C4"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26 de la Convención establece: “</w:t>
      </w:r>
      <w:r w:rsidRPr="00E42101">
        <w:rPr>
          <w:rFonts w:cs="Tahoma"/>
          <w:bCs/>
          <w:color w:val="000000"/>
          <w:szCs w:val="16"/>
          <w:lang w:val="es-CR"/>
        </w:rPr>
        <w:t>Desarrollo Progresivo</w:t>
      </w:r>
      <w:r w:rsidRPr="00E42101">
        <w:rPr>
          <w:rFonts w:cs="Tahoma"/>
          <w:b/>
          <w:bCs/>
          <w:color w:val="000000"/>
          <w:szCs w:val="16"/>
          <w:lang w:val="es-CR"/>
        </w:rPr>
        <w:t>.</w:t>
      </w:r>
      <w:r w:rsidRPr="00E42101">
        <w:rPr>
          <w:rFonts w:cs="Tahoma"/>
          <w:color w:val="000000"/>
          <w:szCs w:val="16"/>
          <w:lang w:val="es-CR"/>
        </w:rPr>
        <w:t>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57">
    <w:p w14:paraId="7F8AF28C" w14:textId="3AAC8B70"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4 de la Convención establece: “</w:t>
      </w:r>
      <w:r w:rsidRPr="00E42101">
        <w:rPr>
          <w:rFonts w:cs="Tahoma"/>
          <w:bCs/>
          <w:color w:val="000000"/>
          <w:szCs w:val="16"/>
          <w:lang w:val="es-CR"/>
        </w:rPr>
        <w:t>Derecho a la Vida</w:t>
      </w:r>
      <w:r w:rsidRPr="00E42101">
        <w:rPr>
          <w:rFonts w:cs="Tahoma"/>
          <w:b/>
          <w:bCs/>
          <w:color w:val="000000"/>
          <w:szCs w:val="16"/>
          <w:lang w:val="es-CR"/>
        </w:rPr>
        <w:t xml:space="preserve">. </w:t>
      </w:r>
      <w:r w:rsidRPr="00E42101">
        <w:rPr>
          <w:rFonts w:cs="Tahoma"/>
          <w:color w:val="000000"/>
          <w:szCs w:val="16"/>
          <w:lang w:val="es-CR"/>
        </w:rPr>
        <w:t>1. Toda persona tiene derecho a que se respete su vida.  Este derecho estará protegido por la ley y, en general, a partir del momento de la concepción.  Nadie puede ser privado de la vida arbitrariamente.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3. No se restablecerá la pena de muerte en los Estados que la han abolido. 4. En ningún caso se puede aplicar la pena de muerte por delitos políticos ni comunes conexos con los políticos. 5. No se impondrá la pena de muerte a personas que, en el momento de la comisión del delito, tuvieren menos de dieciocho años de edad o más de setenta, ni se le aplicará a las mujeres en estado de gravidez.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w:t>
      </w:r>
    </w:p>
  </w:footnote>
  <w:footnote w:id="58">
    <w:p w14:paraId="7EA0288F" w14:textId="086E1B3C"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5 de la Convención establece: “</w:t>
      </w:r>
      <w:r w:rsidRPr="00E42101">
        <w:rPr>
          <w:rFonts w:cs="Tahoma"/>
          <w:bCs/>
          <w:color w:val="000000"/>
          <w:szCs w:val="16"/>
          <w:lang w:val="es-CR"/>
        </w:rPr>
        <w:t>Derecho a la Integridad Personal.</w:t>
      </w:r>
      <w:r w:rsidRPr="00E42101">
        <w:rPr>
          <w:rFonts w:cs="Tahoma"/>
          <w:b/>
          <w:bCs/>
          <w:color w:val="000000"/>
          <w:szCs w:val="16"/>
          <w:lang w:val="es-CR"/>
        </w:rPr>
        <w:t xml:space="preserve"> </w:t>
      </w:r>
      <w:r w:rsidRPr="00E42101">
        <w:rPr>
          <w:rFonts w:cs="Tahoma"/>
          <w:color w:val="000000"/>
          <w:szCs w:val="16"/>
          <w:lang w:val="es-CR"/>
        </w:rPr>
        <w:t>1. Toda persona tiene derecho a que se respete su integridad física, psíquica y moral. 2. Nadie debe ser sometido a torturas ni a penas o tratos crueles, inhumanos o degradantes.  Toda persona privada de libertad será tratada con el respeto debido a la dignidad inherente al ser humano. 3. La pena no puede trascender de la persona del delincuente. 4. Los procesados deben estar separados de los condenados, salvo en circunstancias  excepcionales, y serán sometidos a un tratamiento adecuado a su condición de personas no condenadas. 5. Cuando los menores puedan ser procesados, deben ser separados de los adultos y llevados ante tribunales especializados, con la mayor celeridad posible, para su tratamiento. 6. Las penas privativas de la libertad tendrán como finalidad esencial la reforma y la readaptación social de los condenados”.</w:t>
      </w:r>
    </w:p>
  </w:footnote>
  <w:footnote w:id="59">
    <w:p w14:paraId="0B069A51" w14:textId="6FDA1FB0" w:rsidR="00604517" w:rsidRPr="00E42101" w:rsidRDefault="00604517" w:rsidP="00E47BD5">
      <w:pPr>
        <w:pStyle w:val="Textonotapie"/>
        <w:rPr>
          <w:rFonts w:cs="Tahoma"/>
          <w:color w:val="000000"/>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1.1 de la Convención establece: "</w:t>
      </w:r>
      <w:r w:rsidRPr="00E42101">
        <w:rPr>
          <w:rFonts w:cs="Tahoma"/>
          <w:bCs/>
          <w:color w:val="000000"/>
          <w:szCs w:val="16"/>
          <w:lang w:val="es-CR"/>
        </w:rPr>
        <w:t>[l]</w:t>
      </w:r>
      <w:r w:rsidRPr="00E42101">
        <w:rPr>
          <w:rFonts w:cs="Tahoma"/>
          <w:color w:val="000000"/>
          <w:szCs w:val="16"/>
          <w:lang w:val="es-CR"/>
        </w:rPr>
        <w:t>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60">
    <w:p w14:paraId="40D612D3" w14:textId="7F509E7F"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62 de la Convención establece: “</w:t>
      </w:r>
      <w:r w:rsidRPr="00E42101">
        <w:rPr>
          <w:rFonts w:cs="Tahoma"/>
          <w:color w:val="000000"/>
          <w:szCs w:val="16"/>
          <w:lang w:val="es-CR"/>
        </w:rPr>
        <w:t>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 2. La declaración puede ser hecha incondicionalmente, o bajo condición de reciprocidad, por un plazo determinado o para casos específicos.  Deberá ser presentada al Secretario General de la Organización, quien transmitirá copias de la misma a los otros Estados miembros de la Organización y al Secretario de la Corte. 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footnote>
  <w:footnote w:id="61">
    <w:p w14:paraId="1F0D2374" w14:textId="009FFBFB"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63 de la Convención establece: “</w:t>
      </w:r>
      <w:r w:rsidRPr="00E42101">
        <w:rPr>
          <w:rFonts w:cs="Tahoma"/>
          <w:color w:val="000000"/>
          <w:szCs w:val="16"/>
          <w:lang w:val="es-CR"/>
        </w:rPr>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 2.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footnote>
  <w:footnote w:id="62">
    <w:p w14:paraId="443A58D6" w14:textId="0AF6ABF8" w:rsidR="00604517" w:rsidRPr="00E42101" w:rsidRDefault="00604517" w:rsidP="00E47BD5">
      <w:pPr>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i/>
          <w:sz w:val="16"/>
          <w:szCs w:val="16"/>
          <w:lang w:val="es-CR"/>
        </w:rPr>
        <w:t>Cfr. Caso Lagos del Campo Vs. Perú. Excepciones Preliminares, Fondo, Reparaciones y Costas.</w:t>
      </w:r>
      <w:r w:rsidRPr="00E42101">
        <w:rPr>
          <w:sz w:val="16"/>
          <w:szCs w:val="16"/>
          <w:lang w:val="es-CR"/>
        </w:rPr>
        <w:t xml:space="preserve"> Sentencia de 31 de agosto de 2017. Serie C No. 340, párrs. 141–150 y 154.</w:t>
      </w:r>
    </w:p>
  </w:footnote>
  <w:footnote w:id="63">
    <w:p w14:paraId="0D6EDFD7" w14:textId="43E9665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E42101">
        <w:rPr>
          <w:rStyle w:val="Textoennegrita"/>
          <w:b w:val="0"/>
          <w:color w:val="000000"/>
          <w:szCs w:val="16"/>
          <w:shd w:val="clear" w:color="auto" w:fill="FFFFFF"/>
          <w:lang w:val="es-CR"/>
        </w:rPr>
        <w:t xml:space="preserve">. Opinión Consultiva OC-23/17 de 15 de noviembre de 2017. Serie A No. 23, </w:t>
      </w:r>
      <w:r w:rsidRPr="00E42101">
        <w:rPr>
          <w:szCs w:val="16"/>
          <w:lang w:val="es-CR"/>
        </w:rPr>
        <w:t xml:space="preserve">párr. 57; </w:t>
      </w:r>
      <w:r w:rsidRPr="00E42101">
        <w:rPr>
          <w:i/>
          <w:szCs w:val="16"/>
          <w:lang w:val="es-CR"/>
        </w:rPr>
        <w:t>Caso Trabajadores Cesados de Petroperú y otros Vs. Perú. Excepciones Preliminares, Fondo, Reparaciones y Costas.</w:t>
      </w:r>
      <w:r w:rsidRPr="00E42101">
        <w:rPr>
          <w:szCs w:val="16"/>
          <w:lang w:val="es-CR"/>
        </w:rPr>
        <w:t xml:space="preserve"> Sentencia de 23 de noviembre de 2017. Serie C No. 344, párr. 192; </w:t>
      </w:r>
      <w:r w:rsidRPr="00E42101">
        <w:rPr>
          <w:i/>
          <w:szCs w:val="16"/>
          <w:lang w:val="es-CR"/>
        </w:rPr>
        <w:t>Caso San Miguel Sosa y otras Vs. Venezuela. Fondo, Reparaciones y Costas.</w:t>
      </w:r>
      <w:r w:rsidRPr="00E42101">
        <w:rPr>
          <w:szCs w:val="16"/>
          <w:lang w:val="es-CR"/>
        </w:rPr>
        <w:t xml:space="preserve"> Sentencia de 8 de febrero de 2018. Serie C No. 348, párr. 220, y </w:t>
      </w:r>
      <w:r w:rsidRPr="00E42101">
        <w:rPr>
          <w:i/>
          <w:szCs w:val="16"/>
          <w:lang w:val="es-CR"/>
        </w:rPr>
        <w:t>Caso Poblete Vilches y otros Vs. Chile. Fondo, Reparaciones y Costas.</w:t>
      </w:r>
      <w:r w:rsidRPr="00E42101">
        <w:rPr>
          <w:szCs w:val="16"/>
          <w:lang w:val="es-CR"/>
        </w:rPr>
        <w:t xml:space="preserve"> Sentencia de 8 de marzo de 2018. Serie C No. 349, párr. 100.</w:t>
      </w:r>
    </w:p>
  </w:footnote>
  <w:footnote w:id="64">
    <w:p w14:paraId="718DE344" w14:textId="125EABE1"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Albán Cornejo y otros Vs. Ecuador. Fondo Reparaciones y Costas.</w:t>
      </w:r>
      <w:r w:rsidRPr="00E42101">
        <w:rPr>
          <w:szCs w:val="16"/>
          <w:lang w:val="es-CR"/>
        </w:rPr>
        <w:t xml:space="preserve"> Sentencia de 22 de noviembre de 2007. Serie C No. 171, párr. 117; </w:t>
      </w:r>
      <w:r w:rsidRPr="00E42101">
        <w:rPr>
          <w:i/>
          <w:szCs w:val="16"/>
          <w:lang w:val="es-CR"/>
        </w:rPr>
        <w:t xml:space="preserve">Caso Vera </w:t>
      </w:r>
      <w:proofErr w:type="spellStart"/>
      <w:r w:rsidRPr="00E42101">
        <w:rPr>
          <w:i/>
          <w:szCs w:val="16"/>
          <w:lang w:val="es-CR"/>
        </w:rPr>
        <w:t>Vera</w:t>
      </w:r>
      <w:proofErr w:type="spellEnd"/>
      <w:r w:rsidRPr="00E42101">
        <w:rPr>
          <w:i/>
          <w:szCs w:val="16"/>
          <w:lang w:val="es-CR"/>
        </w:rPr>
        <w:t xml:space="preserve"> y otra Vs. Ecuador. Excepción Preliminar, Fondo, Reparaciones y Costas.</w:t>
      </w:r>
      <w:r w:rsidRPr="00E42101">
        <w:rPr>
          <w:szCs w:val="16"/>
          <w:lang w:val="es-CR"/>
        </w:rPr>
        <w:t xml:space="preserve"> Sentencia de 19 de mayo de 2011. Serie C No. 226, párr. 43; </w:t>
      </w:r>
      <w:r w:rsidRPr="00E42101">
        <w:rPr>
          <w:i/>
          <w:szCs w:val="16"/>
          <w:lang w:val="es-CR"/>
        </w:rPr>
        <w:t>Caso Suárez Peralta Vs. Ecuador. Excepciones Preliminares, Fondo, Reparaciones y Costas.</w:t>
      </w:r>
      <w:r w:rsidRPr="00E42101">
        <w:rPr>
          <w:szCs w:val="16"/>
          <w:lang w:val="es-CR"/>
        </w:rPr>
        <w:t xml:space="preserve"> Sentencia de 21 de mayo de 2013. Serie C No. 261, párr. 130, y </w:t>
      </w:r>
      <w:r w:rsidRPr="00E42101">
        <w:rPr>
          <w:i/>
          <w:szCs w:val="16"/>
          <w:lang w:val="es-CR"/>
        </w:rPr>
        <w:t xml:space="preserve">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171.</w:t>
      </w:r>
    </w:p>
  </w:footnote>
  <w:footnote w:id="65">
    <w:p w14:paraId="4B57E058" w14:textId="21CB73D5" w:rsidR="00604517" w:rsidRPr="00E42101" w:rsidRDefault="00604517" w:rsidP="00E47BD5">
      <w:pPr>
        <w:pStyle w:val="Textonotapie"/>
        <w:rPr>
          <w:b/>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Poblete Vilches y otros Vs. Chile. Fondo, Reparaciones y Costas</w:t>
      </w:r>
      <w:r w:rsidRPr="00E42101">
        <w:rPr>
          <w:rStyle w:val="Textoennegrita"/>
          <w:b w:val="0"/>
          <w:color w:val="000000"/>
          <w:szCs w:val="16"/>
          <w:shd w:val="clear" w:color="auto" w:fill="FFFFFF"/>
          <w:lang w:val="es-CR"/>
        </w:rPr>
        <w:t>. Sentencia de 8 de marzo de 2018. Serie C No. 349, párr. 103.</w:t>
      </w:r>
    </w:p>
  </w:footnote>
  <w:footnote w:id="66">
    <w:p w14:paraId="6B548F54" w14:textId="53787F0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w:t>
      </w:r>
      <w:r w:rsidRPr="00E42101">
        <w:rPr>
          <w:szCs w:val="16"/>
          <w:lang w:val="es-CR"/>
        </w:rPr>
        <w:t xml:space="preserve"> Opinión Consultiva OC-24/17 de 24 de noviembre de 2017</w:t>
      </w:r>
      <w:r w:rsidRPr="00E42101">
        <w:rPr>
          <w:i/>
          <w:szCs w:val="16"/>
          <w:lang w:val="es-CR"/>
        </w:rPr>
        <w:t>.</w:t>
      </w:r>
      <w:r w:rsidRPr="00E42101">
        <w:rPr>
          <w:szCs w:val="16"/>
          <w:lang w:val="es-CR"/>
        </w:rPr>
        <w:t xml:space="preserve"> Serie A No. 24, párr. 55; </w:t>
      </w:r>
      <w:r w:rsidRPr="00E42101">
        <w:rPr>
          <w:i/>
          <w:szCs w:val="16"/>
          <w:lang w:val="es-CR"/>
        </w:rPr>
        <w:t xml:space="preserve">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w:t>
      </w:r>
      <w:r w:rsidRPr="00E42101">
        <w:rPr>
          <w:szCs w:val="16"/>
          <w:lang w:val="es-CR"/>
        </w:rPr>
        <w:t xml:space="preserve">Opinión Consultiva OC-23/17 de 15 de noviembre de 2017. Serie A No. 23, párr. 40; </w:t>
      </w:r>
      <w:r w:rsidRPr="00E42101">
        <w:rPr>
          <w:i/>
          <w:szCs w:val="16"/>
          <w:lang w:val="es-CR"/>
        </w:rPr>
        <w:t xml:space="preserve">Caso Trabajadores de la Hacienda Brasil Verde Vs. Brasil. Excepciones Preliminares, Fondo, Reparaciones y Costas. </w:t>
      </w:r>
      <w:r w:rsidRPr="00E42101">
        <w:rPr>
          <w:szCs w:val="16"/>
          <w:lang w:val="es-CR"/>
        </w:rPr>
        <w:t>Sentencia de 20 de octubre de 2016. Serie C No. 318, párr. 246</w:t>
      </w:r>
      <w:r w:rsidRPr="00E42101">
        <w:rPr>
          <w:i/>
          <w:szCs w:val="16"/>
          <w:lang w:val="es-CR"/>
        </w:rPr>
        <w:t xml:space="preserve">; Caso Artavia Murillo y otros ("Fecundación in vitro") Vs. Costa Rica. Excepciones Preliminares, Fondo, Reparaciones y Costas. </w:t>
      </w:r>
      <w:r w:rsidRPr="00E42101">
        <w:rPr>
          <w:szCs w:val="16"/>
          <w:lang w:val="es-CR"/>
        </w:rPr>
        <w:t>Sentencia de 28 noviembre de 2012</w:t>
      </w:r>
      <w:r w:rsidRPr="00E42101">
        <w:rPr>
          <w:i/>
          <w:szCs w:val="16"/>
          <w:lang w:val="es-CR"/>
        </w:rPr>
        <w:t>.</w:t>
      </w:r>
      <w:r w:rsidRPr="00E42101">
        <w:rPr>
          <w:szCs w:val="16"/>
          <w:lang w:val="es-CR"/>
        </w:rPr>
        <w:t xml:space="preserve"> Serie C No. 257, párr. 173, y </w:t>
      </w:r>
      <w:r w:rsidRPr="00E42101">
        <w:rPr>
          <w:i/>
          <w:szCs w:val="16"/>
          <w:lang w:val="es-CR"/>
        </w:rPr>
        <w:t xml:space="preserve">Caso González y otras (“Campo Algodonero”) Vs. México. Excepción Preliminar, Fondo, Reparaciones y Costas. </w:t>
      </w:r>
      <w:r w:rsidRPr="00E42101">
        <w:rPr>
          <w:szCs w:val="16"/>
          <w:lang w:val="es-CR"/>
        </w:rPr>
        <w:t>Sentencia de 16 de noviembre de 2009</w:t>
      </w:r>
      <w:r w:rsidRPr="00E42101">
        <w:rPr>
          <w:i/>
          <w:szCs w:val="16"/>
          <w:lang w:val="es-CR"/>
        </w:rPr>
        <w:t>.</w:t>
      </w:r>
      <w:r w:rsidRPr="00E42101">
        <w:rPr>
          <w:szCs w:val="16"/>
          <w:lang w:val="es-CR"/>
        </w:rPr>
        <w:t xml:space="preserve"> Serie C No. 205, párr. 32.</w:t>
      </w:r>
    </w:p>
  </w:footnote>
  <w:footnote w:id="67">
    <w:p w14:paraId="0490AD16" w14:textId="69A4130F" w:rsidR="00604517" w:rsidRPr="00E42101" w:rsidRDefault="00604517" w:rsidP="00E47BD5">
      <w:pPr>
        <w:pStyle w:val="NormalWeb"/>
        <w:spacing w:before="0" w:beforeAutospacing="0" w:after="120" w:afterAutospacing="0"/>
        <w:ind w:left="74" w:right="74"/>
        <w:jc w:val="both"/>
        <w:rPr>
          <w:rFonts w:ascii="Verdana" w:hAnsi="Verdana" w:cs="Tahoma"/>
          <w:color w:val="000000"/>
          <w:sz w:val="16"/>
          <w:szCs w:val="16"/>
          <w:lang w:val="es-CR" w:eastAsia="es-CR"/>
        </w:rPr>
      </w:pPr>
      <w:r w:rsidRPr="00E42101">
        <w:rPr>
          <w:rStyle w:val="Refdenotaalpie"/>
          <w:rFonts w:ascii="Verdana" w:hAnsi="Verdana"/>
          <w:sz w:val="16"/>
          <w:szCs w:val="16"/>
        </w:rPr>
        <w:footnoteRef/>
      </w:r>
      <w:r w:rsidRPr="00E42101">
        <w:rPr>
          <w:rFonts w:ascii="Verdana" w:hAnsi="Verdana"/>
          <w:sz w:val="16"/>
          <w:szCs w:val="16"/>
          <w:lang w:val="es-CR"/>
        </w:rPr>
        <w:t xml:space="preserve"> </w:t>
      </w:r>
      <w:r w:rsidRPr="00E42101">
        <w:rPr>
          <w:rFonts w:ascii="Verdana" w:hAnsi="Verdana"/>
          <w:sz w:val="16"/>
          <w:szCs w:val="16"/>
          <w:lang w:val="es-CR"/>
        </w:rPr>
        <w:tab/>
        <w:t xml:space="preserve">El artículo 29 de la Convención establece: “Normas de interpretación: </w:t>
      </w:r>
      <w:r w:rsidRPr="00E42101">
        <w:rPr>
          <w:rFonts w:ascii="Verdana" w:hAnsi="Verdana" w:cs="Tahoma"/>
          <w:color w:val="000000"/>
          <w:sz w:val="16"/>
          <w:szCs w:val="16"/>
          <w:lang w:val="es-CR" w:eastAsia="es-CR"/>
        </w:rPr>
        <w:t> Ninguna disposición de la presente Convención puede ser interpretada en el sentido de:  a) permitir a alguno de los Estados Partes, grupo o persona, suprimir el goce y ejercicio de los derechos y libertades reconocidos en la Convención o limitarlos en mayor medida que la prevista en ella;  b) limitar el goce y ejercicio de cualquier derecho o libertad que pueda estar reconocido de acuerdo con las leyes de cualquiera de los Estados Partes o de acuerdo con otra convención en que sea parte uno de dichos Estados;  c) excluir otros derechos y garantías que son inherentes al ser humano o que se derivan de la forma democrática representativa de gobierno, y  d) excluir o limitar el efecto que puedan producir la Declaración Americana de Derechos y Deberes del Hombre y otros actos internacionales de la misma naturaleza.”</w:t>
      </w:r>
    </w:p>
  </w:footnote>
  <w:footnote w:id="68">
    <w:p w14:paraId="1F25DDD7" w14:textId="1B059EE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 xml:space="preserve">Convención de Viena sobre el Derecho de los Tratados, artículo 31.1. </w:t>
      </w:r>
    </w:p>
  </w:footnote>
  <w:footnote w:id="69">
    <w:p w14:paraId="0ABC4A64" w14:textId="26256A5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Restricciones a la pena de muerte (Arts. 4.2 y 4.4 Convención Americana sobre Derechos Humanos).</w:t>
      </w:r>
      <w:r w:rsidRPr="00E42101">
        <w:rPr>
          <w:szCs w:val="16"/>
          <w:lang w:val="es-CR"/>
        </w:rPr>
        <w:t xml:space="preserve"> Opinión Consultiva OC-3/83 de 8 de septiembre de 1983. Serie A No. 3, párr. 50.</w:t>
      </w:r>
    </w:p>
  </w:footnote>
  <w:footnote w:id="70">
    <w:p w14:paraId="747E842A" w14:textId="2C20FEC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Ivcher</w:t>
      </w:r>
      <w:proofErr w:type="spellEnd"/>
      <w:r w:rsidRPr="00E42101">
        <w:rPr>
          <w:i/>
          <w:szCs w:val="16"/>
          <w:lang w:val="es-CR"/>
        </w:rPr>
        <w:t xml:space="preserve"> </w:t>
      </w:r>
      <w:proofErr w:type="spellStart"/>
      <w:r w:rsidRPr="00E42101">
        <w:rPr>
          <w:i/>
          <w:szCs w:val="16"/>
          <w:lang w:val="es-CR"/>
        </w:rPr>
        <w:t>Bronstein</w:t>
      </w:r>
      <w:proofErr w:type="spellEnd"/>
      <w:r w:rsidRPr="00E42101">
        <w:rPr>
          <w:i/>
          <w:szCs w:val="16"/>
          <w:lang w:val="es-CR"/>
        </w:rPr>
        <w:t xml:space="preserve"> Vs. Perú. Competencia. Sentencia de 24 de septiembre de 1999.</w:t>
      </w:r>
      <w:r w:rsidRPr="00E42101">
        <w:rPr>
          <w:szCs w:val="16"/>
          <w:lang w:val="es-CR"/>
        </w:rPr>
        <w:t xml:space="preserve"> Serie C No. 54, párr. 42, y </w:t>
      </w:r>
      <w:r w:rsidRPr="00E42101">
        <w:rPr>
          <w:i/>
          <w:szCs w:val="16"/>
          <w:lang w:val="es-CR"/>
        </w:rPr>
        <w:t>Caso de la Masacre de Mapiripán Vs. Colombia. Fondo, Reparaciones y Costas.</w:t>
      </w:r>
      <w:r w:rsidRPr="00E42101">
        <w:rPr>
          <w:szCs w:val="16"/>
          <w:lang w:val="es-CR"/>
        </w:rPr>
        <w:t xml:space="preserve"> Sentencia de 15 de septiembre de 2005. Serie C No. 134, párr. 104.</w:t>
      </w:r>
    </w:p>
  </w:footnote>
  <w:footnote w:id="71">
    <w:p w14:paraId="34A1350C" w14:textId="66923BCF"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"La Última Tentación de Cristo" (Olmedo Bustos y otros) Vs. Chile. Fondo, Reparaciones y Costas</w:t>
      </w:r>
      <w:r w:rsidRPr="00E42101">
        <w:rPr>
          <w:szCs w:val="16"/>
          <w:lang w:val="es-CR"/>
        </w:rPr>
        <w:t xml:space="preserve">. Sentencia de 5 de febrero de 2001. Serie C No. 73, párr. 90, y </w:t>
      </w:r>
      <w:r w:rsidRPr="00E42101">
        <w:rPr>
          <w:i/>
          <w:szCs w:val="16"/>
          <w:lang w:val="es-CR"/>
        </w:rPr>
        <w:t>Caso Tarazona Arrieta y otros Vs. Perú. Excepción Preliminar, Fondo, Reparaciones y Costas</w:t>
      </w:r>
      <w:r w:rsidRPr="00E42101">
        <w:rPr>
          <w:szCs w:val="16"/>
          <w:lang w:val="es-CR"/>
        </w:rPr>
        <w:t>. Sentencia de 15 de octubre de 2014. Serie C No. 286, párr. 169.</w:t>
      </w:r>
    </w:p>
  </w:footnote>
  <w:footnote w:id="72">
    <w:p w14:paraId="277CD584" w14:textId="1A5CEA5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Pacto Internacional de Derechos Económicos, Sociales y Culturales, Artículo 2.1.</w:t>
      </w:r>
    </w:p>
  </w:footnote>
  <w:footnote w:id="73">
    <w:p w14:paraId="7B17FFB8" w14:textId="78D9239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Comité de Derechos Económicos, Sociales y Culturales, Observación General No. 3: La índole de las obligaciones de los Estados Partes (párrafo 1 del artículo 2 del Pacto), 14 de diciembre de 1990, U.N. Doc. E/1991/23, párr. 1.</w:t>
      </w:r>
    </w:p>
  </w:footnote>
  <w:footnote w:id="74">
    <w:p w14:paraId="62BA1CB8" w14:textId="4D4024C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Comité de Derechos Económicos, Sociales y Culturales, Observación General No. 3: La índole de las obligaciones de los Estados Partes (párrafo 1 del artículo 2 del Pacto), 14 de diciembre de 1990, U.N. Doc. E/1991/23, párr. 9.</w:t>
      </w:r>
    </w:p>
  </w:footnote>
  <w:footnote w:id="75">
    <w:p w14:paraId="18ECA7D2" w14:textId="03DC49B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102, y </w:t>
      </w:r>
      <w:r w:rsidRPr="00E42101">
        <w:rPr>
          <w:i/>
          <w:szCs w:val="16"/>
          <w:lang w:val="es-CR"/>
        </w:rPr>
        <w:t>Caso Poblete Vilches y otros Vs. Chile. Fondo, Reparaciones y Costas</w:t>
      </w:r>
      <w:r w:rsidRPr="00E42101">
        <w:rPr>
          <w:szCs w:val="16"/>
          <w:lang w:val="es-CR"/>
        </w:rPr>
        <w:t>. Sentencia de 8 de marzo de 2018. Serie C No. 349, párr. 104.</w:t>
      </w:r>
    </w:p>
  </w:footnote>
  <w:footnote w:id="76">
    <w:p w14:paraId="49EEE91F" w14:textId="2663E6B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102.</w:t>
      </w:r>
    </w:p>
  </w:footnote>
  <w:footnote w:id="77">
    <w:p w14:paraId="6D722F30" w14:textId="2E99C595"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González y otras (“Campo Algodonero”) Vs. México. Excepción Preliminar, Fondo, Reparaciones y Costas. Sentencia de 16 de noviembre de 2009</w:t>
      </w:r>
      <w:r w:rsidRPr="00E42101">
        <w:rPr>
          <w:szCs w:val="16"/>
          <w:lang w:val="es-CR"/>
        </w:rPr>
        <w:t xml:space="preserve">. Serie C No. 205, párr. 43; e </w:t>
      </w:r>
      <w:r w:rsidRPr="00E42101">
        <w:rPr>
          <w:i/>
          <w:szCs w:val="16"/>
          <w:lang w:val="es-CR"/>
        </w:rPr>
        <w:t xml:space="preserve">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w:t>
      </w:r>
      <w:r w:rsidRPr="00E42101">
        <w:rPr>
          <w:szCs w:val="16"/>
          <w:lang w:val="es-CR"/>
        </w:rPr>
        <w:t>Opinión Consultiva OC-24/17 de 24 de noviembre de 2017</w:t>
      </w:r>
      <w:r w:rsidRPr="00E42101">
        <w:rPr>
          <w:i/>
          <w:szCs w:val="16"/>
          <w:lang w:val="es-CR"/>
        </w:rPr>
        <w:t>.</w:t>
      </w:r>
      <w:r w:rsidRPr="00E42101">
        <w:rPr>
          <w:szCs w:val="16"/>
          <w:lang w:val="es-CR"/>
        </w:rPr>
        <w:t xml:space="preserve"> Serie A No. 24, párr. 59.</w:t>
      </w:r>
    </w:p>
  </w:footnote>
  <w:footnote w:id="78">
    <w:p w14:paraId="508937FA" w14:textId="75FD324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El Derecho a la Información sobre la Asistencia Consular en el marco de las Garantías del Debido Proceso Legal. Opinión Consultiva OC-16/99 de 1 de octubre de 1999</w:t>
      </w:r>
      <w:r w:rsidRPr="00E42101">
        <w:rPr>
          <w:szCs w:val="16"/>
          <w:lang w:val="es-CR"/>
        </w:rPr>
        <w:t xml:space="preserve">. Serie A No. 16, párr. 113, y </w:t>
      </w:r>
      <w:r w:rsidRPr="00E42101">
        <w:rPr>
          <w:i/>
          <w:szCs w:val="16"/>
          <w:lang w:val="es-CR"/>
        </w:rPr>
        <w:t xml:space="preserve">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w:t>
      </w:r>
      <w:r w:rsidRPr="00E42101">
        <w:rPr>
          <w:szCs w:val="16"/>
          <w:lang w:val="es-CR"/>
        </w:rPr>
        <w:t>Opinión Consultiva OC-22/16 de 26 de febrero de 2016. Serie A No. 22, párr. 44.</w:t>
      </w:r>
    </w:p>
  </w:footnote>
  <w:footnote w:id="79">
    <w:p w14:paraId="3B354F42" w14:textId="7B54E92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E42101">
        <w:rPr>
          <w:szCs w:val="16"/>
          <w:lang w:val="es-CR"/>
        </w:rPr>
        <w:t xml:space="preserve"> Opinión Consultiva OC-22/16 de 26 de febrero de 2016. Serie A No. 22, párr. 45.</w:t>
      </w:r>
    </w:p>
  </w:footnote>
  <w:footnote w:id="80">
    <w:p w14:paraId="072E5DDD" w14:textId="7CDE63A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Acevedo Buendía y otros (“Cesantes y Jubilados de la Contraloría”) Vs. Perú. Excepción Preliminar, Fondo, Reparaciones y Costas.</w:t>
      </w:r>
      <w:r w:rsidRPr="00E42101">
        <w:rPr>
          <w:szCs w:val="16"/>
          <w:lang w:val="es-CR"/>
        </w:rPr>
        <w:t xml:space="preserve"> Sentencia de 1 de julio de 2009. Serie C No 198, párr. 100, y </w:t>
      </w:r>
      <w:r w:rsidRPr="00E42101">
        <w:rPr>
          <w:i/>
          <w:szCs w:val="16"/>
          <w:lang w:val="es-CR"/>
        </w:rPr>
        <w:t xml:space="preserve">Caso Poblete Vilches y otros Vs. Chile. Fondo, Reparaciones y Costas. </w:t>
      </w:r>
      <w:r w:rsidRPr="00E42101">
        <w:rPr>
          <w:szCs w:val="16"/>
          <w:lang w:val="es-CR"/>
        </w:rPr>
        <w:t>Sentencia de 8 de marzo de 2018</w:t>
      </w:r>
      <w:r w:rsidRPr="00E42101">
        <w:rPr>
          <w:i/>
          <w:szCs w:val="16"/>
          <w:lang w:val="es-CR"/>
        </w:rPr>
        <w:t>.</w:t>
      </w:r>
      <w:r w:rsidRPr="00E42101">
        <w:rPr>
          <w:szCs w:val="16"/>
          <w:lang w:val="es-CR"/>
        </w:rPr>
        <w:t xml:space="preserve"> Serie C No. 349, párr. 100. </w:t>
      </w:r>
    </w:p>
  </w:footnote>
  <w:footnote w:id="81">
    <w:p w14:paraId="18D39452" w14:textId="5ADE2FC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Velásquez Rodríguez Vs. Honduras. Fondo. </w:t>
      </w:r>
      <w:r w:rsidRPr="00E42101">
        <w:rPr>
          <w:szCs w:val="16"/>
          <w:lang w:val="es-CR"/>
        </w:rPr>
        <w:t>Sentencia de 29 de julio de 1988</w:t>
      </w:r>
      <w:r w:rsidRPr="00E42101">
        <w:rPr>
          <w:i/>
          <w:szCs w:val="16"/>
          <w:lang w:val="es-CR"/>
        </w:rPr>
        <w:t>.</w:t>
      </w:r>
      <w:r w:rsidRPr="00E42101">
        <w:rPr>
          <w:szCs w:val="16"/>
          <w:lang w:val="es-CR"/>
        </w:rPr>
        <w:t xml:space="preserve"> Serie C No. 4, párr. 164, y </w:t>
      </w:r>
      <w:r w:rsidRPr="00E42101">
        <w:rPr>
          <w:rStyle w:val="Textoennegrita"/>
          <w:b w:val="0"/>
          <w:i/>
          <w:color w:val="000000"/>
          <w:szCs w:val="16"/>
          <w:shd w:val="clear" w:color="auto" w:fill="FFFFFF"/>
          <w:lang w:val="es-CR"/>
        </w:rPr>
        <w:t>Caso Vereda La Esperanza Vs. Colombia. Excepciones Preliminares, Fondo, Reparaciones y Costas</w:t>
      </w:r>
      <w:r w:rsidRPr="00E42101">
        <w:rPr>
          <w:rStyle w:val="Textoennegrita"/>
          <w:b w:val="0"/>
          <w:color w:val="000000"/>
          <w:szCs w:val="16"/>
          <w:shd w:val="clear" w:color="auto" w:fill="FFFFFF"/>
          <w:lang w:val="es-CR"/>
        </w:rPr>
        <w:t>. Sentencia de 31 de agosto de 2017. Serie C No. 341, párr. 18.</w:t>
      </w:r>
    </w:p>
  </w:footnote>
  <w:footnote w:id="82">
    <w:p w14:paraId="07EDC7A3" w14:textId="79793D1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101, y </w:t>
      </w:r>
      <w:r w:rsidRPr="00E42101">
        <w:rPr>
          <w:i/>
          <w:szCs w:val="16"/>
          <w:lang w:val="es-CR"/>
        </w:rPr>
        <w:t>Caso Poblete Vilches y otros Vs. Chile. Fondo, Reparaciones y Costas.</w:t>
      </w:r>
      <w:r w:rsidRPr="00E42101">
        <w:rPr>
          <w:szCs w:val="16"/>
          <w:lang w:val="es-CR"/>
        </w:rPr>
        <w:t xml:space="preserve"> Sentencia de 8 de marzo de 2018. Serie C No. 349, párr. 100; </w:t>
      </w:r>
      <w:r w:rsidRPr="00E42101">
        <w:rPr>
          <w:i/>
          <w:szCs w:val="16"/>
          <w:lang w:val="es-CR"/>
        </w:rPr>
        <w:t>Caso Suárez Peralta Vs. Ecuador. Excepciones Preliminares, Fondo, Reparaciones y Costas.</w:t>
      </w:r>
      <w:r w:rsidRPr="00E42101">
        <w:rPr>
          <w:szCs w:val="16"/>
          <w:lang w:val="es-CR"/>
        </w:rPr>
        <w:t xml:space="preserve"> Sentencia de 21 de mayo de 2013. Serie C No. 261, párr. 131, y </w:t>
      </w:r>
      <w:r w:rsidRPr="00E42101">
        <w:rPr>
          <w:i/>
          <w:szCs w:val="16"/>
          <w:lang w:val="es-CR"/>
        </w:rPr>
        <w:t xml:space="preserve">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172.</w:t>
      </w:r>
    </w:p>
  </w:footnote>
  <w:footnote w:id="83">
    <w:p w14:paraId="48107462" w14:textId="568D8C2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101; y, </w:t>
      </w:r>
      <w:r w:rsidRPr="00E42101">
        <w:rPr>
          <w:i/>
          <w:szCs w:val="16"/>
          <w:lang w:val="es-CR"/>
        </w:rPr>
        <w:t xml:space="preserve">Caso Poblete Vilches y otros Vs. Chile. Fondo, Reparaciones y Costas. </w:t>
      </w:r>
      <w:r w:rsidRPr="00E42101">
        <w:rPr>
          <w:szCs w:val="16"/>
          <w:lang w:val="es-CR"/>
        </w:rPr>
        <w:t>Sentencia de 8 de marzo de 2018. Serie C No. 349, párr. 100.</w:t>
      </w:r>
    </w:p>
  </w:footnote>
  <w:footnote w:id="84">
    <w:p w14:paraId="3A4DA7F9" w14:textId="2F77E62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El Preámbulo de la Convención establece: “</w:t>
      </w:r>
      <w:r w:rsidRPr="00E42101">
        <w:rPr>
          <w:rFonts w:cs="Tahoma"/>
          <w:szCs w:val="16"/>
          <w:lang w:val="es-CR"/>
        </w:rPr>
        <w:t>Reafirmando su propósito de consolidar en este Continente, dentro del cuadro de las instituciones democráticas, un régimen de libertad personal y de justicia social, fundado en el respeto de los derechos esenciales del hombre; […] 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y 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determinara la estructura, competencia y procedimiento de los órganos encargados de esa materia”.</w:t>
      </w:r>
    </w:p>
  </w:footnote>
  <w:footnote w:id="85">
    <w:p w14:paraId="5031C32A" w14:textId="10A0AAC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Caso </w:t>
      </w:r>
      <w:proofErr w:type="spellStart"/>
      <w:r w:rsidRPr="00E42101">
        <w:rPr>
          <w:i/>
          <w:szCs w:val="16"/>
          <w:lang w:val="es-CR"/>
        </w:rPr>
        <w:t>Ivcher</w:t>
      </w:r>
      <w:proofErr w:type="spellEnd"/>
      <w:r w:rsidRPr="00E42101">
        <w:rPr>
          <w:i/>
          <w:szCs w:val="16"/>
          <w:lang w:val="es-CR"/>
        </w:rPr>
        <w:t xml:space="preserve"> </w:t>
      </w:r>
      <w:proofErr w:type="spellStart"/>
      <w:r w:rsidRPr="00E42101">
        <w:rPr>
          <w:i/>
          <w:szCs w:val="16"/>
          <w:lang w:val="es-CR"/>
        </w:rPr>
        <w:t>Bronstein</w:t>
      </w:r>
      <w:proofErr w:type="spellEnd"/>
      <w:r w:rsidRPr="00E42101">
        <w:rPr>
          <w:i/>
          <w:szCs w:val="16"/>
          <w:lang w:val="es-CR"/>
        </w:rPr>
        <w:t xml:space="preserve"> Vs. Perú. Competencia</w:t>
      </w:r>
      <w:r w:rsidRPr="00E42101">
        <w:rPr>
          <w:szCs w:val="16"/>
          <w:lang w:val="es-CR"/>
        </w:rPr>
        <w:t xml:space="preserve">. Sentencia de 24 de septiembre de 1999. Serie C No. 54, </w:t>
      </w:r>
      <w:proofErr w:type="spellStart"/>
      <w:r w:rsidRPr="00E42101">
        <w:rPr>
          <w:szCs w:val="16"/>
          <w:lang w:val="es-CR"/>
        </w:rPr>
        <w:t>párrs</w:t>
      </w:r>
      <w:proofErr w:type="spellEnd"/>
      <w:r w:rsidRPr="00E42101">
        <w:rPr>
          <w:szCs w:val="16"/>
          <w:lang w:val="es-CR"/>
        </w:rPr>
        <w:t xml:space="preserve">. 32 y 34, y </w:t>
      </w:r>
      <w:r w:rsidRPr="00E42101">
        <w:rPr>
          <w:i/>
          <w:szCs w:val="16"/>
          <w:lang w:val="es-CR"/>
        </w:rPr>
        <w:t>Caso García Prieto y otros Vs. El Salvador. Excepción Preliminar, Fondo, Reparaciones y Costas</w:t>
      </w:r>
      <w:r w:rsidRPr="00E42101">
        <w:rPr>
          <w:szCs w:val="16"/>
          <w:lang w:val="es-CR"/>
        </w:rPr>
        <w:t>. Sentencia de 20 de noviembre de 2007. Serie C No. 168, párr. 38.</w:t>
      </w:r>
    </w:p>
  </w:footnote>
  <w:footnote w:id="86">
    <w:p w14:paraId="2018F595" w14:textId="277C3A9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El artículo 19.6. del Protocolo de San Salvador establece: “[e]n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footnote>
  <w:footnote w:id="87">
    <w:p w14:paraId="78920801" w14:textId="68E23FF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Mutatis </w:t>
      </w:r>
      <w:proofErr w:type="spellStart"/>
      <w:r w:rsidRPr="00E42101">
        <w:rPr>
          <w:i/>
          <w:szCs w:val="16"/>
          <w:lang w:val="es-CR"/>
        </w:rPr>
        <w:t>mutandi</w:t>
      </w:r>
      <w:proofErr w:type="spellEnd"/>
      <w:r w:rsidRPr="00E42101">
        <w:rPr>
          <w:i/>
          <w:szCs w:val="16"/>
          <w:lang w:val="es-CR"/>
        </w:rPr>
        <w:t xml:space="preserve">, Caso del Penal Miguel Castro </w:t>
      </w:r>
      <w:proofErr w:type="spellStart"/>
      <w:r w:rsidRPr="00E42101">
        <w:rPr>
          <w:i/>
          <w:szCs w:val="16"/>
          <w:lang w:val="es-CR"/>
        </w:rPr>
        <w:t>Castro</w:t>
      </w:r>
      <w:proofErr w:type="spellEnd"/>
      <w:r w:rsidRPr="00E42101">
        <w:rPr>
          <w:i/>
          <w:szCs w:val="16"/>
          <w:lang w:val="es-CR"/>
        </w:rPr>
        <w:t xml:space="preserve"> Vs. Perú. Fondo, Reparaciones y Costas. </w:t>
      </w:r>
      <w:r w:rsidRPr="00E42101">
        <w:rPr>
          <w:szCs w:val="16"/>
          <w:lang w:val="es-CR"/>
        </w:rPr>
        <w:t xml:space="preserve">Sentencia de 25 de noviembre de 2006. Serie C No. 160, párr. 276, y </w:t>
      </w:r>
      <w:r w:rsidRPr="00E42101">
        <w:rPr>
          <w:i/>
          <w:szCs w:val="16"/>
          <w:lang w:val="es-CR"/>
        </w:rPr>
        <w:t xml:space="preserve">Caso González y otras (“Campo Algodonero”) Vs. México. Excepción Preliminar, Fondo, Reparaciones y Costas. </w:t>
      </w:r>
      <w:r w:rsidRPr="00E42101">
        <w:rPr>
          <w:szCs w:val="16"/>
          <w:lang w:val="es-CR"/>
        </w:rPr>
        <w:t xml:space="preserve">Sentencia de 16 de noviembre de 2009. Serie C No. 205, párr. 225. </w:t>
      </w:r>
    </w:p>
  </w:footnote>
  <w:footnote w:id="88">
    <w:p w14:paraId="1549F505" w14:textId="408EFAB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González y otras (“Campo Algodonero”) Vs. México. Excepción Preliminar, Fondo, Reparaciones y Costas.</w:t>
      </w:r>
      <w:r w:rsidRPr="00E42101">
        <w:rPr>
          <w:szCs w:val="16"/>
          <w:lang w:val="es-CR"/>
        </w:rPr>
        <w:t xml:space="preserve"> Sentencia de 16 de noviembre de 2009. Serie C No. 205, párr. 59, y </w:t>
      </w:r>
      <w:r w:rsidRPr="00E42101">
        <w:rPr>
          <w:i/>
          <w:szCs w:val="16"/>
          <w:lang w:val="es-CR"/>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E42101">
        <w:rPr>
          <w:szCs w:val="16"/>
          <w:lang w:val="es-CR"/>
        </w:rPr>
        <w:t xml:space="preserve"> Opinión Consultiva OC-22/16 de 26 de febrero de 2016. Serie A No. 22, párr. 40.</w:t>
      </w:r>
    </w:p>
  </w:footnote>
  <w:footnote w:id="89">
    <w:p w14:paraId="11BFC8EF" w14:textId="6CCA87B6"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El Efecto de las Reservas sobre la Entrada en Vigencia de la Convención Americana sobre Derechos Humanos. </w:t>
      </w:r>
      <w:r w:rsidRPr="00E42101">
        <w:rPr>
          <w:szCs w:val="16"/>
          <w:lang w:val="es-CR"/>
        </w:rPr>
        <w:t xml:space="preserve">Opinión Consultiva OC-2/82 del 24 de septiembre de 1982. Serie A No. 2, párr. 29, y </w:t>
      </w:r>
      <w:r w:rsidRPr="00E42101">
        <w:rPr>
          <w:rStyle w:val="Textoennegrita"/>
          <w:b w:val="0"/>
          <w:i/>
          <w:color w:val="000000"/>
          <w:szCs w:val="16"/>
          <w:shd w:val="clear" w:color="auto" w:fill="FFFFFF"/>
          <w:lang w:val="es-CR"/>
        </w:rPr>
        <w:t>La institución del asilo y su reconocimiento como derecho humano en el sistema interamericano de protección (interpretación y alcance de los artículos 5, 22.7 y 22.8, en relación con el artículo 1.1 de la Convención Americana sobre Derechos Humanos)</w:t>
      </w:r>
      <w:r w:rsidRPr="00E42101">
        <w:rPr>
          <w:rStyle w:val="Textoennegrita"/>
          <w:b w:val="0"/>
          <w:color w:val="000000"/>
          <w:szCs w:val="16"/>
          <w:shd w:val="clear" w:color="auto" w:fill="FFFFFF"/>
          <w:lang w:val="es-CR"/>
        </w:rPr>
        <w:t>. Opinión Consultiva OC-25/18 de 30 de mayo de 2018. Serie A No. 25, párr. 58.</w:t>
      </w:r>
    </w:p>
  </w:footnote>
  <w:footnote w:id="90">
    <w:p w14:paraId="04A01A50" w14:textId="65427DE9"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 xml:space="preserve">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w:t>
      </w:r>
      <w:r w:rsidRPr="00E42101">
        <w:rPr>
          <w:szCs w:val="16"/>
          <w:lang w:val="es-CR"/>
        </w:rPr>
        <w:t>Opinión Consultiva OC-22/16 de 26 de febrero de 2016. Serie A No. 22, párr. 42.</w:t>
      </w:r>
    </w:p>
  </w:footnote>
  <w:footnote w:id="91">
    <w:p w14:paraId="6169CB12" w14:textId="20D8DBF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99, y </w:t>
      </w:r>
      <w:r w:rsidRPr="00E42101">
        <w:rPr>
          <w:i/>
          <w:szCs w:val="16"/>
          <w:lang w:val="es-CR"/>
        </w:rPr>
        <w:t xml:space="preserve">Caso Poblete Vilches y otros Vs. Chile. Fondo, Reparaciones y Costas. </w:t>
      </w:r>
      <w:r w:rsidRPr="00E42101">
        <w:rPr>
          <w:szCs w:val="16"/>
          <w:lang w:val="es-CR"/>
        </w:rPr>
        <w:t>Sentencia de 8 de marzo de 2018. Serie C No. 349, párr. 101.</w:t>
      </w:r>
    </w:p>
  </w:footnote>
  <w:footnote w:id="92">
    <w:p w14:paraId="556329FC" w14:textId="4AB8994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106.</w:t>
      </w:r>
    </w:p>
  </w:footnote>
  <w:footnote w:id="93">
    <w:p w14:paraId="32A049A8" w14:textId="1FBD9965"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104. </w:t>
      </w:r>
    </w:p>
  </w:footnote>
  <w:footnote w:id="94">
    <w:p w14:paraId="4A367CE2" w14:textId="2382E34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104; Comité de Derechos Económicos, Sociales y Culturales, Comité de Derechos Económicos, Sociales y Culturales, Observación General No. 3: La índole de las obligaciones de los Estados Partes (párrafo 1 del artículo 2 del Pacto), 14 de diciembre de 1990, U.N. Doc. E/1991/23, párr. 3, y Comité de Derechos Económicos, Sociales y Culturales, Observación General No. 14: El derecho al disfrute del más alto nivel posible de salud, 11 de agosto de 2000, U.N. Doc. E/C.12/2000/4, párr. 30.</w:t>
      </w:r>
    </w:p>
  </w:footnote>
  <w:footnote w:id="95">
    <w:p w14:paraId="2761D58D" w14:textId="37D5628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w:t>
      </w:r>
      <w:r>
        <w:rPr>
          <w:szCs w:val="16"/>
          <w:lang w:val="es-CR"/>
        </w:rPr>
        <w:t>018. Serie C No. 349, párr. 104, y</w:t>
      </w:r>
      <w:r w:rsidRPr="00E42101">
        <w:rPr>
          <w:szCs w:val="16"/>
          <w:lang w:val="es-CR"/>
        </w:rPr>
        <w:t xml:space="preserve"> Comité de Derechos Económicos, Sociales y Culturales, Observación General No. 3: La índole de las obligaciones de los Estados Partes (párrafo 1 del artículo 2 del Pacto), 14 de diciembre de 1990, U.N. Doc. E/1991/23, párr. 9.</w:t>
      </w:r>
    </w:p>
  </w:footnote>
  <w:footnote w:id="96">
    <w:p w14:paraId="6F4A47D4" w14:textId="1E0C693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El artículo 26 de la Convención establece: “</w:t>
      </w:r>
      <w:r w:rsidRPr="00E42101">
        <w:rPr>
          <w:rFonts w:cs="Tahoma"/>
          <w:bCs/>
          <w:color w:val="000000"/>
          <w:szCs w:val="16"/>
          <w:lang w:val="es-CR"/>
        </w:rPr>
        <w:t>Artículo 26. Desarrollo Progresivo</w:t>
      </w:r>
      <w:r w:rsidRPr="00E42101">
        <w:rPr>
          <w:rFonts w:cs="Tahoma"/>
          <w:b/>
          <w:bCs/>
          <w:color w:val="000000"/>
          <w:szCs w:val="16"/>
          <w:lang w:val="es-CR"/>
        </w:rPr>
        <w:t>.</w:t>
      </w:r>
      <w:r w:rsidRPr="00E42101">
        <w:rPr>
          <w:rFonts w:cs="Tahoma"/>
          <w:color w:val="000000"/>
          <w:szCs w:val="16"/>
          <w:lang w:val="es-CR"/>
        </w:rPr>
        <w:t>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97">
    <w:p w14:paraId="3DC02CA4" w14:textId="1E841037"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 xml:space="preserve">El artículo 34.i de la Carta de la OEA establece: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i) Defensa del potencial humano mediante la extensión y aplicación de los modernos conocimientos de la ciencia médica”. </w:t>
      </w:r>
    </w:p>
  </w:footnote>
  <w:footnote w:id="98">
    <w:p w14:paraId="65E451C8" w14:textId="1C5B8E72"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 xml:space="preserve">El artículo 34.l de la Carta de la OEA establece: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 l) Condiciones urbanas que hagan posible una vida sana, productiva y digna”. </w:t>
      </w:r>
    </w:p>
  </w:footnote>
  <w:footnote w:id="99">
    <w:p w14:paraId="29EAEBA6" w14:textId="21BBBF34"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El artículo 45.h de la Carta de la OEA establece: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h) Desarrollo de una política eficiente de seguridad social”.</w:t>
      </w:r>
    </w:p>
  </w:footnote>
  <w:footnote w:id="100">
    <w:p w14:paraId="1E109454" w14:textId="01ED1A54"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O Comité de Derechos Económicos, Sociales y Culturales, Observación General No. 19: El derecho a la seguridad social (artículo 9), 23 de noviembre de 2007, U.N. Doc. </w:t>
      </w:r>
      <w:r w:rsidRPr="00E42101">
        <w:rPr>
          <w:snapToGrid w:val="0"/>
          <w:szCs w:val="16"/>
          <w:lang w:val="es-CR"/>
        </w:rPr>
        <w:t>E/C.12/GC/19</w:t>
      </w:r>
      <w:r w:rsidRPr="00E42101">
        <w:rPr>
          <w:szCs w:val="16"/>
          <w:lang w:val="es-CR"/>
        </w:rPr>
        <w:t>, párr. 13.</w:t>
      </w:r>
    </w:p>
  </w:footnote>
  <w:footnote w:id="101">
    <w:p w14:paraId="0B89B54A" w14:textId="4A93CE13"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 xml:space="preserve">La Corte considera que el derecho a la salud es un componente esencial del derecho a la seguridad social, pues la protección de la salud es de importancia fundamental para garantizar a todas las personas su dignidad humana cuando hacen frente a circunstancias que les privan de su capacidad para ejercer plenamente sus derechos. En ese sentido, la Observación General No. 19 del Comité DESC señala que “[l]os Estados Partes tienen la obligación de </w:t>
      </w:r>
      <w:r w:rsidRPr="00E42101">
        <w:rPr>
          <w:snapToGrid w:val="0"/>
          <w:sz w:val="16"/>
          <w:szCs w:val="16"/>
          <w:lang w:val="es-CR"/>
        </w:rPr>
        <w:t xml:space="preserve">garantizar que se establezcan sistemas de salud que prevean un acceso adecuado de todas las personas a los servicios de salud”. Asimismo, señala que “la especial importancia del derecho a la seguridad social en el contexto de las enfermedades endémicas, como el VIH/SIDA […]”. Adicionalmente, el Comité señaló que los Estados Partes deberán “segurar el acceso a un sistema de seguridad social que ofrezca a todas las personas y familias un nivel mínimo indispensable de prestaciones que les permita obtener por lo menos atención de salud esencial”. </w:t>
      </w:r>
      <w:r w:rsidRPr="00E42101">
        <w:rPr>
          <w:i/>
          <w:sz w:val="16"/>
          <w:szCs w:val="16"/>
          <w:lang w:val="es-CR"/>
        </w:rPr>
        <w:t xml:space="preserve">Cfr. </w:t>
      </w:r>
      <w:r w:rsidRPr="00E42101">
        <w:rPr>
          <w:sz w:val="16"/>
          <w:szCs w:val="16"/>
          <w:lang w:val="es-CR"/>
        </w:rPr>
        <w:t xml:space="preserve">Comité de Derechos Económicos, Sociales y Culturales, Observación General No. 19: El derecho a la seguridad social (artículo 9), 23 de noviembre de 2007, U.N. Doc. </w:t>
      </w:r>
      <w:r w:rsidRPr="00E42101">
        <w:rPr>
          <w:snapToGrid w:val="0"/>
          <w:sz w:val="16"/>
          <w:szCs w:val="16"/>
          <w:lang w:val="es-CR"/>
        </w:rPr>
        <w:t>E/C.12/GC/19</w:t>
      </w:r>
      <w:r w:rsidRPr="00E42101">
        <w:rPr>
          <w:sz w:val="16"/>
          <w:szCs w:val="16"/>
          <w:lang w:val="es-CR"/>
        </w:rPr>
        <w:t>, párr.13 y 59 a).</w:t>
      </w:r>
    </w:p>
    <w:p w14:paraId="40DCAA30" w14:textId="77777777" w:rsidR="00604517" w:rsidRPr="00E42101" w:rsidRDefault="00604517" w:rsidP="00E47BD5">
      <w:pPr>
        <w:rPr>
          <w:sz w:val="16"/>
          <w:szCs w:val="16"/>
          <w:lang w:val="es-CR"/>
        </w:rPr>
      </w:pPr>
    </w:p>
  </w:footnote>
  <w:footnote w:id="102">
    <w:p w14:paraId="53EA5326" w14:textId="7777777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de la "Masacre de Mapiripán" Vs. Colombia. </w:t>
      </w:r>
      <w:r w:rsidRPr="00E42101">
        <w:rPr>
          <w:szCs w:val="16"/>
          <w:lang w:val="es-CR"/>
        </w:rPr>
        <w:t>Sentencia de 15 de septiembre de 2005</w:t>
      </w:r>
      <w:r w:rsidRPr="00E42101">
        <w:rPr>
          <w:i/>
          <w:szCs w:val="16"/>
          <w:lang w:val="es-CR"/>
        </w:rPr>
        <w:t>.</w:t>
      </w:r>
      <w:r w:rsidRPr="00E42101">
        <w:rPr>
          <w:szCs w:val="16"/>
          <w:lang w:val="es-CR"/>
        </w:rPr>
        <w:t xml:space="preserve"> Serie C No. 134, párr. 107, y </w:t>
      </w:r>
      <w:r w:rsidRPr="00E42101">
        <w:rPr>
          <w:i/>
          <w:szCs w:val="16"/>
          <w:lang w:val="es-CR"/>
        </w:rPr>
        <w:t>Caso familia Pacheco Tineo Vs. Bolivia. Excepciones Preliminares, Fondo, Reparaciones y Costas.</w:t>
      </w:r>
      <w:r w:rsidRPr="00E42101">
        <w:rPr>
          <w:szCs w:val="16"/>
          <w:lang w:val="es-CR"/>
        </w:rPr>
        <w:t xml:space="preserve"> Sentencia de 25 de noviembre de 2013. Serie C No. 272, párr. 143.</w:t>
      </w:r>
    </w:p>
  </w:footnote>
  <w:footnote w:id="103">
    <w:p w14:paraId="7370C221" w14:textId="214F05C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familia Pacheco Tineo Vs. Bolivia. Excepciones Preliminares, Fondo, Reparaciones y Costas.</w:t>
      </w:r>
      <w:r w:rsidRPr="00E42101">
        <w:rPr>
          <w:szCs w:val="16"/>
          <w:lang w:val="es-CR"/>
        </w:rPr>
        <w:t xml:space="preserve"> Sentencia de 25 de noviembre de 2013. Serie C No. 272, párr. 143, y </w:t>
      </w:r>
      <w:r w:rsidRPr="00E42101">
        <w:rPr>
          <w:i/>
          <w:szCs w:val="16"/>
          <w:lang w:val="es-CR"/>
        </w:rPr>
        <w:t xml:space="preserve">Caso </w:t>
      </w:r>
      <w:proofErr w:type="spellStart"/>
      <w:r w:rsidRPr="00E42101">
        <w:rPr>
          <w:i/>
          <w:szCs w:val="16"/>
          <w:lang w:val="es-CR"/>
        </w:rPr>
        <w:t>Liakat</w:t>
      </w:r>
      <w:proofErr w:type="spellEnd"/>
      <w:r w:rsidRPr="00E42101">
        <w:rPr>
          <w:i/>
          <w:szCs w:val="16"/>
          <w:lang w:val="es-CR"/>
        </w:rPr>
        <w:t xml:space="preserve"> Ali </w:t>
      </w:r>
      <w:proofErr w:type="spellStart"/>
      <w:r w:rsidRPr="00E42101">
        <w:rPr>
          <w:i/>
          <w:szCs w:val="16"/>
          <w:lang w:val="es-CR"/>
        </w:rPr>
        <w:t>Alibux</w:t>
      </w:r>
      <w:proofErr w:type="spellEnd"/>
      <w:r w:rsidRPr="00E42101">
        <w:rPr>
          <w:i/>
          <w:szCs w:val="16"/>
          <w:lang w:val="es-CR"/>
        </w:rPr>
        <w:t xml:space="preserve"> Vs. Surinam. Excepciones Preliminares, Fondo, Reparaciones y Costas.</w:t>
      </w:r>
      <w:r w:rsidRPr="00E42101">
        <w:rPr>
          <w:szCs w:val="16"/>
          <w:lang w:val="es-CR"/>
        </w:rPr>
        <w:t xml:space="preserve"> Sentencia de 30 de enero de 2014. Serie C No. 276, párr. 26. </w:t>
      </w:r>
    </w:p>
  </w:footnote>
  <w:footnote w:id="104">
    <w:p w14:paraId="47D45F14" w14:textId="6F55532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Poblete Vilches y otros Vs. Chile. Fondo, Reparaciones y Costas.</w:t>
      </w:r>
      <w:r w:rsidRPr="00E42101">
        <w:rPr>
          <w:szCs w:val="16"/>
          <w:lang w:val="es-CR"/>
        </w:rPr>
        <w:t xml:space="preserve"> Sentencia de 8 de marzo de 2018. Serie C No. 349, párr. 103; </w:t>
      </w:r>
      <w:r w:rsidRPr="00E42101">
        <w:rPr>
          <w:i/>
          <w:szCs w:val="16"/>
          <w:lang w:val="es-CR"/>
        </w:rPr>
        <w:t>Caso Lagos del Campo Vs. Perú. Excepciones Preliminares, Fondo, Reparaciones y Costas.</w:t>
      </w:r>
      <w:r w:rsidRPr="00E42101">
        <w:rPr>
          <w:szCs w:val="16"/>
          <w:lang w:val="es-CR"/>
        </w:rPr>
        <w:t xml:space="preserve"> Sentencia de 31 de agosto de 2017. Serie C No. 340, párr. 145; </w:t>
      </w:r>
      <w:r w:rsidRPr="00E42101">
        <w:rPr>
          <w:i/>
          <w:szCs w:val="16"/>
          <w:lang w:val="es-CR"/>
        </w:rPr>
        <w:t>Caso I.V. Vs. Bolivia. Excepciones Preliminares, Fondo, Reparaciones y Costas.</w:t>
      </w:r>
      <w:r w:rsidRPr="00E42101">
        <w:rPr>
          <w:szCs w:val="16"/>
          <w:lang w:val="es-CR"/>
        </w:rPr>
        <w:t xml:space="preserve"> Sentencia de 30 de noviembre de 2016. Serie C No. 329, párr. 168; </w:t>
      </w:r>
      <w:r w:rsidRPr="00E42101">
        <w:rPr>
          <w:i/>
          <w:szCs w:val="16"/>
          <w:lang w:val="es-CR"/>
        </w:rPr>
        <w:t>Caso familia Pacheco Tineo Vs. Bolivia. Excepciones Preliminares, Fondo, Reparaciones y Costas.</w:t>
      </w:r>
      <w:r w:rsidRPr="00E42101">
        <w:rPr>
          <w:szCs w:val="16"/>
          <w:lang w:val="es-CR"/>
        </w:rPr>
        <w:t xml:space="preserve"> Sentencia de 25 de noviembre de 2013. Serie C No. 272, párr. 129; </w:t>
      </w:r>
      <w:r w:rsidRPr="00E42101">
        <w:rPr>
          <w:i/>
          <w:szCs w:val="16"/>
          <w:lang w:val="es-CR"/>
        </w:rPr>
        <w:t xml:space="preserve">Caso </w:t>
      </w:r>
      <w:proofErr w:type="spellStart"/>
      <w:r w:rsidRPr="00E42101">
        <w:rPr>
          <w:i/>
          <w:szCs w:val="16"/>
          <w:lang w:val="es-CR"/>
        </w:rPr>
        <w:t>Atala</w:t>
      </w:r>
      <w:proofErr w:type="spellEnd"/>
      <w:r w:rsidRPr="00E42101">
        <w:rPr>
          <w:i/>
          <w:szCs w:val="16"/>
          <w:lang w:val="es-CR"/>
        </w:rPr>
        <w:t xml:space="preserve"> Riffo y niñas Vs. Chile. Fondo, Reparaciones y Costas.</w:t>
      </w:r>
      <w:r w:rsidRPr="00E42101">
        <w:rPr>
          <w:szCs w:val="16"/>
          <w:lang w:val="es-CR"/>
        </w:rPr>
        <w:t xml:space="preserve"> Sentencia de 24 de febrero de 2012. Serie C No. 239, párr. 83, y </w:t>
      </w:r>
      <w:r w:rsidRPr="00E42101">
        <w:rPr>
          <w:i/>
          <w:szCs w:val="16"/>
          <w:lang w:val="es-CR"/>
        </w:rPr>
        <w:t>Caso Gelman Vs. Uruguay. Fondo y Reparaciones.</w:t>
      </w:r>
      <w:r w:rsidRPr="00E42101">
        <w:rPr>
          <w:szCs w:val="16"/>
          <w:lang w:val="es-CR"/>
        </w:rPr>
        <w:t xml:space="preserve"> Sentencia de 24 de febrero de 2011. Serie C No. 221, párr. 78 y 121.</w:t>
      </w:r>
    </w:p>
  </w:footnote>
  <w:footnote w:id="105">
    <w:p w14:paraId="39505C1B" w14:textId="67E4AA2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Suárez Peralta Vs. Ecuador. Excepciones Preliminares, Fondo, Reparaciones y Costas.</w:t>
      </w:r>
      <w:r w:rsidRPr="00E42101">
        <w:rPr>
          <w:szCs w:val="16"/>
          <w:lang w:val="es-CR"/>
        </w:rPr>
        <w:t xml:space="preserve"> Sentencia de 21 de mayo de 2013. Serie C No. 261, </w:t>
      </w:r>
      <w:proofErr w:type="spellStart"/>
      <w:r w:rsidRPr="00E42101">
        <w:rPr>
          <w:szCs w:val="16"/>
          <w:lang w:val="es-CR"/>
        </w:rPr>
        <w:t>párrs</w:t>
      </w:r>
      <w:proofErr w:type="spellEnd"/>
      <w:r w:rsidRPr="00E42101">
        <w:rPr>
          <w:szCs w:val="16"/>
          <w:lang w:val="es-CR"/>
        </w:rPr>
        <w:t xml:space="preserve">. 131 y 135, y </w:t>
      </w:r>
      <w:r w:rsidRPr="00E42101">
        <w:rPr>
          <w:i/>
          <w:szCs w:val="16"/>
          <w:lang w:val="es-CR"/>
        </w:rPr>
        <w:t>Caso Poblete Vilches y otros Vs. Chile. Fondo, Reparaciones y Costas.</w:t>
      </w:r>
      <w:r w:rsidRPr="00E42101">
        <w:rPr>
          <w:szCs w:val="16"/>
          <w:lang w:val="es-CR"/>
        </w:rPr>
        <w:t xml:space="preserve"> Sentencia de 8 de marzo de 2018. Serie C No. 349, párr. 114.</w:t>
      </w:r>
    </w:p>
  </w:footnote>
  <w:footnote w:id="106">
    <w:p w14:paraId="5AEA497B" w14:textId="22A4F10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familia Pacheco Tineo Vs. Bolivia. Excepciones Preliminares, Fondo, Reparaciones y Costas.</w:t>
      </w:r>
      <w:r w:rsidRPr="00E42101">
        <w:rPr>
          <w:szCs w:val="16"/>
          <w:lang w:val="es-CR"/>
        </w:rPr>
        <w:t xml:space="preserve"> Sentencia de 25 de noviembre de 2013. Serie C No. 272, párr.143.</w:t>
      </w:r>
    </w:p>
  </w:footnote>
  <w:footnote w:id="107">
    <w:p w14:paraId="6911CD12" w14:textId="4A9C138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Interpretación de la Declaración Americana de los Derechos y Deberes del Hombre en el marco del artículo 64 de la Convención Americana sobre Derechos Humanos. Opinión Consultiva OC-10/89 de 14 de julio de 1989.</w:t>
      </w:r>
      <w:r w:rsidRPr="00E42101">
        <w:rPr>
          <w:szCs w:val="16"/>
          <w:lang w:val="es-CR"/>
        </w:rPr>
        <w:t xml:space="preserve"> Serie A No. 10. párr. 43, y </w:t>
      </w:r>
      <w:r w:rsidRPr="00E42101">
        <w:rPr>
          <w:i/>
          <w:szCs w:val="16"/>
          <w:lang w:val="es-CR"/>
        </w:rPr>
        <w:t>Caso Poblete Vilches y otros Vs. Chile. Fondo, Reparaciones y Costas</w:t>
      </w:r>
      <w:r w:rsidRPr="00E42101">
        <w:rPr>
          <w:szCs w:val="16"/>
          <w:lang w:val="es-CR"/>
        </w:rPr>
        <w:t>. Sentencia de 8 de marzo de 2018. Serie C No. 349, párr. 107.</w:t>
      </w:r>
    </w:p>
  </w:footnote>
  <w:footnote w:id="108">
    <w:p w14:paraId="6AF52020" w14:textId="200C03A4"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Cfr. El Derecho a la Información sobre la Asistencia Consular en el Marco de las Garantías del Debido Proceso Legal.</w:t>
      </w:r>
      <w:r w:rsidRPr="00E42101">
        <w:rPr>
          <w:szCs w:val="16"/>
          <w:lang w:val="es-CR"/>
        </w:rPr>
        <w:t xml:space="preserve"> Opinión Consultiva OC-16/99 de 1 de octubre de 1999. Serie A No. 16, párr. 114, y </w:t>
      </w:r>
      <w:r w:rsidRPr="00E42101">
        <w:rPr>
          <w:rStyle w:val="Textoennegrita"/>
          <w:b w:val="0"/>
          <w:i/>
          <w:color w:val="000000"/>
          <w:szCs w:val="16"/>
          <w:shd w:val="clear" w:color="auto" w:fill="FFFFFF"/>
          <w:lang w:val="es-CR"/>
        </w:rPr>
        <w:t>La institución del asilo y su reconocimiento como derecho humano en el sistema interamericano de protección (interpretación y alcance de los artículos 5, 22.7 y 22.8, en relación con el artículo 1.1 de la Convención Americana sobre Derechos Humanos)</w:t>
      </w:r>
      <w:r w:rsidRPr="00E42101">
        <w:rPr>
          <w:rStyle w:val="Textoennegrita"/>
          <w:b w:val="0"/>
          <w:color w:val="000000"/>
          <w:szCs w:val="16"/>
          <w:shd w:val="clear" w:color="auto" w:fill="FFFFFF"/>
          <w:lang w:val="es-CR"/>
        </w:rPr>
        <w:t>. Opinión Consultiva OC-25/18 de 30 de mayo de 2018. Serie A No. 25, párr. 137.</w:t>
      </w:r>
    </w:p>
  </w:footnote>
  <w:footnote w:id="109">
    <w:p w14:paraId="6DDD90B0" w14:textId="7777777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El artículo 10.1 del Protocolo de San Salvador establece: “[t]oda persona tiene derecho a la salud, entendida como el disfrute del más alto nivel de bienestar físico, mental y social. 2. Con el fin de hacer efectivo el derecho a la salud los Estados partes se comprometen a reconocer la salud como un bien público y particularmente a adoptar las siguientes medidas para garantizar este derecho: a. la atención primaria de la salud, entendiendo como tal la asistencia sanitaria esencial puesta al alcance de todos los individuos y familiares de la comunidad; [y] b. la extensión de los beneficios de los servicios de salud a todos los individuos sujetos a la jurisdicción del Estado”.</w:t>
      </w:r>
    </w:p>
  </w:footnote>
  <w:footnote w:id="110">
    <w:p w14:paraId="6D8BD6C0" w14:textId="68B332E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Pacto Internacional de Derechos Económicos, Sociales y Culturales, Artículo 12, adoptado por la Asamblea General de la ONU mediante la Resolución 2200A (XXI), de 16 de diciembre de 1966 y en vigor desde el 3 de enero de 1976.</w:t>
      </w:r>
    </w:p>
  </w:footnote>
  <w:footnote w:id="111">
    <w:p w14:paraId="301974B9" w14:textId="3DB4B58A"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118.</w:t>
      </w:r>
    </w:p>
  </w:footnote>
  <w:footnote w:id="112">
    <w:p w14:paraId="55DA3C61" w14:textId="58A53F01"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Suárez Peralta Vs. Ecuador. Excepciones Preliminares, Fondo, Reparaciones y Costas.</w:t>
      </w:r>
      <w:r w:rsidRPr="00E42101">
        <w:rPr>
          <w:rStyle w:val="Textoennegrita"/>
          <w:b w:val="0"/>
          <w:color w:val="000000"/>
          <w:szCs w:val="16"/>
          <w:shd w:val="clear" w:color="auto" w:fill="FFFFFF"/>
          <w:lang w:val="es-CR"/>
        </w:rPr>
        <w:t xml:space="preserve"> Sentencia de 21 de mayo de 2013. Serie C No. 261., párr. 134, y</w:t>
      </w:r>
      <w:r w:rsidRPr="00E42101">
        <w:rPr>
          <w:rStyle w:val="Textoennegrita"/>
          <w:color w:val="000000"/>
          <w:szCs w:val="16"/>
          <w:shd w:val="clear" w:color="auto" w:fill="FFFFFF"/>
          <w:lang w:val="es-CR"/>
        </w:rPr>
        <w:t xml:space="preserve"> </w:t>
      </w:r>
      <w:r w:rsidRPr="00E42101">
        <w:rPr>
          <w:i/>
          <w:szCs w:val="16"/>
          <w:lang w:val="es-CR"/>
        </w:rPr>
        <w:t>Caso Poblete Vilches y otros Vs. Chile. Fondo, Reparaciones y Costas.</w:t>
      </w:r>
      <w:r w:rsidRPr="00E42101">
        <w:rPr>
          <w:szCs w:val="16"/>
          <w:lang w:val="es-CR"/>
        </w:rPr>
        <w:t xml:space="preserve"> Sentencia de 8 de marzo de 2018. Serie C No. 349, párr. 119.</w:t>
      </w:r>
    </w:p>
  </w:footnote>
  <w:footnote w:id="113">
    <w:p w14:paraId="28BA7A83" w14:textId="5974D1FB" w:rsidR="00604517" w:rsidRPr="00E42101" w:rsidRDefault="00604517" w:rsidP="00E47BD5">
      <w:pPr>
        <w:pStyle w:val="Textonotapie"/>
        <w:spacing w:before="0"/>
        <w:rPr>
          <w:szCs w:val="16"/>
          <w:lang w:val="es-CR"/>
        </w:rPr>
      </w:pPr>
      <w:r w:rsidRPr="00E42101">
        <w:rPr>
          <w:rStyle w:val="Refdenotaalpie"/>
          <w:rFonts w:eastAsia="Calibri"/>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118, y Observación General  No. 14: “El derecho al disfrute del más alto nivel posible de salud”, 11 de agosto de 2000, U.N. Doc. E/C.12/2000/4, párr. 1.</w:t>
      </w:r>
    </w:p>
  </w:footnote>
  <w:footnote w:id="114">
    <w:p w14:paraId="0E13EDB4" w14:textId="6EB0F0D8"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Suárez Peralta Vs. Ecuador. Excepciones Preliminares, Fondo, Reparaciones y Costas</w:t>
      </w:r>
      <w:r w:rsidRPr="00E42101">
        <w:rPr>
          <w:rStyle w:val="Textoennegrita"/>
          <w:b w:val="0"/>
          <w:color w:val="000000"/>
          <w:szCs w:val="16"/>
          <w:shd w:val="clear" w:color="auto" w:fill="FFFFFF"/>
          <w:lang w:val="es-CR"/>
        </w:rPr>
        <w:t xml:space="preserve">. Sentencia de 21 de mayo de 2013. Serie C No. 261, párr. 152; </w:t>
      </w:r>
      <w:r w:rsidRPr="00E42101">
        <w:rPr>
          <w:rStyle w:val="Textoennegrita"/>
          <w:b w:val="0"/>
          <w:i/>
          <w:color w:val="000000"/>
          <w:szCs w:val="16"/>
          <w:shd w:val="clear" w:color="auto" w:fill="FFFFFF"/>
          <w:lang w:val="es-CR"/>
        </w:rPr>
        <w:t>Caso Poblete Vilches y otros Vs. Chile. Fondo, Reparaciones y Costas</w:t>
      </w:r>
      <w:r w:rsidRPr="00E42101">
        <w:rPr>
          <w:rStyle w:val="Textoennegrita"/>
          <w:b w:val="0"/>
          <w:color w:val="000000"/>
          <w:szCs w:val="16"/>
          <w:shd w:val="clear" w:color="auto" w:fill="FFFFFF"/>
          <w:lang w:val="es-CR"/>
        </w:rPr>
        <w:t xml:space="preserve">. Sentencia de 8 de marzo de 2018. Serie C No. 349, </w:t>
      </w:r>
      <w:proofErr w:type="spellStart"/>
      <w:r w:rsidRPr="00E42101">
        <w:rPr>
          <w:rStyle w:val="Textoennegrita"/>
          <w:b w:val="0"/>
          <w:color w:val="000000"/>
          <w:szCs w:val="16"/>
          <w:shd w:val="clear" w:color="auto" w:fill="FFFFFF"/>
          <w:lang w:val="es-CR"/>
        </w:rPr>
        <w:t>párrs</w:t>
      </w:r>
      <w:proofErr w:type="spellEnd"/>
      <w:r w:rsidRPr="00E42101">
        <w:rPr>
          <w:rStyle w:val="Textoennegrita"/>
          <w:b w:val="0"/>
          <w:color w:val="000000"/>
          <w:szCs w:val="16"/>
          <w:shd w:val="clear" w:color="auto" w:fill="FFFFFF"/>
          <w:lang w:val="es-CR"/>
        </w:rPr>
        <w:t xml:space="preserve">. 120 y 121, y </w:t>
      </w:r>
      <w:r w:rsidRPr="00E42101">
        <w:rPr>
          <w:szCs w:val="16"/>
          <w:lang w:val="es-CR"/>
        </w:rPr>
        <w:t>Comité de Derechos Económicos, Sociales y Culturales, Observación General No. 14: El derecho al disfrute del más alto nivel posible de salud, 11 de agosto de 2000, U.N. Doc. E/C.12/2000/4</w:t>
      </w:r>
      <w:r w:rsidRPr="00E42101">
        <w:rPr>
          <w:rStyle w:val="Textoennegrita"/>
          <w:b w:val="0"/>
          <w:color w:val="000000"/>
          <w:szCs w:val="16"/>
          <w:shd w:val="clear" w:color="auto" w:fill="FFFFFF"/>
          <w:lang w:val="es-CR"/>
        </w:rPr>
        <w:t>, párr. 12.</w:t>
      </w:r>
    </w:p>
  </w:footnote>
  <w:footnote w:id="115">
    <w:p w14:paraId="517A4469" w14:textId="24F754A1"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Duque Vs. Colombia. Excepciones Preliminares, Fondo, Reparaciones y Costas. </w:t>
      </w:r>
      <w:r w:rsidRPr="00E42101">
        <w:rPr>
          <w:szCs w:val="16"/>
          <w:lang w:val="es-CR"/>
        </w:rPr>
        <w:t xml:space="preserve">Sentencia de 26 de febrero de 2016. Serie C No. 310, párr. 174, y </w:t>
      </w:r>
      <w:r w:rsidRPr="00E42101">
        <w:rPr>
          <w:i/>
          <w:szCs w:val="16"/>
          <w:lang w:val="es-CR"/>
        </w:rPr>
        <w:t xml:space="preserve">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194. </w:t>
      </w:r>
      <w:r w:rsidRPr="00E42101">
        <w:rPr>
          <w:rFonts w:eastAsia="Times" w:cs="Arial"/>
          <w:szCs w:val="16"/>
          <w:lang w:val="es-CR"/>
        </w:rPr>
        <w:t xml:space="preserve">En el mismo sentido, de acuerdo con la Observación General No. 14 del Comité DESC, el derecho al más alto nivel de salud genera obligaciones mínimas, que incluyen “facilitar medicamentos esenciales, según las definiciones periódicas que figuran en el Programa de Acción sobre Medicamentos Esenciales de la OMS”. </w:t>
      </w:r>
      <w:r w:rsidRPr="00E42101">
        <w:rPr>
          <w:rFonts w:eastAsia="Times" w:cs="Arial"/>
          <w:i/>
          <w:szCs w:val="16"/>
          <w:lang w:val="es-CR"/>
        </w:rPr>
        <w:t>Cfr.</w:t>
      </w:r>
      <w:r w:rsidRPr="00E42101">
        <w:rPr>
          <w:rFonts w:eastAsia="Times" w:cs="Arial"/>
          <w:szCs w:val="16"/>
          <w:lang w:val="es-CR"/>
        </w:rPr>
        <w:t xml:space="preserve"> </w:t>
      </w:r>
      <w:r w:rsidRPr="00E42101">
        <w:rPr>
          <w:szCs w:val="16"/>
          <w:lang w:val="es-CR"/>
        </w:rPr>
        <w:t>Comité de Derechos Económicos, Sociales y Culturales, Observación General No. 14: El derecho al disfrute del más alto nivel posible de salud, 11 de agosto de 2000, U.N. Doc. E/C.12/2000/4</w:t>
      </w:r>
      <w:r w:rsidRPr="00E42101">
        <w:rPr>
          <w:rStyle w:val="Textoennegrita"/>
          <w:b w:val="0"/>
          <w:color w:val="000000"/>
          <w:szCs w:val="16"/>
          <w:shd w:val="clear" w:color="auto" w:fill="FFFFFF"/>
          <w:lang w:val="es-CR"/>
        </w:rPr>
        <w:t>, párr. 41 d).</w:t>
      </w:r>
    </w:p>
  </w:footnote>
  <w:footnote w:id="116">
    <w:p w14:paraId="5A9F4077" w14:textId="66808DC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Duque Vs. Colombia. Excepciones Preliminares, Fondo, Reparaciones y Costas.</w:t>
      </w:r>
      <w:r w:rsidRPr="00E42101">
        <w:rPr>
          <w:szCs w:val="16"/>
          <w:lang w:val="es-CR"/>
        </w:rPr>
        <w:t xml:space="preserve"> Sentencia de 26 de febrero de 2016. Serie C No. 310, párr. 174, y </w:t>
      </w:r>
      <w:r w:rsidRPr="00E42101">
        <w:rPr>
          <w:i/>
          <w:szCs w:val="16"/>
          <w:lang w:val="es-CR"/>
        </w:rPr>
        <w:t xml:space="preserve">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169.</w:t>
      </w:r>
    </w:p>
  </w:footnote>
  <w:footnote w:id="117">
    <w:p w14:paraId="2A790AA5" w14:textId="44B535C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 xml:space="preserve">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195, y 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sexta d</w:t>
      </w:r>
      <w:r w:rsidRPr="00E42101">
        <w:rPr>
          <w:iCs/>
          <w:szCs w:val="16"/>
          <w:lang w:val="es-CR"/>
        </w:rPr>
        <w:t>irectriz.</w:t>
      </w:r>
    </w:p>
  </w:footnote>
  <w:footnote w:id="118">
    <w:p w14:paraId="4DA336BD" w14:textId="77777777" w:rsidR="00604517" w:rsidRPr="00E84337" w:rsidRDefault="00604517" w:rsidP="00762D6A">
      <w:pPr>
        <w:pStyle w:val="Textonotapie"/>
        <w:rPr>
          <w:szCs w:val="16"/>
        </w:rPr>
      </w:pPr>
      <w:r w:rsidRPr="00E84337">
        <w:rPr>
          <w:rStyle w:val="Refdenotaalpie"/>
          <w:szCs w:val="16"/>
        </w:rPr>
        <w:footnoteRef/>
      </w:r>
      <w:r w:rsidRPr="00E84337">
        <w:rPr>
          <w:szCs w:val="16"/>
        </w:rPr>
        <w:t xml:space="preserve"> </w:t>
      </w:r>
      <w:r w:rsidRPr="009479F6">
        <w:rPr>
          <w:szCs w:val="16"/>
          <w:lang w:val="es-CR"/>
        </w:rPr>
        <w:t>ONU,</w:t>
      </w:r>
      <w:r>
        <w:rPr>
          <w:i/>
          <w:szCs w:val="16"/>
          <w:lang w:val="es-CR"/>
        </w:rPr>
        <w:t xml:space="preserve"> </w:t>
      </w:r>
      <w:r>
        <w:rPr>
          <w:szCs w:val="16"/>
          <w:lang w:val="es-CR"/>
        </w:rPr>
        <w:t>Resolución de la Asamblea General “</w:t>
      </w:r>
      <w:r w:rsidRPr="00A722B5">
        <w:rPr>
          <w:szCs w:val="16"/>
          <w:lang w:val="es-CR"/>
        </w:rPr>
        <w:t>Transformar nuestro mundo: la Agenda 2030 para el Desarrollo Sostenible</w:t>
      </w:r>
      <w:r>
        <w:rPr>
          <w:szCs w:val="16"/>
          <w:lang w:val="es-CR"/>
        </w:rPr>
        <w:t>”</w:t>
      </w:r>
      <w:r w:rsidRPr="00A722B5">
        <w:rPr>
          <w:szCs w:val="16"/>
          <w:lang w:val="es-CR"/>
        </w:rPr>
        <w:t xml:space="preserve"> A/70/L.1</w:t>
      </w:r>
      <w:r>
        <w:rPr>
          <w:szCs w:val="16"/>
          <w:lang w:val="es-CR"/>
        </w:rPr>
        <w:t xml:space="preserve"> aprobada el 25 de </w:t>
      </w:r>
      <w:r w:rsidRPr="00E42101">
        <w:rPr>
          <w:rFonts w:eastAsia="Times New Roman" w:cs="Arial"/>
          <w:szCs w:val="16"/>
          <w:shd w:val="clear" w:color="auto" w:fill="FFFFFF"/>
          <w:lang w:val="es-CR"/>
        </w:rPr>
        <w:t>sep</w:t>
      </w:r>
      <w:r>
        <w:rPr>
          <w:rFonts w:eastAsia="Times New Roman" w:cs="Arial"/>
          <w:szCs w:val="16"/>
          <w:shd w:val="clear" w:color="auto" w:fill="FFFFFF"/>
          <w:lang w:val="es-CR"/>
        </w:rPr>
        <w:t xml:space="preserve">tiembre de 2015, </w:t>
      </w:r>
      <w:proofErr w:type="spellStart"/>
      <w:r>
        <w:rPr>
          <w:rFonts w:eastAsia="Times New Roman" w:cs="Arial"/>
          <w:szCs w:val="16"/>
          <w:shd w:val="clear" w:color="auto" w:fill="FFFFFF"/>
          <w:lang w:val="es-CR"/>
        </w:rPr>
        <w:t>párrs</w:t>
      </w:r>
      <w:proofErr w:type="spellEnd"/>
      <w:r>
        <w:rPr>
          <w:rFonts w:eastAsia="Times New Roman" w:cs="Arial"/>
          <w:szCs w:val="16"/>
          <w:shd w:val="clear" w:color="auto" w:fill="FFFFFF"/>
          <w:lang w:val="es-CR"/>
        </w:rPr>
        <w:t xml:space="preserve">. 23, 55 y 66, objetivo 3, 3.3 y 3.8, disponible en </w:t>
      </w:r>
      <w:r w:rsidRPr="00A722B5">
        <w:rPr>
          <w:rFonts w:eastAsia="Times New Roman" w:cs="Arial"/>
          <w:szCs w:val="16"/>
          <w:shd w:val="clear" w:color="auto" w:fill="FFFFFF"/>
          <w:lang w:val="es-CR"/>
        </w:rPr>
        <w:t>https://undocs.org/es/A/RES/70/1</w:t>
      </w:r>
    </w:p>
  </w:footnote>
  <w:footnote w:id="119">
    <w:p w14:paraId="11F97099" w14:textId="17DF8C75"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 xml:space="preserve">Caso Gonzales </w:t>
      </w:r>
      <w:proofErr w:type="spellStart"/>
      <w:r w:rsidRPr="00E42101">
        <w:rPr>
          <w:rStyle w:val="Textoennegrita"/>
          <w:b w:val="0"/>
          <w:i/>
          <w:color w:val="000000"/>
          <w:szCs w:val="16"/>
          <w:shd w:val="clear" w:color="auto" w:fill="FFFFFF"/>
          <w:lang w:val="es-CR"/>
        </w:rPr>
        <w:t>Lluy</w:t>
      </w:r>
      <w:proofErr w:type="spellEnd"/>
      <w:r w:rsidRPr="00E42101">
        <w:rPr>
          <w:rStyle w:val="Textoennegrita"/>
          <w:b w:val="0"/>
          <w:i/>
          <w:color w:val="000000"/>
          <w:szCs w:val="16"/>
          <w:shd w:val="clear" w:color="auto" w:fill="FFFFFF"/>
          <w:lang w:val="es-CR"/>
        </w:rPr>
        <w:t xml:space="preserve"> y otros Vs. Ecuador. Excepciones Preliminares, Fondo, Reparaciones y Costas</w:t>
      </w:r>
      <w:r w:rsidRPr="00E42101">
        <w:rPr>
          <w:rStyle w:val="Textoennegrita"/>
          <w:b w:val="0"/>
          <w:color w:val="000000"/>
          <w:szCs w:val="16"/>
          <w:shd w:val="clear" w:color="auto" w:fill="FFFFFF"/>
          <w:lang w:val="es-CR"/>
        </w:rPr>
        <w:t>. Sentencia de 1 de septiembre de 2015. Serie C No. 298, párr. 196, y</w:t>
      </w:r>
      <w:r w:rsidRPr="00E42101">
        <w:rPr>
          <w:rStyle w:val="Textoennegrita"/>
          <w:b w:val="0"/>
          <w:i/>
          <w:color w:val="000000"/>
          <w:szCs w:val="16"/>
          <w:shd w:val="clear" w:color="auto" w:fill="FFFFFF"/>
          <w:lang w:val="es-CR"/>
        </w:rPr>
        <w:t xml:space="preserve"> Caso Duque Vs. Colombia. Excepciones Preliminares, Fondo, Reparaciones y Costas</w:t>
      </w:r>
      <w:r w:rsidRPr="00E42101">
        <w:rPr>
          <w:rStyle w:val="Textoennegrita"/>
          <w:b w:val="0"/>
          <w:color w:val="000000"/>
          <w:szCs w:val="16"/>
          <w:shd w:val="clear" w:color="auto" w:fill="FFFFFF"/>
          <w:lang w:val="es-CR"/>
        </w:rPr>
        <w:t>. Sentencia de 26 de febrero de 2016. Serie C No. 310, párr. 176.</w:t>
      </w:r>
    </w:p>
  </w:footnote>
  <w:footnote w:id="120">
    <w:p w14:paraId="0756394E" w14:textId="68D2D3EC"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Peritaje rendido por Ricardo Boza Cordero en la audiencia pública celebrada ante esta Corte e informe escrito sobre dicho peritaje (expediente de fondo, folio 1467).</w:t>
      </w:r>
    </w:p>
  </w:footnote>
  <w:footnote w:id="121">
    <w:p w14:paraId="4082BB72" w14:textId="27D05D8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sexta d</w:t>
      </w:r>
      <w:r w:rsidRPr="00E42101">
        <w:rPr>
          <w:iCs/>
          <w:szCs w:val="16"/>
          <w:lang w:val="es-CR"/>
        </w:rPr>
        <w:t>irectriz</w:t>
      </w:r>
      <w:r w:rsidRPr="00E42101">
        <w:rPr>
          <w:szCs w:val="16"/>
          <w:lang w:val="es-CR"/>
        </w:rPr>
        <w:t>, párr. 24.</w:t>
      </w:r>
    </w:p>
  </w:footnote>
  <w:footnote w:id="122">
    <w:p w14:paraId="725DEC1D" w14:textId="07450C5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Peritaje rendido por Ricardo Boza Cordero en la audiencia pública celebrada ante esta Corte e informe escrito sobre dicho peritaje (expediente de fondo, folio 1468).</w:t>
      </w:r>
    </w:p>
  </w:footnote>
  <w:footnote w:id="123">
    <w:p w14:paraId="1837FD5D" w14:textId="0C9AECE9"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Peritaje rendido por Ricardo Boza Cordero en la audiencia pública celebrada ante esta Corte e informe escrito sobre dicho peritaje (expediente de fondo, folio 1473).</w:t>
      </w:r>
    </w:p>
  </w:footnote>
  <w:footnote w:id="124">
    <w:p w14:paraId="36FF90C2" w14:textId="66666C4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Peritaje rendido por Ricardo Boza Cordero en la audiencia pública celebrada ante esta Corte e informe escrito sobre dicho peritaje (expediente de fondo, folio 1473).</w:t>
      </w:r>
    </w:p>
  </w:footnote>
  <w:footnote w:id="125">
    <w:p w14:paraId="05613042" w14:textId="0A92E84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sexta d</w:t>
      </w:r>
      <w:r w:rsidRPr="00E42101">
        <w:rPr>
          <w:iCs/>
          <w:szCs w:val="16"/>
          <w:lang w:val="es-CR"/>
        </w:rPr>
        <w:t>irectriz</w:t>
      </w:r>
      <w:r w:rsidRPr="00E42101">
        <w:rPr>
          <w:szCs w:val="16"/>
          <w:lang w:val="es-CR"/>
        </w:rPr>
        <w:t xml:space="preserve">, párr. 24. </w:t>
      </w:r>
    </w:p>
  </w:footnote>
  <w:footnote w:id="126">
    <w:p w14:paraId="7C84F5EA" w14:textId="3520732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Peritaje rendido por Ricardo Boza Cordero en la audiencia pública celebrada ante esta Corte e informe escrito sobre dicho peritaje (expediente de fondo, folio 1460).</w:t>
      </w:r>
    </w:p>
  </w:footnote>
  <w:footnote w:id="127">
    <w:p w14:paraId="703C1C35" w14:textId="2A5953E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sexta d</w:t>
      </w:r>
      <w:r w:rsidRPr="00E42101">
        <w:rPr>
          <w:iCs/>
          <w:szCs w:val="16"/>
          <w:lang w:val="es-CR"/>
        </w:rPr>
        <w:t>irectriz</w:t>
      </w:r>
      <w:r w:rsidRPr="00E42101">
        <w:rPr>
          <w:szCs w:val="16"/>
          <w:lang w:val="es-CR"/>
        </w:rPr>
        <w:t xml:space="preserve">, párr. 26. </w:t>
      </w:r>
    </w:p>
  </w:footnote>
  <w:footnote w:id="128">
    <w:p w14:paraId="4D130F5F" w14:textId="0628DAA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Programa Conjunto de las Naciones Unidas sobre el VIH/SIDA (ONUSIDA). HIV atención y apoyo. Atención y apoyo al VIH teniendo en cuenta las directrices unif</w:t>
      </w:r>
      <w:r>
        <w:rPr>
          <w:szCs w:val="16"/>
          <w:lang w:val="es-CR"/>
        </w:rPr>
        <w:t xml:space="preserve">icadas de 2016 de la OMS, </w:t>
      </w:r>
      <w:r w:rsidRPr="00E42101">
        <w:rPr>
          <w:szCs w:val="16"/>
          <w:lang w:val="es-CR"/>
        </w:rPr>
        <w:t xml:space="preserve">pág. 12. </w:t>
      </w:r>
    </w:p>
  </w:footnote>
  <w:footnote w:id="129">
    <w:p w14:paraId="6F417B90" w14:textId="01A8EE4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Programa Conjunto de las Naciones Unidas sobre el VIH/SIDA (ONUSIDA). HIV atención y apoyo. Atención y apoyo al VIH teniendo en cuenta las directrices unificadas de 2016 de la OMS, pág. 22.</w:t>
      </w:r>
    </w:p>
  </w:footnote>
  <w:footnote w:id="130">
    <w:p w14:paraId="3E2E2B2A" w14:textId="1EE61215"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Programa Conjunto de las Naciones Unidas sobre el VIH/SIDA (ONUSIDA). HIV atención y apoyo. Atención y apoyo al VIH teniendo en cuenta las directrices un</w:t>
      </w:r>
      <w:r>
        <w:rPr>
          <w:szCs w:val="16"/>
          <w:lang w:val="es-CR"/>
        </w:rPr>
        <w:t xml:space="preserve">ificadas de 2016 de la OMS, </w:t>
      </w:r>
      <w:r w:rsidRPr="00E42101">
        <w:rPr>
          <w:szCs w:val="16"/>
          <w:lang w:val="es-CR"/>
        </w:rPr>
        <w:t>pág. 26.</w:t>
      </w:r>
    </w:p>
  </w:footnote>
  <w:footnote w:id="131">
    <w:p w14:paraId="009A27A0" w14:textId="5D91841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195, y </w:t>
      </w:r>
      <w:r w:rsidRPr="00E42101">
        <w:rPr>
          <w:i/>
          <w:szCs w:val="16"/>
          <w:lang w:val="es-CR"/>
        </w:rPr>
        <w:t>Caso Duque Vs. Colombia. Excepciones Preliminares, Fondo, Reparaciones y Costas.</w:t>
      </w:r>
      <w:r w:rsidRPr="00E42101">
        <w:rPr>
          <w:szCs w:val="16"/>
          <w:lang w:val="es-CR"/>
        </w:rPr>
        <w:t xml:space="preserve"> Sentencia de 26 de febrero de 2016. Serie C No. 310, párr. 176.</w:t>
      </w:r>
    </w:p>
  </w:footnote>
  <w:footnote w:id="132">
    <w:p w14:paraId="7527AA95" w14:textId="210EDA74"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Escrito de contestación del Estado (expediente de fondo, folio 853).</w:t>
      </w:r>
    </w:p>
  </w:footnote>
  <w:footnote w:id="133">
    <w:p w14:paraId="2EF21865" w14:textId="7F64543A"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Informe de acciones tomadas por el Estado para el seguimiento y cumplimiento de las medidas cautelares ordenadas (expediente de prueba, folio 231).</w:t>
      </w:r>
    </w:p>
  </w:footnote>
  <w:footnote w:id="134">
    <w:p w14:paraId="097CB4EC" w14:textId="74647BA9"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Observaciones del Estado de Guatemala sobre las observaciones al informe de admisibilidad No. 32/05 (expediente de prueba, folios 347 y 348).</w:t>
      </w:r>
    </w:p>
  </w:footnote>
  <w:footnote w:id="135">
    <w:p w14:paraId="6D60B17B" w14:textId="702A9884" w:rsidR="00604517" w:rsidRPr="007D45BD" w:rsidRDefault="00604517">
      <w:pPr>
        <w:pStyle w:val="Textonotapie"/>
        <w:rPr>
          <w:lang w:val="es-CR"/>
        </w:rPr>
      </w:pPr>
      <w:r w:rsidRPr="00B44112">
        <w:rPr>
          <w:rStyle w:val="Refdenotaalpie"/>
        </w:rPr>
        <w:footnoteRef/>
      </w:r>
      <w:r w:rsidRPr="00B44112">
        <w:t xml:space="preserve"> </w:t>
      </w:r>
      <w:r w:rsidRPr="00B44112">
        <w:tab/>
        <w:t xml:space="preserve">En este supuesto se encuentran las personas señaladas como víctimas en el anexo 2 de la presente Sentencia, con excepción del señor </w:t>
      </w:r>
      <w:proofErr w:type="spellStart"/>
      <w:r>
        <w:rPr>
          <w:rFonts w:eastAsia="Times" w:cs="Arial"/>
          <w:lang w:val="es-MX"/>
        </w:rPr>
        <w:t>Fe</w:t>
      </w:r>
      <w:r w:rsidRPr="00B44112">
        <w:rPr>
          <w:rFonts w:eastAsia="Times" w:cs="Arial"/>
          <w:lang w:val="es-MX"/>
        </w:rPr>
        <w:t>lix</w:t>
      </w:r>
      <w:proofErr w:type="spellEnd"/>
      <w:r w:rsidRPr="00B44112">
        <w:rPr>
          <w:rFonts w:eastAsia="Times" w:cs="Arial"/>
          <w:lang w:val="es-MX"/>
        </w:rPr>
        <w:t xml:space="preserve"> de Jesús Cabrera Morales.</w:t>
      </w:r>
    </w:p>
  </w:footnote>
  <w:footnote w:id="136">
    <w:p w14:paraId="26990881" w14:textId="7B6C7253" w:rsidR="00604517" w:rsidRPr="00E42101" w:rsidRDefault="00604517" w:rsidP="00E47BD5">
      <w:pPr>
        <w:pStyle w:val="Textonotapie"/>
        <w:spacing w:before="0" w:after="0"/>
        <w:rPr>
          <w:szCs w:val="16"/>
          <w:lang w:val="es-CR"/>
        </w:rPr>
      </w:pPr>
      <w:r w:rsidRPr="00E42101">
        <w:rPr>
          <w:rStyle w:val="Refdenotaalpie"/>
          <w:szCs w:val="16"/>
          <w:lang w:val="es-CR"/>
        </w:rPr>
        <w:footnoteRef/>
      </w:r>
      <w:r w:rsidRPr="00E42101">
        <w:rPr>
          <w:szCs w:val="16"/>
          <w:lang w:val="es-CR"/>
        </w:rPr>
        <w:tab/>
        <w:t>En este supuesto se encuentran las siguientes personas: José Cupertino Ramírez, Sebastián Emilio Dueñas, Ju</w:t>
      </w:r>
      <w:r>
        <w:rPr>
          <w:szCs w:val="16"/>
          <w:lang w:val="es-CR"/>
        </w:rPr>
        <w:t xml:space="preserve">lia Aguilar, Luis Rubén Isabel </w:t>
      </w:r>
      <w:proofErr w:type="spellStart"/>
      <w:r>
        <w:rPr>
          <w:szCs w:val="16"/>
          <w:lang w:val="es-CR"/>
        </w:rPr>
        <w:t>A</w:t>
      </w:r>
      <w:r w:rsidRPr="00E42101">
        <w:rPr>
          <w:szCs w:val="16"/>
          <w:lang w:val="es-CR"/>
        </w:rPr>
        <w:t>lvarez</w:t>
      </w:r>
      <w:proofErr w:type="spellEnd"/>
      <w:r>
        <w:rPr>
          <w:szCs w:val="16"/>
          <w:lang w:val="es-CR"/>
        </w:rPr>
        <w:t xml:space="preserve"> Flores, </w:t>
      </w:r>
      <w:proofErr w:type="spellStart"/>
      <w:r>
        <w:rPr>
          <w:szCs w:val="16"/>
          <w:lang w:val="es-CR"/>
        </w:rPr>
        <w:t>Saira</w:t>
      </w:r>
      <w:proofErr w:type="spellEnd"/>
      <w:r>
        <w:rPr>
          <w:szCs w:val="16"/>
          <w:lang w:val="es-CR"/>
        </w:rPr>
        <w:t xml:space="preserve"> Elisa Barrios, </w:t>
      </w:r>
      <w:proofErr w:type="spellStart"/>
      <w:r>
        <w:rPr>
          <w:szCs w:val="16"/>
          <w:lang w:val="es-CR"/>
        </w:rPr>
        <w:t>Fe</w:t>
      </w:r>
      <w:r w:rsidRPr="00E42101">
        <w:rPr>
          <w:szCs w:val="16"/>
          <w:lang w:val="es-CR"/>
        </w:rPr>
        <w:t>lix</w:t>
      </w:r>
      <w:proofErr w:type="spellEnd"/>
      <w:r w:rsidRPr="00E42101">
        <w:rPr>
          <w:szCs w:val="16"/>
          <w:lang w:val="es-CR"/>
        </w:rPr>
        <w:t xml:space="preserve"> de Jesús Cabrera Morales, C</w:t>
      </w:r>
      <w:r>
        <w:rPr>
          <w:szCs w:val="16"/>
          <w:lang w:val="es-CR"/>
        </w:rPr>
        <w:t>é</w:t>
      </w:r>
      <w:r w:rsidRPr="00E42101">
        <w:rPr>
          <w:szCs w:val="16"/>
          <w:lang w:val="es-CR"/>
        </w:rPr>
        <w:t xml:space="preserve">sar Noé Cancinos Gómez, Aracely Cinto, Luis Rolando </w:t>
      </w:r>
      <w:proofErr w:type="spellStart"/>
      <w:r w:rsidRPr="00E42101">
        <w:rPr>
          <w:szCs w:val="16"/>
          <w:lang w:val="es-CR"/>
        </w:rPr>
        <w:t>Cuscul</w:t>
      </w:r>
      <w:proofErr w:type="spellEnd"/>
      <w:r w:rsidRPr="00E42101">
        <w:rPr>
          <w:szCs w:val="16"/>
          <w:lang w:val="es-CR"/>
        </w:rPr>
        <w:t xml:space="preserve"> Pivaral, María Felipe Pérez, </w:t>
      </w:r>
      <w:proofErr w:type="spellStart"/>
      <w:r w:rsidRPr="00E42101">
        <w:rPr>
          <w:szCs w:val="16"/>
          <w:lang w:val="es-CR"/>
        </w:rPr>
        <w:t>Mardo</w:t>
      </w:r>
      <w:proofErr w:type="spellEnd"/>
      <w:r w:rsidRPr="00E42101">
        <w:rPr>
          <w:szCs w:val="16"/>
          <w:lang w:val="es-CR"/>
        </w:rPr>
        <w:t xml:space="preserve"> Luis Hernández y Hernández, Luis Armando Linares Ruano, Darinel López Montes de Oca, </w:t>
      </w:r>
      <w:proofErr w:type="spellStart"/>
      <w:r w:rsidRPr="00E42101">
        <w:rPr>
          <w:szCs w:val="16"/>
          <w:lang w:val="es-CR"/>
        </w:rPr>
        <w:t>Audencio</w:t>
      </w:r>
      <w:proofErr w:type="spellEnd"/>
      <w:r w:rsidRPr="00E42101">
        <w:rPr>
          <w:szCs w:val="16"/>
          <w:lang w:val="es-CR"/>
        </w:rPr>
        <w:t xml:space="preserve"> Rodas R</w:t>
      </w:r>
      <w:r>
        <w:rPr>
          <w:szCs w:val="16"/>
          <w:lang w:val="es-CR"/>
        </w:rPr>
        <w:t>odríguez, Zoila Marina Pérez Ruí</w:t>
      </w:r>
      <w:r w:rsidRPr="00E42101">
        <w:rPr>
          <w:szCs w:val="16"/>
          <w:lang w:val="es-CR"/>
        </w:rPr>
        <w:t xml:space="preserve">z, Santiago Francisco </w:t>
      </w:r>
      <w:proofErr w:type="spellStart"/>
      <w:r w:rsidRPr="00E42101">
        <w:rPr>
          <w:szCs w:val="16"/>
          <w:lang w:val="es-CR"/>
        </w:rPr>
        <w:t>Valdéz</w:t>
      </w:r>
      <w:proofErr w:type="spellEnd"/>
      <w:r w:rsidRPr="00E42101">
        <w:rPr>
          <w:szCs w:val="16"/>
          <w:lang w:val="es-CR"/>
        </w:rPr>
        <w:t xml:space="preserve"> Aguilar, Karen Judith Samayoa Vásquez, Francisco </w:t>
      </w:r>
      <w:proofErr w:type="spellStart"/>
      <w:r w:rsidRPr="00E42101">
        <w:rPr>
          <w:szCs w:val="16"/>
          <w:lang w:val="es-CR"/>
        </w:rPr>
        <w:t>Sop</w:t>
      </w:r>
      <w:proofErr w:type="spellEnd"/>
      <w:r w:rsidRPr="00E42101">
        <w:rPr>
          <w:szCs w:val="16"/>
          <w:lang w:val="es-CR"/>
        </w:rPr>
        <w:t xml:space="preserve"> </w:t>
      </w:r>
      <w:proofErr w:type="spellStart"/>
      <w:r w:rsidRPr="00E42101">
        <w:rPr>
          <w:szCs w:val="16"/>
          <w:lang w:val="es-CR"/>
        </w:rPr>
        <w:t>Quiej</w:t>
      </w:r>
      <w:proofErr w:type="spellEnd"/>
      <w:r w:rsidRPr="00E42101">
        <w:rPr>
          <w:szCs w:val="16"/>
          <w:lang w:val="es-CR"/>
        </w:rPr>
        <w:t xml:space="preserve">, Miguel Lucas </w:t>
      </w:r>
      <w:proofErr w:type="spellStart"/>
      <w:r w:rsidRPr="00E42101">
        <w:rPr>
          <w:szCs w:val="16"/>
          <w:lang w:val="es-CR"/>
        </w:rPr>
        <w:t>Vaíl</w:t>
      </w:r>
      <w:proofErr w:type="spellEnd"/>
      <w:r w:rsidRPr="00E42101">
        <w:rPr>
          <w:szCs w:val="16"/>
          <w:lang w:val="es-CR"/>
        </w:rPr>
        <w:t xml:space="preserve">, Sandra Lisbeth Zepeda Herrera, Petrona López Robledo, Juana Aguilar, </w:t>
      </w:r>
      <w:proofErr w:type="spellStart"/>
      <w:r w:rsidRPr="00E42101">
        <w:rPr>
          <w:szCs w:val="16"/>
          <w:lang w:val="es-CR"/>
        </w:rPr>
        <w:t>Ismerai</w:t>
      </w:r>
      <w:proofErr w:type="spellEnd"/>
      <w:r w:rsidRPr="00E42101">
        <w:rPr>
          <w:szCs w:val="16"/>
          <w:lang w:val="es-CR"/>
        </w:rPr>
        <w:t xml:space="preserve"> </w:t>
      </w:r>
      <w:proofErr w:type="spellStart"/>
      <w:r w:rsidRPr="00E42101">
        <w:rPr>
          <w:szCs w:val="16"/>
          <w:lang w:val="es-CR"/>
        </w:rPr>
        <w:t>Olibia</w:t>
      </w:r>
      <w:proofErr w:type="spellEnd"/>
      <w:r w:rsidRPr="00E42101">
        <w:rPr>
          <w:szCs w:val="16"/>
          <w:lang w:val="es-CR"/>
        </w:rPr>
        <w:t xml:space="preserve"> García</w:t>
      </w:r>
      <w:r>
        <w:rPr>
          <w:szCs w:val="16"/>
          <w:lang w:val="es-CR"/>
        </w:rPr>
        <w:t xml:space="preserve"> </w:t>
      </w:r>
      <w:proofErr w:type="spellStart"/>
      <w:r>
        <w:rPr>
          <w:szCs w:val="16"/>
          <w:lang w:val="es-CR"/>
        </w:rPr>
        <w:t>Castañon</w:t>
      </w:r>
      <w:proofErr w:type="spellEnd"/>
      <w:r w:rsidRPr="00E42101">
        <w:rPr>
          <w:szCs w:val="16"/>
          <w:lang w:val="es-CR"/>
        </w:rPr>
        <w:t xml:space="preserve">, Dora Marina Martínez </w:t>
      </w:r>
      <w:proofErr w:type="spellStart"/>
      <w:r w:rsidRPr="00E42101">
        <w:rPr>
          <w:szCs w:val="16"/>
          <w:lang w:val="es-CR"/>
        </w:rPr>
        <w:t>Sofoifa</w:t>
      </w:r>
      <w:proofErr w:type="spellEnd"/>
      <w:r w:rsidRPr="00E42101">
        <w:rPr>
          <w:szCs w:val="16"/>
          <w:lang w:val="es-CR"/>
        </w:rPr>
        <w:t xml:space="preserve">, Teresa Magdalena Ramírez Castro e Iris Carolina Vicente </w:t>
      </w:r>
      <w:r w:rsidR="00573F6B" w:rsidRPr="00E42101">
        <w:rPr>
          <w:szCs w:val="16"/>
          <w:lang w:val="es-CR"/>
        </w:rPr>
        <w:t>Ba</w:t>
      </w:r>
      <w:r w:rsidR="00573F6B">
        <w:rPr>
          <w:szCs w:val="16"/>
          <w:lang w:val="es-CR"/>
        </w:rPr>
        <w:t>ri</w:t>
      </w:r>
      <w:r w:rsidR="00573F6B" w:rsidRPr="00E42101">
        <w:rPr>
          <w:szCs w:val="16"/>
          <w:lang w:val="es-CR"/>
        </w:rPr>
        <w:t>llas</w:t>
      </w:r>
      <w:r w:rsidRPr="00E42101">
        <w:rPr>
          <w:szCs w:val="16"/>
          <w:lang w:val="es-CR"/>
        </w:rPr>
        <w:t>.</w:t>
      </w:r>
    </w:p>
    <w:p w14:paraId="1BC31A98" w14:textId="77777777" w:rsidR="00604517" w:rsidRPr="00E42101" w:rsidRDefault="00604517" w:rsidP="00E47BD5">
      <w:pPr>
        <w:pStyle w:val="Textonotapie"/>
        <w:spacing w:before="0" w:after="0"/>
        <w:rPr>
          <w:szCs w:val="16"/>
          <w:lang w:val="es-CR"/>
        </w:rPr>
      </w:pPr>
    </w:p>
  </w:footnote>
  <w:footnote w:id="137">
    <w:p w14:paraId="546A0FB6" w14:textId="7CB50C7D"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 xml:space="preserve">En este supuesto se encuentran las </w:t>
      </w:r>
      <w:r>
        <w:rPr>
          <w:sz w:val="16"/>
          <w:szCs w:val="16"/>
          <w:lang w:val="es-CR"/>
        </w:rPr>
        <w:t>siguientes personas: Guadalupe Herminia Cayaxon García, Juana Aguilar, Fe</w:t>
      </w:r>
      <w:r w:rsidRPr="00E42101">
        <w:rPr>
          <w:sz w:val="16"/>
          <w:szCs w:val="16"/>
          <w:lang w:val="es-CR"/>
        </w:rPr>
        <w:t xml:space="preserve">lix de Jesús </w:t>
      </w:r>
      <w:r>
        <w:rPr>
          <w:sz w:val="16"/>
          <w:szCs w:val="16"/>
          <w:lang w:val="es-CR"/>
        </w:rPr>
        <w:t>Cabrera Morales, Cé</w:t>
      </w:r>
      <w:r w:rsidRPr="00E42101">
        <w:rPr>
          <w:sz w:val="16"/>
          <w:szCs w:val="16"/>
          <w:lang w:val="es-CR"/>
        </w:rPr>
        <w:t>sar Noé Cancinos Gómez, Pascuala de Jesús Mérida Rodríguez, Dora Marina Martínez Sofoifa, Sandra Lisbeth Zepeda Herrera, Luis Armando Linares Ruano, Marta Alicia Maldonado Paz, Zoila Marina Pérez Ruíz, Miguel Lucas Va</w:t>
      </w:r>
      <w:r>
        <w:rPr>
          <w:sz w:val="16"/>
          <w:szCs w:val="16"/>
          <w:lang w:val="es-CR"/>
        </w:rPr>
        <w:t>í</w:t>
      </w:r>
      <w:r w:rsidRPr="00E42101">
        <w:rPr>
          <w:sz w:val="16"/>
          <w:szCs w:val="16"/>
          <w:lang w:val="es-CR"/>
        </w:rPr>
        <w:t xml:space="preserve">l y Silvia Mirtala </w:t>
      </w:r>
      <w:r>
        <w:rPr>
          <w:sz w:val="16"/>
          <w:szCs w:val="16"/>
          <w:lang w:val="es-CR"/>
        </w:rPr>
        <w:t>A</w:t>
      </w:r>
      <w:r w:rsidRPr="00E42101">
        <w:rPr>
          <w:sz w:val="16"/>
          <w:szCs w:val="16"/>
          <w:lang w:val="es-CR"/>
        </w:rPr>
        <w:t>lvarez Villatoro.</w:t>
      </w:r>
    </w:p>
    <w:p w14:paraId="475669F9" w14:textId="77777777" w:rsidR="00604517" w:rsidRPr="00E42101" w:rsidRDefault="00604517" w:rsidP="00E47BD5">
      <w:pPr>
        <w:rPr>
          <w:sz w:val="16"/>
          <w:szCs w:val="16"/>
          <w:lang w:val="es-CR"/>
        </w:rPr>
      </w:pPr>
    </w:p>
  </w:footnote>
  <w:footnote w:id="138">
    <w:p w14:paraId="03E99D4D" w14:textId="6A064A6F"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 xml:space="preserve">En este supuesto se encuentran las siguientes personas: José </w:t>
      </w:r>
      <w:r>
        <w:rPr>
          <w:sz w:val="16"/>
          <w:szCs w:val="16"/>
          <w:lang w:val="es-CR"/>
        </w:rPr>
        <w:t>Rubén Delgado López, Guadalupe Herminia Cayaxon García y Silvia Mirtala A</w:t>
      </w:r>
      <w:r w:rsidRPr="00E42101">
        <w:rPr>
          <w:sz w:val="16"/>
          <w:szCs w:val="16"/>
          <w:lang w:val="es-CR"/>
        </w:rPr>
        <w:t>lvarez Villatoro.</w:t>
      </w:r>
    </w:p>
    <w:p w14:paraId="344440D4" w14:textId="77777777" w:rsidR="00604517" w:rsidRPr="00E42101" w:rsidRDefault="00604517" w:rsidP="00E47BD5">
      <w:pPr>
        <w:rPr>
          <w:sz w:val="16"/>
          <w:szCs w:val="16"/>
          <w:lang w:val="es-CR"/>
        </w:rPr>
      </w:pPr>
    </w:p>
  </w:footnote>
  <w:footnote w:id="139">
    <w:p w14:paraId="0235A1D7" w14:textId="6F5F804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En este supuesto se encuentra</w:t>
      </w:r>
      <w:r>
        <w:rPr>
          <w:szCs w:val="16"/>
          <w:lang w:val="es-CR"/>
        </w:rPr>
        <w:t>n</w:t>
      </w:r>
      <w:r w:rsidRPr="00E42101">
        <w:rPr>
          <w:szCs w:val="16"/>
          <w:lang w:val="es-CR"/>
        </w:rPr>
        <w:t xml:space="preserve"> Rita Mariana Dubón Orozco y Petrona López Robledo, quienes no tuvieron acceso a ningún tipo de examen médico y ya fallecieron.</w:t>
      </w:r>
    </w:p>
  </w:footnote>
  <w:footnote w:id="140">
    <w:p w14:paraId="5E8E546D" w14:textId="29F3615A"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En este supuesto se encuentran las siguientes personas: Elsa Miriam Estrada Ruiz</w:t>
      </w:r>
      <w:r>
        <w:rPr>
          <w:szCs w:val="16"/>
          <w:lang w:val="es-CR"/>
        </w:rPr>
        <w:t xml:space="preserve"> y</w:t>
      </w:r>
      <w:r w:rsidRPr="00E42101">
        <w:rPr>
          <w:szCs w:val="16"/>
          <w:lang w:val="es-CR"/>
        </w:rPr>
        <w:t xml:space="preserve"> Sebastián</w:t>
      </w:r>
      <w:r>
        <w:rPr>
          <w:szCs w:val="16"/>
          <w:lang w:val="es-CR"/>
        </w:rPr>
        <w:t xml:space="preserve"> Emilio Dueñas</w:t>
      </w:r>
      <w:r w:rsidRPr="00E42101">
        <w:rPr>
          <w:szCs w:val="16"/>
          <w:lang w:val="es-CR"/>
        </w:rPr>
        <w:t>, a quienes no les han sido practicados los exámenes de Carga Viral y/o CD4.</w:t>
      </w:r>
    </w:p>
  </w:footnote>
  <w:footnote w:id="141">
    <w:p w14:paraId="1549B098" w14:textId="31637F9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En este supuesto se encuentran las siguientes personas: Luis Edwin Cruz Gra</w:t>
      </w:r>
      <w:r>
        <w:rPr>
          <w:szCs w:val="16"/>
          <w:lang w:val="es-CR"/>
        </w:rPr>
        <w:t xml:space="preserve">majo, Felipe </w:t>
      </w:r>
      <w:proofErr w:type="spellStart"/>
      <w:r>
        <w:rPr>
          <w:szCs w:val="16"/>
          <w:lang w:val="es-CR"/>
        </w:rPr>
        <w:t>Tebalan</w:t>
      </w:r>
      <w:proofErr w:type="spellEnd"/>
      <w:r>
        <w:rPr>
          <w:szCs w:val="16"/>
          <w:lang w:val="es-CR"/>
        </w:rPr>
        <w:t xml:space="preserve"> Ordoñez, </w:t>
      </w:r>
      <w:proofErr w:type="spellStart"/>
      <w:r>
        <w:rPr>
          <w:szCs w:val="16"/>
          <w:lang w:val="es-CR"/>
        </w:rPr>
        <w:t>Felix</w:t>
      </w:r>
      <w:proofErr w:type="spellEnd"/>
      <w:r>
        <w:rPr>
          <w:szCs w:val="16"/>
          <w:lang w:val="es-CR"/>
        </w:rPr>
        <w:t xml:space="preserve"> de </w:t>
      </w:r>
      <w:proofErr w:type="spellStart"/>
      <w:r>
        <w:rPr>
          <w:szCs w:val="16"/>
          <w:lang w:val="es-CR"/>
        </w:rPr>
        <w:t>Jesus</w:t>
      </w:r>
      <w:proofErr w:type="spellEnd"/>
      <w:r>
        <w:rPr>
          <w:szCs w:val="16"/>
          <w:lang w:val="es-CR"/>
        </w:rPr>
        <w:t xml:space="preserve"> Cabrera Morales, Cé</w:t>
      </w:r>
      <w:r w:rsidRPr="00E42101">
        <w:rPr>
          <w:szCs w:val="16"/>
          <w:lang w:val="es-CR"/>
        </w:rPr>
        <w:t xml:space="preserve">sar Noé Cancinos Gómez, Luis Rolando </w:t>
      </w:r>
      <w:proofErr w:type="spellStart"/>
      <w:r w:rsidRPr="00E42101">
        <w:rPr>
          <w:szCs w:val="16"/>
          <w:lang w:val="es-CR"/>
        </w:rPr>
        <w:t>Cuscul</w:t>
      </w:r>
      <w:proofErr w:type="spellEnd"/>
      <w:r w:rsidRPr="00E42101">
        <w:rPr>
          <w:szCs w:val="16"/>
          <w:lang w:val="es-CR"/>
        </w:rPr>
        <w:t xml:space="preserve"> Pivaral, María Felipe Pérez, </w:t>
      </w:r>
      <w:proofErr w:type="spellStart"/>
      <w:r w:rsidRPr="00E42101">
        <w:rPr>
          <w:szCs w:val="16"/>
          <w:lang w:val="es-CR"/>
        </w:rPr>
        <w:t>Mardo</w:t>
      </w:r>
      <w:proofErr w:type="spellEnd"/>
      <w:r w:rsidRPr="00E42101">
        <w:rPr>
          <w:szCs w:val="16"/>
          <w:lang w:val="es-CR"/>
        </w:rPr>
        <w:t xml:space="preserve"> Luis Hernánd</w:t>
      </w:r>
      <w:r>
        <w:rPr>
          <w:szCs w:val="16"/>
          <w:lang w:val="es-CR"/>
        </w:rPr>
        <w:t>ez y Hernández, Pascuala de Jesú</w:t>
      </w:r>
      <w:r w:rsidRPr="00E42101">
        <w:rPr>
          <w:szCs w:val="16"/>
          <w:lang w:val="es-CR"/>
        </w:rPr>
        <w:t>s Mérida Rodríguez</w:t>
      </w:r>
      <w:r>
        <w:rPr>
          <w:szCs w:val="16"/>
          <w:lang w:val="es-CR"/>
        </w:rPr>
        <w:t xml:space="preserve">, </w:t>
      </w:r>
      <w:proofErr w:type="spellStart"/>
      <w:r w:rsidRPr="00E42101">
        <w:rPr>
          <w:szCs w:val="16"/>
          <w:lang w:val="es-CR"/>
        </w:rPr>
        <w:t>Ismerai</w:t>
      </w:r>
      <w:proofErr w:type="spellEnd"/>
      <w:r w:rsidRPr="00E42101">
        <w:rPr>
          <w:szCs w:val="16"/>
          <w:lang w:val="es-CR"/>
        </w:rPr>
        <w:t xml:space="preserve"> </w:t>
      </w:r>
      <w:proofErr w:type="spellStart"/>
      <w:r w:rsidRPr="00E42101">
        <w:rPr>
          <w:szCs w:val="16"/>
          <w:lang w:val="es-CR"/>
        </w:rPr>
        <w:t>Olibia</w:t>
      </w:r>
      <w:proofErr w:type="spellEnd"/>
      <w:r w:rsidRPr="00E42101">
        <w:rPr>
          <w:szCs w:val="16"/>
          <w:lang w:val="es-CR"/>
        </w:rPr>
        <w:t xml:space="preserve"> García </w:t>
      </w:r>
      <w:proofErr w:type="spellStart"/>
      <w:r w:rsidRPr="00E42101">
        <w:rPr>
          <w:szCs w:val="16"/>
          <w:lang w:val="es-CR"/>
        </w:rPr>
        <w:t>Castañon</w:t>
      </w:r>
      <w:proofErr w:type="spellEnd"/>
      <w:r w:rsidRPr="00E42101">
        <w:rPr>
          <w:szCs w:val="16"/>
          <w:lang w:val="es-CR"/>
        </w:rPr>
        <w:t xml:space="preserve"> y al señor </w:t>
      </w:r>
      <w:proofErr w:type="spellStart"/>
      <w:r w:rsidRPr="00E42101">
        <w:rPr>
          <w:szCs w:val="16"/>
          <w:lang w:val="es-CR"/>
        </w:rPr>
        <w:t>Audencio</w:t>
      </w:r>
      <w:proofErr w:type="spellEnd"/>
      <w:r w:rsidRPr="00E42101">
        <w:rPr>
          <w:szCs w:val="16"/>
          <w:lang w:val="es-CR"/>
        </w:rPr>
        <w:t xml:space="preserve"> Rodas Rodríguez, a quienes no les fueron practicados los exámenes de genotipo y/o fenotipo.</w:t>
      </w:r>
    </w:p>
  </w:footnote>
  <w:footnote w:id="142">
    <w:p w14:paraId="47087D47" w14:textId="7995580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En este supuesto se encuentran las siguientes</w:t>
      </w:r>
      <w:r>
        <w:rPr>
          <w:szCs w:val="16"/>
          <w:lang w:val="es-CR"/>
        </w:rPr>
        <w:t xml:space="preserve"> personas: María Blanca </w:t>
      </w:r>
      <w:proofErr w:type="spellStart"/>
      <w:r>
        <w:rPr>
          <w:szCs w:val="16"/>
          <w:lang w:val="es-CR"/>
        </w:rPr>
        <w:t>Vaí</w:t>
      </w:r>
      <w:r w:rsidRPr="00E42101">
        <w:rPr>
          <w:szCs w:val="16"/>
          <w:lang w:val="es-CR"/>
        </w:rPr>
        <w:t>l</w:t>
      </w:r>
      <w:proofErr w:type="spellEnd"/>
      <w:r w:rsidRPr="00E42101">
        <w:rPr>
          <w:szCs w:val="16"/>
          <w:lang w:val="es-CR"/>
        </w:rPr>
        <w:t xml:space="preserve"> López, José Rubén</w:t>
      </w:r>
      <w:r>
        <w:rPr>
          <w:szCs w:val="16"/>
          <w:lang w:val="es-CR"/>
        </w:rPr>
        <w:t xml:space="preserve"> Delgado López, Silvia Mirtala </w:t>
      </w:r>
      <w:proofErr w:type="spellStart"/>
      <w:r>
        <w:rPr>
          <w:szCs w:val="16"/>
          <w:lang w:val="es-CR"/>
        </w:rPr>
        <w:t>A</w:t>
      </w:r>
      <w:r w:rsidRPr="00E42101">
        <w:rPr>
          <w:szCs w:val="16"/>
          <w:lang w:val="es-CR"/>
        </w:rPr>
        <w:t>lvar</w:t>
      </w:r>
      <w:r>
        <w:rPr>
          <w:szCs w:val="16"/>
          <w:lang w:val="es-CR"/>
        </w:rPr>
        <w:t>ez</w:t>
      </w:r>
      <w:proofErr w:type="spellEnd"/>
      <w:r>
        <w:rPr>
          <w:szCs w:val="16"/>
          <w:lang w:val="es-CR"/>
        </w:rPr>
        <w:t xml:space="preserve"> Villatoro, Melvin </w:t>
      </w:r>
      <w:proofErr w:type="spellStart"/>
      <w:r>
        <w:rPr>
          <w:szCs w:val="16"/>
          <w:lang w:val="es-CR"/>
        </w:rPr>
        <w:t>Yovani</w:t>
      </w:r>
      <w:proofErr w:type="spellEnd"/>
      <w:r>
        <w:rPr>
          <w:szCs w:val="16"/>
          <w:lang w:val="es-CR"/>
        </w:rPr>
        <w:t xml:space="preserve"> Ajtu</w:t>
      </w:r>
      <w:r w:rsidRPr="00E42101">
        <w:rPr>
          <w:szCs w:val="16"/>
          <w:lang w:val="es-CR"/>
        </w:rPr>
        <w:t xml:space="preserve">n Escobar, José Cupertino Ramírez, Julia Aguilar, Felipe </w:t>
      </w:r>
      <w:proofErr w:type="spellStart"/>
      <w:r w:rsidRPr="00E42101">
        <w:rPr>
          <w:szCs w:val="16"/>
          <w:lang w:val="es-CR"/>
        </w:rPr>
        <w:t>Teba</w:t>
      </w:r>
      <w:r>
        <w:rPr>
          <w:szCs w:val="16"/>
          <w:lang w:val="es-CR"/>
        </w:rPr>
        <w:t>lan</w:t>
      </w:r>
      <w:proofErr w:type="spellEnd"/>
      <w:r>
        <w:rPr>
          <w:szCs w:val="16"/>
          <w:lang w:val="es-CR"/>
        </w:rPr>
        <w:t xml:space="preserve"> Ordoñez, Luis Rubén Isabel </w:t>
      </w:r>
      <w:proofErr w:type="spellStart"/>
      <w:r>
        <w:rPr>
          <w:szCs w:val="16"/>
          <w:lang w:val="es-CR"/>
        </w:rPr>
        <w:t>A</w:t>
      </w:r>
      <w:r w:rsidRPr="00E42101">
        <w:rPr>
          <w:szCs w:val="16"/>
          <w:lang w:val="es-CR"/>
        </w:rPr>
        <w:t>lvarez</w:t>
      </w:r>
      <w:proofErr w:type="spellEnd"/>
      <w:r w:rsidRPr="00E42101">
        <w:rPr>
          <w:szCs w:val="16"/>
          <w:lang w:val="es-CR"/>
        </w:rPr>
        <w:t xml:space="preserve"> Flores, </w:t>
      </w:r>
      <w:proofErr w:type="spellStart"/>
      <w:r w:rsidRPr="00E42101">
        <w:rPr>
          <w:szCs w:val="16"/>
          <w:lang w:val="es-CR"/>
        </w:rPr>
        <w:t>Fe</w:t>
      </w:r>
      <w:r>
        <w:rPr>
          <w:szCs w:val="16"/>
          <w:lang w:val="es-CR"/>
        </w:rPr>
        <w:t>lix</w:t>
      </w:r>
      <w:proofErr w:type="spellEnd"/>
      <w:r>
        <w:rPr>
          <w:szCs w:val="16"/>
          <w:lang w:val="es-CR"/>
        </w:rPr>
        <w:t xml:space="preserve"> de Jesús Cabrera Morales, Cé</w:t>
      </w:r>
      <w:r w:rsidRPr="00E42101">
        <w:rPr>
          <w:szCs w:val="16"/>
          <w:lang w:val="es-CR"/>
        </w:rPr>
        <w:t xml:space="preserve">sar Noé Cancinos Gómez, Aracely Cinto, María Felipe Pérez, Santos </w:t>
      </w:r>
      <w:proofErr w:type="spellStart"/>
      <w:r w:rsidRPr="00E42101">
        <w:rPr>
          <w:szCs w:val="16"/>
          <w:lang w:val="es-CR"/>
        </w:rPr>
        <w:t>Isacar</w:t>
      </w:r>
      <w:proofErr w:type="spellEnd"/>
      <w:r w:rsidRPr="00E42101">
        <w:rPr>
          <w:szCs w:val="16"/>
          <w:lang w:val="es-CR"/>
        </w:rPr>
        <w:t xml:space="preserve"> </w:t>
      </w:r>
      <w:proofErr w:type="spellStart"/>
      <w:r w:rsidRPr="00E42101">
        <w:rPr>
          <w:szCs w:val="16"/>
          <w:lang w:val="es-CR"/>
        </w:rPr>
        <w:t>Vasquez</w:t>
      </w:r>
      <w:proofErr w:type="spellEnd"/>
      <w:r w:rsidRPr="00E42101">
        <w:rPr>
          <w:szCs w:val="16"/>
          <w:lang w:val="es-CR"/>
        </w:rPr>
        <w:t xml:space="preserve"> Barrios, Luis Armando Linares Ruano, Marta Alicia Maldonado Paz, Dora Marina Ma</w:t>
      </w:r>
      <w:r>
        <w:rPr>
          <w:szCs w:val="16"/>
          <w:lang w:val="es-CR"/>
        </w:rPr>
        <w:t xml:space="preserve">rtínez </w:t>
      </w:r>
      <w:proofErr w:type="spellStart"/>
      <w:r>
        <w:rPr>
          <w:szCs w:val="16"/>
          <w:lang w:val="es-CR"/>
        </w:rPr>
        <w:t>Sofoifa</w:t>
      </w:r>
      <w:proofErr w:type="spellEnd"/>
      <w:r>
        <w:rPr>
          <w:szCs w:val="16"/>
          <w:lang w:val="es-CR"/>
        </w:rPr>
        <w:t>, Pascuala de Jesú</w:t>
      </w:r>
      <w:r w:rsidRPr="00E42101">
        <w:rPr>
          <w:szCs w:val="16"/>
          <w:lang w:val="es-CR"/>
        </w:rPr>
        <w:t xml:space="preserve">s Mérida Rodríguez, Darinel López Montes de Oca, Israel Pérez Charal, </w:t>
      </w:r>
      <w:proofErr w:type="spellStart"/>
      <w:r w:rsidRPr="00E42101">
        <w:rPr>
          <w:szCs w:val="16"/>
          <w:lang w:val="es-CR"/>
        </w:rPr>
        <w:t>Audencio</w:t>
      </w:r>
      <w:proofErr w:type="spellEnd"/>
      <w:r w:rsidRPr="00E42101">
        <w:rPr>
          <w:szCs w:val="16"/>
          <w:lang w:val="es-CR"/>
        </w:rPr>
        <w:t xml:space="preserve"> Rodas R</w:t>
      </w:r>
      <w:r>
        <w:rPr>
          <w:szCs w:val="16"/>
          <w:lang w:val="es-CR"/>
        </w:rPr>
        <w:t>odríguez, Zoila Marina Pérez Ruí</w:t>
      </w:r>
      <w:r w:rsidRPr="00E42101">
        <w:rPr>
          <w:szCs w:val="16"/>
          <w:lang w:val="es-CR"/>
        </w:rPr>
        <w:t xml:space="preserve">z, Santiago Francisco </w:t>
      </w:r>
      <w:proofErr w:type="spellStart"/>
      <w:r w:rsidRPr="00E42101">
        <w:rPr>
          <w:szCs w:val="16"/>
          <w:lang w:val="es-CR"/>
        </w:rPr>
        <w:t>Valdéz</w:t>
      </w:r>
      <w:proofErr w:type="spellEnd"/>
      <w:r w:rsidRPr="00E42101">
        <w:rPr>
          <w:szCs w:val="16"/>
          <w:lang w:val="es-CR"/>
        </w:rPr>
        <w:t xml:space="preserve"> Aguilar, Teresa Magdalena Ramírez Castro, Karen Judith Samayoa Vásquez, Francisco </w:t>
      </w:r>
      <w:proofErr w:type="spellStart"/>
      <w:r w:rsidRPr="00E42101">
        <w:rPr>
          <w:szCs w:val="16"/>
          <w:lang w:val="es-CR"/>
        </w:rPr>
        <w:t>Sop</w:t>
      </w:r>
      <w:proofErr w:type="spellEnd"/>
      <w:r w:rsidRPr="00E42101">
        <w:rPr>
          <w:szCs w:val="16"/>
          <w:lang w:val="es-CR"/>
        </w:rPr>
        <w:t xml:space="preserve"> </w:t>
      </w:r>
      <w:proofErr w:type="spellStart"/>
      <w:r w:rsidRPr="00E42101">
        <w:rPr>
          <w:szCs w:val="16"/>
          <w:lang w:val="es-CR"/>
        </w:rPr>
        <w:t>Quiej</w:t>
      </w:r>
      <w:proofErr w:type="spellEnd"/>
      <w:r w:rsidRPr="00E42101">
        <w:rPr>
          <w:szCs w:val="16"/>
          <w:lang w:val="es-CR"/>
        </w:rPr>
        <w:t xml:space="preserve">, Jorge Armando Tavares Barreno, Miguel Lucas </w:t>
      </w:r>
      <w:proofErr w:type="spellStart"/>
      <w:r w:rsidRPr="00E42101">
        <w:rPr>
          <w:szCs w:val="16"/>
          <w:lang w:val="es-CR"/>
        </w:rPr>
        <w:t>Vaíl</w:t>
      </w:r>
      <w:proofErr w:type="spellEnd"/>
      <w:r w:rsidRPr="00E42101">
        <w:rPr>
          <w:szCs w:val="16"/>
          <w:lang w:val="es-CR"/>
        </w:rPr>
        <w:t xml:space="preserve">, Santos Vásquez Oliveros, Sandra Lisbeth Zepeda Herrera, Guadalupe </w:t>
      </w:r>
      <w:r>
        <w:rPr>
          <w:szCs w:val="16"/>
          <w:lang w:val="es-CR"/>
        </w:rPr>
        <w:t xml:space="preserve">Herminia </w:t>
      </w:r>
      <w:proofErr w:type="spellStart"/>
      <w:r>
        <w:rPr>
          <w:szCs w:val="16"/>
          <w:lang w:val="es-CR"/>
        </w:rPr>
        <w:t>Cayaxo</w:t>
      </w:r>
      <w:r w:rsidRPr="00E42101">
        <w:rPr>
          <w:szCs w:val="16"/>
          <w:lang w:val="es-CR"/>
        </w:rPr>
        <w:t>n</w:t>
      </w:r>
      <w:proofErr w:type="spellEnd"/>
      <w:r w:rsidRPr="00E42101">
        <w:rPr>
          <w:szCs w:val="16"/>
          <w:lang w:val="es-CR"/>
        </w:rPr>
        <w:t xml:space="preserve"> García y Martina Candelaria Álvarez Estrada, quienes sufrieron de acceso deficiente o irregular a exámenes ya sea de carga viral, CD4, genotipo o fenotipo, o bien manifestaron haber tenido que cubrir el costo de los mismos.</w:t>
      </w:r>
    </w:p>
  </w:footnote>
  <w:footnote w:id="143">
    <w:p w14:paraId="2BBAE044" w14:textId="47AE1ECF"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Respecto a Ingrid Janeth Barillas Martínez, Olga Marina Castillo, Juana Agu</w:t>
      </w:r>
      <w:r>
        <w:rPr>
          <w:szCs w:val="16"/>
          <w:lang w:val="es-CR"/>
        </w:rPr>
        <w:t xml:space="preserve">ilar, Iris Carolina Vicente </w:t>
      </w:r>
      <w:r w:rsidR="00573F6B">
        <w:rPr>
          <w:szCs w:val="16"/>
          <w:lang w:val="es-CR"/>
        </w:rPr>
        <w:t>Bari</w:t>
      </w:r>
      <w:r w:rsidR="00573F6B" w:rsidRPr="00E42101">
        <w:rPr>
          <w:szCs w:val="16"/>
          <w:lang w:val="es-CR"/>
        </w:rPr>
        <w:t xml:space="preserve">llas </w:t>
      </w:r>
      <w:r w:rsidRPr="00E42101">
        <w:rPr>
          <w:szCs w:val="16"/>
          <w:lang w:val="es-CR"/>
        </w:rPr>
        <w:t xml:space="preserve">y </w:t>
      </w:r>
      <w:proofErr w:type="spellStart"/>
      <w:r w:rsidRPr="00E42101">
        <w:rPr>
          <w:szCs w:val="16"/>
          <w:lang w:val="es-CR"/>
        </w:rPr>
        <w:t>Saira</w:t>
      </w:r>
      <w:proofErr w:type="spellEnd"/>
      <w:r w:rsidRPr="00E42101">
        <w:rPr>
          <w:szCs w:val="16"/>
          <w:lang w:val="es-CR"/>
        </w:rPr>
        <w:t xml:space="preserve"> Elisa Barrios, esta Corte no cuenta con información suficiente para determinar su situación frente al acceso a las mencionadas pruebas. En cambio, respecto a Corina </w:t>
      </w:r>
      <w:proofErr w:type="spellStart"/>
      <w:r w:rsidRPr="00E42101">
        <w:rPr>
          <w:szCs w:val="16"/>
          <w:lang w:val="es-CR"/>
        </w:rPr>
        <w:t>Dianeth</w:t>
      </w:r>
      <w:proofErr w:type="spellEnd"/>
      <w:r w:rsidRPr="00E42101">
        <w:rPr>
          <w:szCs w:val="16"/>
          <w:lang w:val="es-CR"/>
        </w:rPr>
        <w:t xml:space="preserve"> Robledo Alvarado, este Tribunal constata que la mencionada manifestó haber recibido de manera periódica los exámenes enunciados. </w:t>
      </w:r>
    </w:p>
  </w:footnote>
  <w:footnote w:id="144">
    <w:p w14:paraId="761B7B83" w14:textId="00286010"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 xml:space="preserve">En este supuesto se encuentran las siguientes personas: Melvin </w:t>
      </w:r>
      <w:proofErr w:type="spellStart"/>
      <w:r w:rsidRPr="00E42101">
        <w:rPr>
          <w:szCs w:val="16"/>
          <w:lang w:val="es-CR"/>
        </w:rPr>
        <w:t>Yo</w:t>
      </w:r>
      <w:r>
        <w:rPr>
          <w:szCs w:val="16"/>
          <w:lang w:val="es-CR"/>
        </w:rPr>
        <w:t>vani</w:t>
      </w:r>
      <w:proofErr w:type="spellEnd"/>
      <w:r>
        <w:rPr>
          <w:szCs w:val="16"/>
          <w:lang w:val="es-CR"/>
        </w:rPr>
        <w:t xml:space="preserve"> Ajtu</w:t>
      </w:r>
      <w:r w:rsidRPr="00E42101">
        <w:rPr>
          <w:szCs w:val="16"/>
          <w:lang w:val="es-CR"/>
        </w:rPr>
        <w:t xml:space="preserve">n Escobar, Julia Aguilar, Felipe </w:t>
      </w:r>
      <w:proofErr w:type="spellStart"/>
      <w:r w:rsidRPr="00E42101">
        <w:rPr>
          <w:szCs w:val="16"/>
          <w:lang w:val="es-CR"/>
        </w:rPr>
        <w:t>Tebalan</w:t>
      </w:r>
      <w:proofErr w:type="spellEnd"/>
      <w:r w:rsidRPr="00E42101">
        <w:rPr>
          <w:szCs w:val="16"/>
          <w:lang w:val="es-CR"/>
        </w:rPr>
        <w:t xml:space="preserve"> </w:t>
      </w:r>
      <w:r>
        <w:rPr>
          <w:szCs w:val="16"/>
          <w:lang w:val="es-CR"/>
        </w:rPr>
        <w:t xml:space="preserve">Ordoñez, </w:t>
      </w:r>
      <w:proofErr w:type="spellStart"/>
      <w:r>
        <w:rPr>
          <w:szCs w:val="16"/>
          <w:lang w:val="es-CR"/>
        </w:rPr>
        <w:t>Saira</w:t>
      </w:r>
      <w:proofErr w:type="spellEnd"/>
      <w:r>
        <w:rPr>
          <w:szCs w:val="16"/>
          <w:lang w:val="es-CR"/>
        </w:rPr>
        <w:t xml:space="preserve"> Elisa Barrios, Cé</w:t>
      </w:r>
      <w:r w:rsidRPr="00E42101">
        <w:rPr>
          <w:szCs w:val="16"/>
          <w:lang w:val="es-CR"/>
        </w:rPr>
        <w:t xml:space="preserve">sar Noé Cancinos Gómez, Luis Rolando </w:t>
      </w:r>
      <w:proofErr w:type="spellStart"/>
      <w:r w:rsidRPr="00E42101">
        <w:rPr>
          <w:szCs w:val="16"/>
          <w:lang w:val="es-CR"/>
        </w:rPr>
        <w:t>Cuscul</w:t>
      </w:r>
      <w:proofErr w:type="spellEnd"/>
      <w:r w:rsidRPr="00E42101">
        <w:rPr>
          <w:szCs w:val="16"/>
          <w:lang w:val="es-CR"/>
        </w:rPr>
        <w:t xml:space="preserve"> Pivaral, María Felipe Pérez, </w:t>
      </w:r>
      <w:proofErr w:type="spellStart"/>
      <w:r w:rsidRPr="00E42101">
        <w:rPr>
          <w:szCs w:val="16"/>
          <w:lang w:val="es-CR"/>
        </w:rPr>
        <w:t>Ismerai</w:t>
      </w:r>
      <w:proofErr w:type="spellEnd"/>
      <w:r w:rsidRPr="00E42101">
        <w:rPr>
          <w:szCs w:val="16"/>
          <w:lang w:val="es-CR"/>
        </w:rPr>
        <w:t xml:space="preserve"> </w:t>
      </w:r>
      <w:proofErr w:type="spellStart"/>
      <w:r w:rsidRPr="00E42101">
        <w:rPr>
          <w:szCs w:val="16"/>
          <w:lang w:val="es-CR"/>
        </w:rPr>
        <w:t>Olibia</w:t>
      </w:r>
      <w:proofErr w:type="spellEnd"/>
      <w:r w:rsidRPr="00E42101">
        <w:rPr>
          <w:szCs w:val="16"/>
          <w:lang w:val="es-CR"/>
        </w:rPr>
        <w:t xml:space="preserve"> García </w:t>
      </w:r>
      <w:proofErr w:type="spellStart"/>
      <w:r w:rsidRPr="00E42101">
        <w:rPr>
          <w:szCs w:val="16"/>
          <w:lang w:val="es-CR"/>
        </w:rPr>
        <w:t>Castañon</w:t>
      </w:r>
      <w:proofErr w:type="spellEnd"/>
      <w:r w:rsidRPr="00E42101">
        <w:rPr>
          <w:szCs w:val="16"/>
          <w:lang w:val="es-CR"/>
        </w:rPr>
        <w:t xml:space="preserve">, Santos </w:t>
      </w:r>
      <w:proofErr w:type="spellStart"/>
      <w:r w:rsidRPr="00E42101">
        <w:rPr>
          <w:szCs w:val="16"/>
          <w:lang w:val="es-CR"/>
        </w:rPr>
        <w:t>Isacar</w:t>
      </w:r>
      <w:proofErr w:type="spellEnd"/>
      <w:r w:rsidRPr="00E42101">
        <w:rPr>
          <w:szCs w:val="16"/>
          <w:lang w:val="es-CR"/>
        </w:rPr>
        <w:t xml:space="preserve"> Vásquez Barrios, Luis Armando Linares Ruano, Pascuala de Jesús Mérida Rodríguez, Darinel López Montes de Oca, Corina </w:t>
      </w:r>
      <w:proofErr w:type="spellStart"/>
      <w:r w:rsidRPr="00E42101">
        <w:rPr>
          <w:szCs w:val="16"/>
          <w:lang w:val="es-CR"/>
        </w:rPr>
        <w:t>Dianeth</w:t>
      </w:r>
      <w:proofErr w:type="spellEnd"/>
      <w:r w:rsidRPr="00E42101">
        <w:rPr>
          <w:szCs w:val="16"/>
          <w:lang w:val="es-CR"/>
        </w:rPr>
        <w:t xml:space="preserve"> Robledo Alvarado, </w:t>
      </w:r>
      <w:proofErr w:type="spellStart"/>
      <w:r w:rsidRPr="00E42101">
        <w:rPr>
          <w:szCs w:val="16"/>
          <w:lang w:val="es-CR"/>
        </w:rPr>
        <w:t>Audencio</w:t>
      </w:r>
      <w:proofErr w:type="spellEnd"/>
      <w:r w:rsidRPr="00E42101">
        <w:rPr>
          <w:szCs w:val="16"/>
          <w:lang w:val="es-CR"/>
        </w:rPr>
        <w:t xml:space="preserve"> Rodas Rodríguez, Francisco </w:t>
      </w:r>
      <w:proofErr w:type="spellStart"/>
      <w:r w:rsidRPr="00E42101">
        <w:rPr>
          <w:szCs w:val="16"/>
          <w:lang w:val="es-CR"/>
        </w:rPr>
        <w:t>Sop</w:t>
      </w:r>
      <w:proofErr w:type="spellEnd"/>
      <w:r w:rsidRPr="00E42101">
        <w:rPr>
          <w:szCs w:val="16"/>
          <w:lang w:val="es-CR"/>
        </w:rPr>
        <w:t xml:space="preserve"> </w:t>
      </w:r>
      <w:proofErr w:type="spellStart"/>
      <w:r w:rsidRPr="00E42101">
        <w:rPr>
          <w:szCs w:val="16"/>
          <w:lang w:val="es-CR"/>
        </w:rPr>
        <w:t>Quiej</w:t>
      </w:r>
      <w:proofErr w:type="spellEnd"/>
      <w:r w:rsidRPr="00E42101">
        <w:rPr>
          <w:szCs w:val="16"/>
          <w:lang w:val="es-CR"/>
        </w:rPr>
        <w:t xml:space="preserve"> y Santos Vásquez Oliveros.</w:t>
      </w:r>
    </w:p>
  </w:footnote>
  <w:footnote w:id="145">
    <w:p w14:paraId="175E4C60" w14:textId="6B8866EF"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t>En este supuesto se encuentr</w:t>
      </w:r>
      <w:r>
        <w:rPr>
          <w:szCs w:val="16"/>
          <w:lang w:val="es-CR"/>
        </w:rPr>
        <w:t xml:space="preserve">an las siguientes personas: María Blanca </w:t>
      </w:r>
      <w:proofErr w:type="spellStart"/>
      <w:r>
        <w:rPr>
          <w:szCs w:val="16"/>
          <w:lang w:val="es-CR"/>
        </w:rPr>
        <w:t>Vaí</w:t>
      </w:r>
      <w:r w:rsidRPr="00E42101">
        <w:rPr>
          <w:szCs w:val="16"/>
          <w:lang w:val="es-CR"/>
        </w:rPr>
        <w:t>l</w:t>
      </w:r>
      <w:proofErr w:type="spellEnd"/>
      <w:r w:rsidRPr="00E42101">
        <w:rPr>
          <w:szCs w:val="16"/>
          <w:lang w:val="es-CR"/>
        </w:rPr>
        <w:t xml:space="preserve"> López, Silvia Mirta</w:t>
      </w:r>
      <w:r>
        <w:rPr>
          <w:szCs w:val="16"/>
          <w:lang w:val="es-CR"/>
        </w:rPr>
        <w:t>la A</w:t>
      </w:r>
      <w:r w:rsidRPr="00E42101">
        <w:rPr>
          <w:szCs w:val="16"/>
          <w:lang w:val="es-CR"/>
        </w:rPr>
        <w:t>lvarez Villatoro, Sebastián Em</w:t>
      </w:r>
      <w:r>
        <w:rPr>
          <w:szCs w:val="16"/>
          <w:lang w:val="es-CR"/>
        </w:rPr>
        <w:t>ilio Dueñas, Luis Rubén Isabel A</w:t>
      </w:r>
      <w:r w:rsidRPr="00E42101">
        <w:rPr>
          <w:szCs w:val="16"/>
          <w:lang w:val="es-CR"/>
        </w:rPr>
        <w:t xml:space="preserve">lvarez Flores, Santiago Francisco </w:t>
      </w:r>
      <w:proofErr w:type="spellStart"/>
      <w:r w:rsidRPr="00E42101">
        <w:rPr>
          <w:szCs w:val="16"/>
          <w:lang w:val="es-CR"/>
        </w:rPr>
        <w:t>Valdéz</w:t>
      </w:r>
      <w:proofErr w:type="spellEnd"/>
      <w:r w:rsidRPr="00E42101">
        <w:rPr>
          <w:szCs w:val="16"/>
          <w:lang w:val="es-CR"/>
        </w:rPr>
        <w:t xml:space="preserve"> </w:t>
      </w:r>
      <w:r>
        <w:rPr>
          <w:szCs w:val="16"/>
          <w:lang w:val="es-CR"/>
        </w:rPr>
        <w:t>Aguilar y Zoila Marina Pérez Ruí</w:t>
      </w:r>
      <w:r w:rsidRPr="00E42101">
        <w:rPr>
          <w:szCs w:val="16"/>
          <w:lang w:val="es-CR"/>
        </w:rPr>
        <w:t>z.</w:t>
      </w:r>
    </w:p>
  </w:footnote>
  <w:footnote w:id="146">
    <w:p w14:paraId="51467CC4" w14:textId="2F7731AC"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rStyle w:val="Textoennegrita"/>
          <w:b w:val="0"/>
          <w:i/>
          <w:color w:val="000000"/>
          <w:szCs w:val="16"/>
          <w:shd w:val="clear" w:color="auto" w:fill="FFFFFF"/>
          <w:lang w:val="es-CR"/>
        </w:rPr>
        <w:t>Caso Ramírez Escobar y otros Vs. Guatemala. Fondo, Reparaciones y Costas.</w:t>
      </w:r>
      <w:r w:rsidRPr="00E42101">
        <w:rPr>
          <w:rStyle w:val="Textoennegrita"/>
          <w:b w:val="0"/>
          <w:color w:val="000000"/>
          <w:szCs w:val="16"/>
          <w:shd w:val="clear" w:color="auto" w:fill="FFFFFF"/>
          <w:lang w:val="es-CR"/>
        </w:rPr>
        <w:t xml:space="preserve"> Sentencia de 9 de marzo de 2018. Serie C No. 351, párr. 277.</w:t>
      </w:r>
    </w:p>
  </w:footnote>
  <w:footnote w:id="147">
    <w:p w14:paraId="2CAEA4CB" w14:textId="078AFADA" w:rsidR="00604517" w:rsidRPr="00E42101" w:rsidRDefault="00604517" w:rsidP="00E47BD5">
      <w:pPr>
        <w:pStyle w:val="Textonotapie"/>
        <w:spacing w:before="0"/>
        <w:rPr>
          <w:szCs w:val="16"/>
          <w:lang w:val="es-CR"/>
        </w:rPr>
      </w:pPr>
      <w:r w:rsidRPr="00E42101">
        <w:rPr>
          <w:rStyle w:val="Refdenotaalpie"/>
          <w:rFonts w:eastAsia="Calibri"/>
          <w:szCs w:val="16"/>
          <w:lang w:val="es-CR"/>
        </w:rPr>
        <w:footnoteRef/>
      </w:r>
      <w:r w:rsidRPr="00E42101">
        <w:rPr>
          <w:szCs w:val="16"/>
          <w:lang w:val="es-CR"/>
        </w:rPr>
        <w:tab/>
      </w:r>
      <w:r w:rsidRPr="00E42101">
        <w:rPr>
          <w:i/>
          <w:szCs w:val="16"/>
          <w:lang w:val="es-CR"/>
        </w:rPr>
        <w:t>Cfr. Caso Poblete Vilches y otros Vs. Chile. Fondo, Reparaciones y Costas.</w:t>
      </w:r>
      <w:r w:rsidRPr="00E42101">
        <w:rPr>
          <w:szCs w:val="16"/>
          <w:lang w:val="es-CR"/>
        </w:rPr>
        <w:t xml:space="preserve"> Sentencia de 8 de marzo de 2018. Serie C No. 349, párr. 122. </w:t>
      </w:r>
      <w:r w:rsidRPr="00E42101">
        <w:rPr>
          <w:i/>
          <w:szCs w:val="16"/>
          <w:lang w:val="es-CR"/>
        </w:rPr>
        <w:t>Cfr.</w:t>
      </w:r>
      <w:r w:rsidRPr="00E42101">
        <w:rPr>
          <w:szCs w:val="16"/>
          <w:lang w:val="es-CR"/>
        </w:rPr>
        <w:t xml:space="preserve"> Observación General  No. 14: “El derecho al disfrute del más alto nivel posible de salud”, 11 de agosto de 2000, U.N. Doc. E/C.12/2000/4, párr. 12. Al respecto, se expresa en la Observación General que la accesibilidad presenta cuatro dimensiones superpuestas, una de ellas es la no discriminación, la cual consiste en que los establecimientos, bienes y servicios de salud deben ser accesibles, de hecho y de derecho, a los sectores más vulnerables y marginados de la población, sin discriminación alguna por cualquiera de los motivos prohibidos.</w:t>
      </w:r>
    </w:p>
  </w:footnote>
  <w:footnote w:id="148">
    <w:p w14:paraId="42F4B8EB" w14:textId="5C959F99" w:rsidR="00604517" w:rsidRPr="00E42101" w:rsidRDefault="00604517" w:rsidP="00E47BD5">
      <w:pPr>
        <w:pStyle w:val="Textonotapie"/>
        <w:spacing w:before="0"/>
        <w:rPr>
          <w:rFonts w:eastAsia="Calibri"/>
          <w:szCs w:val="16"/>
          <w:lang w:val="es-CR"/>
        </w:rPr>
      </w:pPr>
      <w:r w:rsidRPr="00E42101">
        <w:rPr>
          <w:rStyle w:val="Refdenotaalpie"/>
          <w:rFonts w:eastAsia="Calibri"/>
          <w:szCs w:val="16"/>
          <w:lang w:val="es-CR"/>
        </w:rPr>
        <w:footnoteRef/>
      </w:r>
      <w:r w:rsidRPr="00E42101">
        <w:rPr>
          <w:rFonts w:eastAsia="Calibri"/>
          <w:szCs w:val="16"/>
          <w:lang w:val="es-CR"/>
        </w:rPr>
        <w:tab/>
      </w:r>
      <w:r w:rsidRPr="00E42101">
        <w:rPr>
          <w:rFonts w:eastAsia="Calibri"/>
          <w:i/>
          <w:szCs w:val="16"/>
          <w:lang w:val="es-CR"/>
        </w:rPr>
        <w:t>Cfr. Caso Poblete Vilches y otros Vs. Chile. Fondo, Reparaciones y Costas.</w:t>
      </w:r>
      <w:r w:rsidRPr="00E42101">
        <w:rPr>
          <w:rFonts w:eastAsia="Calibri"/>
          <w:szCs w:val="16"/>
          <w:lang w:val="es-CR"/>
        </w:rPr>
        <w:t xml:space="preserve"> Sentencia de 8 de marzo de 2018. Serie C No. 349, párr. 122. </w:t>
      </w:r>
    </w:p>
  </w:footnote>
  <w:footnote w:id="149">
    <w:p w14:paraId="4166D98D" w14:textId="20EDFD7B" w:rsidR="00604517" w:rsidRPr="00E42101" w:rsidRDefault="00604517" w:rsidP="00E47BD5">
      <w:pPr>
        <w:pStyle w:val="Textonotapie"/>
        <w:spacing w:before="0"/>
        <w:rPr>
          <w:szCs w:val="16"/>
          <w:lang w:val="es-CR"/>
        </w:rPr>
      </w:pPr>
      <w:r w:rsidRPr="00E42101">
        <w:rPr>
          <w:rStyle w:val="Refdenotaalpie"/>
          <w:rFonts w:eastAsia="MS ????"/>
          <w:szCs w:val="16"/>
          <w:lang w:val="es-CR"/>
        </w:rPr>
        <w:footnoteRef/>
      </w:r>
      <w:r w:rsidRPr="00E42101">
        <w:rPr>
          <w:szCs w:val="16"/>
          <w:lang w:val="es-CR"/>
        </w:rPr>
        <w:tab/>
      </w:r>
      <w:r w:rsidRPr="00E42101">
        <w:rPr>
          <w:i/>
          <w:szCs w:val="16"/>
          <w:lang w:val="es-CR"/>
        </w:rPr>
        <w:t xml:space="preserve">Cfr. Caso Veliz Franco y Otros Vs. Guatemala. Excepciones Preliminares, Fondo, Reparaciones y Costas. </w:t>
      </w:r>
      <w:r w:rsidRPr="00E42101">
        <w:rPr>
          <w:szCs w:val="16"/>
          <w:lang w:val="es-CR"/>
        </w:rPr>
        <w:t>Sentencia de 19 de mayo de 2014. Serie C No. 277, párr. 204, y</w:t>
      </w:r>
      <w:r w:rsidRPr="00E42101">
        <w:rPr>
          <w:i/>
          <w:szCs w:val="16"/>
          <w:lang w:val="es-CR"/>
        </w:rPr>
        <w:t xml:space="preserve"> Caso Poblete Vilches y otros Vs. Chile. Fondo, Reparaciones y Costas.</w:t>
      </w:r>
      <w:r w:rsidRPr="00E42101">
        <w:rPr>
          <w:szCs w:val="16"/>
          <w:lang w:val="es-CR"/>
        </w:rPr>
        <w:t xml:space="preserve"> Sentencia de 8 de marzo de 2018. Serie C No. 349, párr. 122.</w:t>
      </w:r>
    </w:p>
  </w:footnote>
  <w:footnote w:id="150">
    <w:p w14:paraId="21B4C952" w14:textId="70EBD763" w:rsidR="00604517" w:rsidRPr="00E42101" w:rsidRDefault="00604517" w:rsidP="00E47BD5">
      <w:pPr>
        <w:pStyle w:val="Textonotapie"/>
        <w:spacing w:before="0"/>
        <w:rPr>
          <w:szCs w:val="16"/>
          <w:lang w:val="es-CR"/>
        </w:rPr>
      </w:pPr>
      <w:r w:rsidRPr="00E42101">
        <w:rPr>
          <w:rStyle w:val="Refdenotaalpie"/>
          <w:rFonts w:eastAsia="MS ????"/>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Atala</w:t>
      </w:r>
      <w:proofErr w:type="spellEnd"/>
      <w:r w:rsidRPr="00E42101">
        <w:rPr>
          <w:i/>
          <w:szCs w:val="16"/>
          <w:lang w:val="es-CR"/>
        </w:rPr>
        <w:t xml:space="preserve"> Riffo y niñas Vs. Chile. Fondo, Reparaciones y Costas.</w:t>
      </w:r>
      <w:r w:rsidRPr="00E42101">
        <w:rPr>
          <w:szCs w:val="16"/>
          <w:lang w:val="es-CR"/>
        </w:rPr>
        <w:t xml:space="preserve"> Sentencia de 24 de febrero de 2012. Serie C No. 239 párr. 85, y</w:t>
      </w:r>
      <w:r w:rsidRPr="00E42101">
        <w:rPr>
          <w:i/>
          <w:szCs w:val="16"/>
          <w:lang w:val="es-CR"/>
        </w:rPr>
        <w:t xml:space="preserve"> Caso Poblete Vilches y otros Vs. Chile. Fondo, Reparaciones y Costas.</w:t>
      </w:r>
      <w:r w:rsidRPr="00E42101">
        <w:rPr>
          <w:szCs w:val="16"/>
          <w:lang w:val="es-CR"/>
        </w:rPr>
        <w:t xml:space="preserve"> Sentencia de 8 de marzo de 2018. Serie C No. 349, párr. 122.</w:t>
      </w:r>
    </w:p>
  </w:footnote>
  <w:footnote w:id="151">
    <w:p w14:paraId="2F9C1320" w14:textId="109EF38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255.</w:t>
      </w:r>
    </w:p>
  </w:footnote>
  <w:footnote w:id="152">
    <w:p w14:paraId="11967F48" w14:textId="506159CB" w:rsidR="00604517" w:rsidRPr="00E42101" w:rsidRDefault="00604517" w:rsidP="00E47BD5">
      <w:pPr>
        <w:pStyle w:val="Textonotapie"/>
        <w:spacing w:before="0"/>
        <w:rPr>
          <w:szCs w:val="16"/>
          <w:lang w:val="es-CR"/>
        </w:rPr>
      </w:pPr>
      <w:r w:rsidRPr="00E42101">
        <w:rPr>
          <w:rStyle w:val="Refdenotaalpie"/>
          <w:rFonts w:eastAsia="Calibri"/>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Furlan</w:t>
      </w:r>
      <w:proofErr w:type="spellEnd"/>
      <w:r w:rsidRPr="00E42101">
        <w:rPr>
          <w:i/>
          <w:szCs w:val="16"/>
          <w:lang w:val="es-CR"/>
        </w:rPr>
        <w:t xml:space="preserve"> y familiares Vs. Argentina. Excepciones Preliminares, Fondo, Reparaciones y Costas.</w:t>
      </w:r>
      <w:r w:rsidRPr="00E42101">
        <w:rPr>
          <w:szCs w:val="16"/>
          <w:lang w:val="es-CR"/>
        </w:rPr>
        <w:t xml:space="preserve"> Sentencia de 31 de agosto de 2012. Serie C No. 246, párr. 267, y </w:t>
      </w:r>
      <w:r w:rsidRPr="00E42101">
        <w:rPr>
          <w:i/>
          <w:szCs w:val="16"/>
          <w:lang w:val="es-CR"/>
        </w:rPr>
        <w:t>Caso Poblete Vilches y otros Vs. Chile. Fondo, Reparaciones y Costas.</w:t>
      </w:r>
      <w:r w:rsidRPr="00E42101">
        <w:rPr>
          <w:szCs w:val="16"/>
          <w:lang w:val="es-CR"/>
        </w:rPr>
        <w:t xml:space="preserve"> Sentencia de 8 de marzo de 2018. Serie C No. 349, párr. 123.</w:t>
      </w:r>
    </w:p>
  </w:footnote>
  <w:footnote w:id="153">
    <w:p w14:paraId="559D99AA" w14:textId="73DCBE2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Gonzales </w:t>
      </w:r>
      <w:proofErr w:type="spellStart"/>
      <w:r w:rsidRPr="00E42101">
        <w:rPr>
          <w:i/>
          <w:szCs w:val="16"/>
          <w:lang w:val="es-CR"/>
        </w:rPr>
        <w:t>Lluy</w:t>
      </w:r>
      <w:proofErr w:type="spellEnd"/>
      <w:r w:rsidRPr="00E42101">
        <w:rPr>
          <w:i/>
          <w:szCs w:val="16"/>
          <w:lang w:val="es-CR"/>
        </w:rPr>
        <w:t xml:space="preserve"> y otros Vs. Ecuador. Excepciones Preliminares, Fondo, Reparaciones y Costas.</w:t>
      </w:r>
      <w:r w:rsidRPr="00E42101">
        <w:rPr>
          <w:szCs w:val="16"/>
          <w:lang w:val="es-CR"/>
        </w:rPr>
        <w:t xml:space="preserve"> Sentencia de 1 de septiembre de 2015. Serie C No. 298, párr. 236.</w:t>
      </w:r>
    </w:p>
  </w:footnote>
  <w:footnote w:id="154">
    <w:p w14:paraId="1A1CE48E" w14:textId="2E4A140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Poblete Vilches y otros Vs. Chile. Fondo, Reparaciones y Costas</w:t>
      </w:r>
      <w:r w:rsidRPr="00E42101">
        <w:rPr>
          <w:szCs w:val="16"/>
          <w:lang w:val="es-CR"/>
        </w:rPr>
        <w:t>. Sentencia de 8 de marzo de 2018. Serie C No. 349, párr. 123.</w:t>
      </w:r>
    </w:p>
  </w:footnote>
  <w:footnote w:id="155">
    <w:p w14:paraId="728CCBE7" w14:textId="119030E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Mutatis </w:t>
      </w:r>
      <w:proofErr w:type="spellStart"/>
      <w:r w:rsidRPr="00E42101">
        <w:rPr>
          <w:i/>
          <w:szCs w:val="16"/>
          <w:lang w:val="es-CR"/>
        </w:rPr>
        <w:t>mutandi</w:t>
      </w:r>
      <w:proofErr w:type="spellEnd"/>
      <w:r w:rsidRPr="00E42101">
        <w:rPr>
          <w:szCs w:val="16"/>
          <w:lang w:val="es-CR"/>
        </w:rPr>
        <w:t xml:space="preserve">, </w:t>
      </w:r>
      <w:r w:rsidRPr="00E42101">
        <w:rPr>
          <w:i/>
          <w:szCs w:val="16"/>
          <w:lang w:val="es-CR"/>
        </w:rPr>
        <w:t xml:space="preserve">Caso Comunidad Indígena </w:t>
      </w:r>
      <w:proofErr w:type="spellStart"/>
      <w:r w:rsidRPr="00E42101">
        <w:rPr>
          <w:i/>
          <w:szCs w:val="16"/>
          <w:lang w:val="es-CR"/>
        </w:rPr>
        <w:t>Xákmok</w:t>
      </w:r>
      <w:proofErr w:type="spellEnd"/>
      <w:r w:rsidRPr="00E42101">
        <w:rPr>
          <w:i/>
          <w:szCs w:val="16"/>
          <w:lang w:val="es-CR"/>
        </w:rPr>
        <w:t xml:space="preserve"> </w:t>
      </w:r>
      <w:proofErr w:type="spellStart"/>
      <w:r w:rsidRPr="00E42101">
        <w:rPr>
          <w:i/>
          <w:szCs w:val="16"/>
          <w:lang w:val="es-CR"/>
        </w:rPr>
        <w:t>Kásek</w:t>
      </w:r>
      <w:proofErr w:type="spellEnd"/>
      <w:r w:rsidRPr="00E42101">
        <w:rPr>
          <w:i/>
          <w:szCs w:val="16"/>
          <w:lang w:val="es-CR"/>
        </w:rPr>
        <w:t xml:space="preserve"> Vs. Paraguay. Fondo, Reparaciones y Costas.</w:t>
      </w:r>
      <w:r w:rsidRPr="00E42101">
        <w:rPr>
          <w:szCs w:val="16"/>
          <w:lang w:val="es-CR"/>
        </w:rPr>
        <w:t xml:space="preserve"> Sentencia de 24 de agosto de 2010. Serie C No. 214, párr. 233.</w:t>
      </w:r>
    </w:p>
  </w:footnote>
  <w:footnote w:id="156">
    <w:p w14:paraId="1256E2F5" w14:textId="7AF56113"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Comunidad Indígena </w:t>
      </w:r>
      <w:proofErr w:type="spellStart"/>
      <w:r w:rsidRPr="00E42101">
        <w:rPr>
          <w:i/>
          <w:szCs w:val="16"/>
          <w:lang w:val="es-CR"/>
        </w:rPr>
        <w:t>Xákmok</w:t>
      </w:r>
      <w:proofErr w:type="spellEnd"/>
      <w:r w:rsidRPr="00E42101">
        <w:rPr>
          <w:i/>
          <w:szCs w:val="16"/>
          <w:lang w:val="es-CR"/>
        </w:rPr>
        <w:t xml:space="preserve"> </w:t>
      </w:r>
      <w:proofErr w:type="spellStart"/>
      <w:r w:rsidRPr="00E42101">
        <w:rPr>
          <w:i/>
          <w:szCs w:val="16"/>
          <w:lang w:val="es-CR"/>
        </w:rPr>
        <w:t>Kásek</w:t>
      </w:r>
      <w:proofErr w:type="spellEnd"/>
      <w:r w:rsidRPr="00E42101">
        <w:rPr>
          <w:i/>
          <w:szCs w:val="16"/>
          <w:lang w:val="es-CR"/>
        </w:rPr>
        <w:t xml:space="preserve"> Vs. Paraguay. Fondo, Reparaciones y Costas</w:t>
      </w:r>
      <w:r w:rsidRPr="00E42101">
        <w:rPr>
          <w:szCs w:val="16"/>
          <w:lang w:val="es-CR"/>
        </w:rPr>
        <w:t>. Sentencia de 24 de agosto de 2010. Serie C No. 214, párr. 233.</w:t>
      </w:r>
    </w:p>
  </w:footnote>
  <w:footnote w:id="157">
    <w:p w14:paraId="2A4D86BB" w14:textId="76872381"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de la "Masacre de Mapiripán" Vs. Colombia</w:t>
      </w:r>
      <w:r w:rsidRPr="00E42101">
        <w:rPr>
          <w:rStyle w:val="Textoennegrita"/>
          <w:b w:val="0"/>
          <w:color w:val="000000"/>
          <w:szCs w:val="16"/>
          <w:shd w:val="clear" w:color="auto" w:fill="FFFFFF"/>
          <w:lang w:val="es-CR"/>
        </w:rPr>
        <w:t>. Sentencia de 15 de septiembre de 2005. Serie C No. 134, párr. 152 y</w:t>
      </w:r>
      <w:r w:rsidRPr="00E42101">
        <w:rPr>
          <w:rStyle w:val="Textoennegrita"/>
          <w:color w:val="000000"/>
          <w:szCs w:val="16"/>
          <w:shd w:val="clear" w:color="auto" w:fill="FFFFFF"/>
          <w:lang w:val="es-CR"/>
        </w:rPr>
        <w:t xml:space="preserve"> </w:t>
      </w:r>
      <w:r w:rsidRPr="00E42101">
        <w:rPr>
          <w:i/>
          <w:szCs w:val="16"/>
          <w:lang w:val="es-CR"/>
        </w:rPr>
        <w:t xml:space="preserve">Caso Comunidad Indígena </w:t>
      </w:r>
      <w:proofErr w:type="spellStart"/>
      <w:r w:rsidRPr="00E42101">
        <w:rPr>
          <w:i/>
          <w:szCs w:val="16"/>
          <w:lang w:val="es-CR"/>
        </w:rPr>
        <w:t>Sawhoyamaxa</w:t>
      </w:r>
      <w:proofErr w:type="spellEnd"/>
      <w:r w:rsidRPr="00E42101">
        <w:rPr>
          <w:i/>
          <w:szCs w:val="16"/>
          <w:lang w:val="es-CR"/>
        </w:rPr>
        <w:t xml:space="preserve"> Vs. Paraguay. Fondo, Reparaciones y Costas</w:t>
      </w:r>
      <w:r w:rsidRPr="00E42101">
        <w:rPr>
          <w:szCs w:val="16"/>
          <w:lang w:val="es-CR"/>
        </w:rPr>
        <w:t>. Sentencia de 29 de marzo de 2006. Serie C No. 146, párr. 177.</w:t>
      </w:r>
    </w:p>
  </w:footnote>
  <w:footnote w:id="158">
    <w:p w14:paraId="7B367079" w14:textId="49B9B862"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Naciones Unidas. Comité Para la Eliminación de la Discriminación Contra la Mujer. Recomendación General No. 15: Necesidad de evitar la discriminación contra la mujer en las estrategias nacionales de acción preventiva y lucha contra el síndrome de inmunodeficiencia adquirida (SIDA), 9° período de sesiones, 1990, U.N. Doc. A/45/38, apartado b).</w:t>
      </w:r>
    </w:p>
  </w:footnote>
  <w:footnote w:id="159">
    <w:p w14:paraId="7285C92A" w14:textId="3936CF2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Comité de Derechos Económicos, Sociales y Culturales, Observación General No. 22: relativa al derecho a la salud sexual y reproductiva (artículo 12 del Pacto), 2 de mayo de 2016, U.N. Doc. EC.12/GC/22, párr. 45.</w:t>
      </w:r>
    </w:p>
  </w:footnote>
  <w:footnote w:id="160">
    <w:p w14:paraId="788D12D5" w14:textId="1F8811DA"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szCs w:val="16"/>
          <w:lang w:val="es-CR"/>
        </w:rPr>
        <w:t xml:space="preserve">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octava d</w:t>
      </w:r>
      <w:r w:rsidRPr="00E42101">
        <w:rPr>
          <w:iCs/>
          <w:szCs w:val="16"/>
          <w:lang w:val="es-CR"/>
        </w:rPr>
        <w:t>irectriz</w:t>
      </w:r>
      <w:r w:rsidRPr="00E42101">
        <w:rPr>
          <w:szCs w:val="16"/>
          <w:lang w:val="es-CR"/>
        </w:rPr>
        <w:t>.</w:t>
      </w:r>
    </w:p>
  </w:footnote>
  <w:footnote w:id="161">
    <w:p w14:paraId="1183502A" w14:textId="0581A3B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Oficina del Alto Comisionado de las Naciones Unidas para los Derechos Humanos (OACNUDH) y el Programa Conjunto de las Naciones Unidas sobre el VIH/SIDA (ONUSIDA), </w:t>
      </w:r>
      <w:r w:rsidRPr="008F3DE2">
        <w:rPr>
          <w:iCs/>
          <w:szCs w:val="16"/>
          <w:lang w:val="es-CR"/>
        </w:rPr>
        <w:t>Directrices internacionales sobre el VIH/SIDA y los derechos humanos</w:t>
      </w:r>
      <w:r w:rsidRPr="00E42101">
        <w:rPr>
          <w:i/>
          <w:iCs/>
          <w:szCs w:val="16"/>
          <w:lang w:val="es-CR"/>
        </w:rPr>
        <w:t xml:space="preserve">. </w:t>
      </w:r>
      <w:r w:rsidRPr="00E42101">
        <w:rPr>
          <w:iCs/>
          <w:szCs w:val="16"/>
          <w:lang w:val="es-CR"/>
        </w:rPr>
        <w:t>Versión consoli</w:t>
      </w:r>
      <w:r>
        <w:rPr>
          <w:iCs/>
          <w:szCs w:val="16"/>
          <w:lang w:val="es-CR"/>
        </w:rPr>
        <w:t>dada de 2006, octava d</w:t>
      </w:r>
      <w:r w:rsidRPr="00E42101">
        <w:rPr>
          <w:iCs/>
          <w:szCs w:val="16"/>
          <w:lang w:val="es-CR"/>
        </w:rPr>
        <w:t>irectriz</w:t>
      </w:r>
      <w:r w:rsidRPr="00E42101">
        <w:rPr>
          <w:szCs w:val="16"/>
          <w:lang w:val="es-CR"/>
        </w:rPr>
        <w:t>, pág</w:t>
      </w:r>
      <w:r>
        <w:rPr>
          <w:szCs w:val="16"/>
          <w:lang w:val="es-CR"/>
        </w:rPr>
        <w:t>s</w:t>
      </w:r>
      <w:r w:rsidRPr="00E42101">
        <w:rPr>
          <w:szCs w:val="16"/>
          <w:lang w:val="es-CR"/>
        </w:rPr>
        <w:t>. 52-54.</w:t>
      </w:r>
    </w:p>
  </w:footnote>
  <w:footnote w:id="162">
    <w:p w14:paraId="75A71121" w14:textId="4533DCE9"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En este supuesto se encuentran: Sandra Lisbeth Zepeda Herrer</w:t>
      </w:r>
      <w:r>
        <w:rPr>
          <w:szCs w:val="16"/>
          <w:lang w:val="es-CR"/>
        </w:rPr>
        <w:t xml:space="preserve">a, Pascuala de Jesús Mérida, </w:t>
      </w:r>
      <w:proofErr w:type="spellStart"/>
      <w:r>
        <w:rPr>
          <w:szCs w:val="16"/>
          <w:lang w:val="es-CR"/>
        </w:rPr>
        <w:t>Sai</w:t>
      </w:r>
      <w:r w:rsidRPr="00E42101">
        <w:rPr>
          <w:szCs w:val="16"/>
          <w:lang w:val="es-CR"/>
        </w:rPr>
        <w:t>ra</w:t>
      </w:r>
      <w:proofErr w:type="spellEnd"/>
      <w:r w:rsidRPr="00E42101">
        <w:rPr>
          <w:szCs w:val="16"/>
          <w:lang w:val="es-CR"/>
        </w:rPr>
        <w:t xml:space="preserve"> Elisa Barrios, Corina </w:t>
      </w:r>
      <w:proofErr w:type="spellStart"/>
      <w:r w:rsidRPr="00E42101">
        <w:rPr>
          <w:szCs w:val="16"/>
          <w:lang w:val="es-CR"/>
        </w:rPr>
        <w:t>Dianeth</w:t>
      </w:r>
      <w:proofErr w:type="spellEnd"/>
      <w:r w:rsidRPr="00E42101">
        <w:rPr>
          <w:szCs w:val="16"/>
          <w:lang w:val="es-CR"/>
        </w:rPr>
        <w:t xml:space="preserve"> Robledo y Dora Marina Martínez.</w:t>
      </w:r>
    </w:p>
  </w:footnote>
  <w:footnote w:id="163">
    <w:p w14:paraId="25490FD5" w14:textId="69E873D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Declaración rendida por Sandra Lisbeth Zepeda Herrera ante fedatario público de 15 de diciembre de 2016 (expediente de prueba, folio 11544).</w:t>
      </w:r>
    </w:p>
  </w:footnote>
  <w:footnote w:id="164">
    <w:p w14:paraId="7EF12721" w14:textId="2136B4B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Declaración rendida por Pascuala De Jesús Mérida Rodríguez de Maldonado ante fedatario público de 11 de enero de 2017 (expediente de prueba, folio 11763).</w:t>
      </w:r>
    </w:p>
  </w:footnote>
  <w:footnote w:id="165">
    <w:p w14:paraId="04772B82" w14:textId="034097A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Peritaje rendido por Oscar Cabrera de 6 de marzo de 2018 (expediente de fondo, folio 1707).</w:t>
      </w:r>
    </w:p>
  </w:footnote>
  <w:footnote w:id="166">
    <w:p w14:paraId="0D037CF0" w14:textId="168F809D"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Ramírez Escobar y otros Vs. Guatemala. Fondo, Reparaciones y Costas.</w:t>
      </w:r>
      <w:r w:rsidRPr="00E42101">
        <w:rPr>
          <w:rStyle w:val="Textoennegrita"/>
          <w:b w:val="0"/>
          <w:color w:val="000000"/>
          <w:szCs w:val="16"/>
          <w:shd w:val="clear" w:color="auto" w:fill="FFFFFF"/>
          <w:lang w:val="es-CR"/>
        </w:rPr>
        <w:t xml:space="preserve"> Sentencia de 9 de marzo de 2018. Serie C No. 351., párr. 276, y </w:t>
      </w:r>
      <w:r w:rsidRPr="00E42101">
        <w:rPr>
          <w:szCs w:val="16"/>
          <w:lang w:val="es-CR"/>
        </w:rPr>
        <w:t>Comité para la eliminación de la discriminación contra la mujer, Recomendación General No. 28 relativa al artículo 2 de la Convención sobre la eliminación de todas las formas de discriminación contra la mujer, 16 de di</w:t>
      </w:r>
      <w:r>
        <w:rPr>
          <w:szCs w:val="16"/>
          <w:lang w:val="es-CR"/>
        </w:rPr>
        <w:t>ciembre de 2010, U.N. Doc.</w:t>
      </w:r>
      <w:r w:rsidRPr="00E42101">
        <w:rPr>
          <w:szCs w:val="16"/>
          <w:lang w:val="es-CR"/>
        </w:rPr>
        <w:t xml:space="preserve"> CEDAW/C/GC/28, párr. 18.</w:t>
      </w:r>
    </w:p>
  </w:footnote>
  <w:footnote w:id="167">
    <w:p w14:paraId="4D87090F" w14:textId="515D4E57" w:rsidR="00604517" w:rsidRPr="00E42101" w:rsidRDefault="00604517" w:rsidP="00E47BD5">
      <w:pPr>
        <w:autoSpaceDE w:val="0"/>
        <w:autoSpaceDN w:val="0"/>
        <w:adjustRightInd w:val="0"/>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i/>
          <w:sz w:val="16"/>
          <w:szCs w:val="16"/>
          <w:lang w:val="es-CR"/>
        </w:rPr>
        <w:t xml:space="preserve">Cfr. </w:t>
      </w:r>
      <w:r w:rsidRPr="00E42101">
        <w:rPr>
          <w:rStyle w:val="Textoennegrita"/>
          <w:b w:val="0"/>
          <w:i/>
          <w:color w:val="000000"/>
          <w:sz w:val="16"/>
          <w:szCs w:val="16"/>
          <w:shd w:val="clear" w:color="auto" w:fill="FFFFFF"/>
          <w:lang w:val="es-CR"/>
        </w:rPr>
        <w:t>Caso Acevedo Buendía y otros (“Cesantes y Jubilados de la Contraloría”) Vs. Perú. Excepción Preliminar, Fondo, Reparaciones y Costas</w:t>
      </w:r>
      <w:r w:rsidRPr="00E42101">
        <w:rPr>
          <w:rStyle w:val="Textoennegrita"/>
          <w:b w:val="0"/>
          <w:color w:val="000000"/>
          <w:sz w:val="16"/>
          <w:szCs w:val="16"/>
          <w:shd w:val="clear" w:color="auto" w:fill="FFFFFF"/>
          <w:lang w:val="es-CR"/>
        </w:rPr>
        <w:t>. Sentencia de 1 de julio de 2009. Serie C No. 198</w:t>
      </w:r>
      <w:r w:rsidRPr="00E42101">
        <w:rPr>
          <w:sz w:val="16"/>
          <w:szCs w:val="16"/>
          <w:lang w:val="es-CR"/>
        </w:rPr>
        <w:t>, párr. 102, y Comité de Derechos Económicos, Sociales y Culturales, Observación General No. 3: La índole de las obligaciones de los Estados Partes (párrafo 1 del artículo 2 del Pacto), 14 de diciembre de 1990, U.N. Doc. E/1991/23</w:t>
      </w:r>
      <w:r w:rsidRPr="00E42101">
        <w:rPr>
          <w:rFonts w:cs="Verdana"/>
          <w:sz w:val="16"/>
          <w:szCs w:val="16"/>
          <w:lang w:val="es-CR"/>
        </w:rPr>
        <w:t>, párr. 9.</w:t>
      </w:r>
    </w:p>
  </w:footnote>
  <w:footnote w:id="168">
    <w:p w14:paraId="507373A4" w14:textId="21A249C7" w:rsidR="00604517" w:rsidRPr="00E42101" w:rsidRDefault="00604517" w:rsidP="00E47BD5">
      <w:pPr>
        <w:autoSpaceDE w:val="0"/>
        <w:autoSpaceDN w:val="0"/>
        <w:adjustRightInd w:val="0"/>
        <w:spacing w:after="120"/>
        <w:rPr>
          <w:sz w:val="16"/>
          <w:szCs w:val="16"/>
          <w:lang w:val="es-CR"/>
        </w:rPr>
      </w:pPr>
      <w:r w:rsidRPr="00E42101">
        <w:rPr>
          <w:rStyle w:val="Refdenotaalpie"/>
          <w:sz w:val="16"/>
          <w:szCs w:val="16"/>
          <w:lang w:val="es-CR"/>
        </w:rPr>
        <w:footnoteRef/>
      </w:r>
      <w:r w:rsidRPr="00E42101">
        <w:rPr>
          <w:b/>
          <w:sz w:val="16"/>
          <w:szCs w:val="16"/>
          <w:lang w:val="es-CR"/>
        </w:rPr>
        <w:tab/>
      </w:r>
      <w:r w:rsidRPr="00E42101">
        <w:rPr>
          <w:i/>
          <w:sz w:val="16"/>
          <w:szCs w:val="16"/>
          <w:lang w:val="es-CR"/>
        </w:rPr>
        <w:t>Cfr. Caso Acevedo Buendía y otros (“Cesantes y Jubilados de la Contraloría”) Vs. Perú. Excepción Preliminar, Fondo, Reparaciones y Costas.</w:t>
      </w:r>
      <w:r w:rsidRPr="00E42101">
        <w:rPr>
          <w:sz w:val="16"/>
          <w:szCs w:val="16"/>
          <w:lang w:val="es-CR"/>
        </w:rPr>
        <w:t xml:space="preserve"> Sentencia de 1 de julio de 2009. Serie C No. 198, párr. 102, y </w:t>
      </w:r>
      <w:r w:rsidRPr="00E42101">
        <w:rPr>
          <w:rFonts w:cs="Verdana"/>
          <w:sz w:val="16"/>
          <w:szCs w:val="16"/>
          <w:lang w:val="es-CR"/>
        </w:rPr>
        <w:t>Comité de Derechos Económicos, Sociales y Culturales, Declaración sobre la “Evaluación de la obligación de adoptar medidas hasta el ‘máximo de los recursos de que disponga’ de conformidad con un protocolo facultativo del Pacto”, 21 de septiembre de 2007, U.N. Doc. E/C.12/2007/1, párrs. 8 y 9.</w:t>
      </w:r>
    </w:p>
  </w:footnote>
  <w:footnote w:id="169">
    <w:p w14:paraId="782849B2" w14:textId="20EC1DE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 párr. 102.</w:t>
      </w:r>
    </w:p>
  </w:footnote>
  <w:footnote w:id="170">
    <w:p w14:paraId="3CA019D1" w14:textId="61DD57E9" w:rsidR="00604517" w:rsidRPr="00E42101" w:rsidRDefault="00604517" w:rsidP="00E47BD5">
      <w:pPr>
        <w:autoSpaceDE w:val="0"/>
        <w:autoSpaceDN w:val="0"/>
        <w:adjustRightInd w:val="0"/>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i/>
          <w:sz w:val="16"/>
          <w:szCs w:val="16"/>
          <w:lang w:val="es-CR"/>
        </w:rPr>
        <w:t>Cfr. Caso Acevedo Buendía y otros (“Cesantes y Jubilados de la Contraloría”) Vs. Perú. Excepción Preliminar, Fondo, Reparaciones y Costas.</w:t>
      </w:r>
      <w:r w:rsidRPr="00E42101">
        <w:rPr>
          <w:sz w:val="16"/>
          <w:szCs w:val="16"/>
          <w:lang w:val="es-CR"/>
        </w:rPr>
        <w:t xml:space="preserve"> Sentencia de 1 de julio de 2009. Serie C No. 198, párr. 103; Comité de Derechos Económicos, Sociales y Culturales, Observación General No. 3: La índole de las obligaciones de los Estados Partes (párrafo 1 del artículo 2 del Pacto), 14 de diciembre de 1990, U.N. Doc. E/1991/23</w:t>
      </w:r>
      <w:r w:rsidRPr="00E42101">
        <w:rPr>
          <w:rFonts w:cs="Verdana"/>
          <w:sz w:val="16"/>
          <w:szCs w:val="16"/>
          <w:lang w:val="es-CR"/>
        </w:rPr>
        <w:t xml:space="preserve">. De acuerdo con el Comité de Derechos Económicos, Sociales y Culturales, “[e]n caso de que un Estado Parte aduzca ‘limitaciones de recursos’ para explicar cualquier medida regresiva que haya adoptado, […] examinará esa información en función de las circunstancias concretas del país de que se trate y con arreglo a los siguientes criterios objetivos: a) [e]l nivel de desarrollo del país; b) [l]a gravedad de la presunta infracción, teniendo particularmente en cuenta si la situación afecta al disfrute de los derechos básicos enunciados en el Pacto; c) [l]a situación económica del país en ese momento, teniendo particularmente en cuenta si el país atraviesa un período de recesión económica; d) [l]a existencia de otras necesidades importantes que el Estado Parte deba satisfacer con los recursos limitados de que dispone; por ejemplo, debido a un reciente desastre natural o a un reciente conflicto armado interno o internacional; e) [s]i el Estado Parte trató de encontrar opciones de bajo costo[,] y f) [s]i el Estado Parte recabó cooperación y asistencia de la comunidad internacional o rechazó sin motivos suficientes los recursos ofrecidos por la comunidad internacional para la aplicación de lo dispuesto en el Pacto”. </w:t>
      </w:r>
      <w:r w:rsidRPr="00E42101">
        <w:rPr>
          <w:rFonts w:cs="Verdana"/>
          <w:i/>
          <w:sz w:val="16"/>
          <w:szCs w:val="16"/>
          <w:lang w:val="es-CR"/>
        </w:rPr>
        <w:t>Cfr.</w:t>
      </w:r>
      <w:r w:rsidRPr="00E42101">
        <w:rPr>
          <w:rFonts w:cs="Verdana"/>
          <w:sz w:val="16"/>
          <w:szCs w:val="16"/>
          <w:lang w:val="es-CR"/>
        </w:rPr>
        <w:t xml:space="preserve"> Comité de Derechos Económicos, Sociales y Culturales, Declaración sobre la “Evaluación de la obligación de adoptar medidas hasta el ‘máximo de los recursos de que disponga’ de conformidad con un protocolo facultativo del Pacto”, 21 de septiembre de 2007, U.N. Doc. E/C.12/2007/1,  párr. 10.</w:t>
      </w:r>
    </w:p>
  </w:footnote>
  <w:footnote w:id="171">
    <w:p w14:paraId="650B2CD5" w14:textId="704F029D"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Acevedo Buendía y otros (“Cesantes y Jubilados de la Contraloría”) Vs. Perú. Excepción Preliminar, Fondo, Reparaciones y Costas.</w:t>
      </w:r>
      <w:r w:rsidRPr="00E42101">
        <w:rPr>
          <w:szCs w:val="16"/>
          <w:lang w:val="es-CR"/>
        </w:rPr>
        <w:t xml:space="preserve"> Sentencia de 1 de julio de 2009. Serie C No. 198,</w:t>
      </w:r>
      <w:r w:rsidRPr="00E42101">
        <w:rPr>
          <w:i/>
          <w:szCs w:val="16"/>
          <w:lang w:val="es-CR"/>
        </w:rPr>
        <w:t xml:space="preserve"> </w:t>
      </w:r>
      <w:r w:rsidRPr="00E42101">
        <w:rPr>
          <w:szCs w:val="16"/>
          <w:lang w:val="es-CR"/>
        </w:rPr>
        <w:t>párr.</w:t>
      </w:r>
      <w:r w:rsidRPr="00E42101">
        <w:rPr>
          <w:i/>
          <w:szCs w:val="16"/>
          <w:lang w:val="es-CR"/>
        </w:rPr>
        <w:t xml:space="preserve"> </w:t>
      </w:r>
      <w:r>
        <w:rPr>
          <w:szCs w:val="16"/>
          <w:lang w:val="es-CR"/>
        </w:rPr>
        <w:t>103,</w:t>
      </w:r>
      <w:r w:rsidRPr="00E42101">
        <w:rPr>
          <w:szCs w:val="16"/>
          <w:lang w:val="es-CR"/>
        </w:rPr>
        <w:t xml:space="preserve"> Informe de Admisibilidad y Fondo No. 38/09, Caso 12.670, Asociación Nacional de Ex Servidores del Instituto Peruano de Seguridad Social y Otras Vs. Perú, emitido por la Comisión Interamericana de Derechos Humanos el 27 de marzo de 2009, </w:t>
      </w:r>
      <w:proofErr w:type="spellStart"/>
      <w:r w:rsidRPr="00E42101">
        <w:rPr>
          <w:szCs w:val="16"/>
          <w:lang w:val="es-CR"/>
        </w:rPr>
        <w:t>párrs</w:t>
      </w:r>
      <w:proofErr w:type="spellEnd"/>
      <w:r w:rsidRPr="00E42101">
        <w:rPr>
          <w:szCs w:val="16"/>
          <w:lang w:val="es-CR"/>
        </w:rPr>
        <w:t>. 140 a 147.</w:t>
      </w:r>
    </w:p>
  </w:footnote>
  <w:footnote w:id="172">
    <w:p w14:paraId="78C3D346" w14:textId="0146ACA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Poblete Vilches y otros Vs. Chile. Fondo, Reparaciones y Costas</w:t>
      </w:r>
      <w:r w:rsidRPr="00E42101">
        <w:rPr>
          <w:szCs w:val="16"/>
          <w:lang w:val="es-CR"/>
        </w:rPr>
        <w:t>. Sentencia de 8 de marzo de 2018. Se</w:t>
      </w:r>
      <w:r>
        <w:rPr>
          <w:szCs w:val="16"/>
          <w:lang w:val="es-CR"/>
        </w:rPr>
        <w:t xml:space="preserve">rie C No. 349, párr. 104 y </w:t>
      </w:r>
      <w:r w:rsidRPr="00E42101">
        <w:rPr>
          <w:szCs w:val="16"/>
          <w:lang w:val="es-CR"/>
        </w:rPr>
        <w:t>Comité de Derechos Económicos, Sociales y Culturales, Observación General  No. 14: “El derecho al disfrute del más alto nivel posible de salud”, 11 de agosto de 2000, U.N. Doc. E/C.12/2000/4, párr. 31.</w:t>
      </w:r>
    </w:p>
  </w:footnote>
  <w:footnote w:id="173">
    <w:p w14:paraId="0B8D13DA" w14:textId="3926DDD7"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 Poblete Vilches y otros Vs. Chile. Fondo, Reparaciones y Costas</w:t>
      </w:r>
      <w:r w:rsidRPr="00E42101">
        <w:rPr>
          <w:szCs w:val="16"/>
          <w:lang w:val="es-CR"/>
        </w:rPr>
        <w:t>. Sentencia de 8 de marzo de 2018. Serie C No. 349,</w:t>
      </w:r>
      <w:r w:rsidRPr="00E42101">
        <w:rPr>
          <w:i/>
          <w:szCs w:val="16"/>
          <w:lang w:val="es-CR"/>
        </w:rPr>
        <w:t xml:space="preserve"> </w:t>
      </w:r>
      <w:r w:rsidRPr="00E42101">
        <w:rPr>
          <w:szCs w:val="16"/>
          <w:lang w:val="es-CR"/>
        </w:rPr>
        <w:t>párr. 104.</w:t>
      </w:r>
    </w:p>
  </w:footnote>
  <w:footnote w:id="174">
    <w:p w14:paraId="470318A5" w14:textId="4D02E91F"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CIDH, Informe de Fondo No. 2/16, </w:t>
      </w:r>
      <w:r w:rsidRPr="00E42101">
        <w:rPr>
          <w:i/>
          <w:szCs w:val="16"/>
          <w:lang w:val="es-CR"/>
        </w:rPr>
        <w:t xml:space="preserve">Luis Ronaldo </w:t>
      </w:r>
      <w:proofErr w:type="spellStart"/>
      <w:r w:rsidRPr="00E42101">
        <w:rPr>
          <w:i/>
          <w:szCs w:val="16"/>
          <w:lang w:val="es-CR"/>
        </w:rPr>
        <w:t>Cuscul</w:t>
      </w:r>
      <w:proofErr w:type="spellEnd"/>
      <w:r w:rsidRPr="00E42101">
        <w:rPr>
          <w:i/>
          <w:szCs w:val="16"/>
          <w:lang w:val="es-CR"/>
        </w:rPr>
        <w:t xml:space="preserve"> Pivaral y otras personas con VIH/SIDA, </w:t>
      </w:r>
      <w:r w:rsidRPr="00E42101">
        <w:rPr>
          <w:szCs w:val="16"/>
          <w:lang w:val="es-CR"/>
        </w:rPr>
        <w:t>Guatemala, 13 de abril de 2016 (expediente de fondo, folio 30).</w:t>
      </w:r>
    </w:p>
  </w:footnote>
  <w:footnote w:id="175">
    <w:p w14:paraId="1CF6226F" w14:textId="3BA48A9B"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w:t>
      </w:r>
      <w:r w:rsidRPr="00E42101">
        <w:rPr>
          <w:i/>
          <w:szCs w:val="16"/>
          <w:lang w:val="es-CR"/>
        </w:rPr>
        <w:t xml:space="preserve"> Caso J. Vs. Perú. Excepción Preliminar, Fondo, Reparaciones y Costas. </w:t>
      </w:r>
      <w:r w:rsidRPr="00E42101">
        <w:rPr>
          <w:szCs w:val="16"/>
          <w:lang w:val="es-CR"/>
        </w:rPr>
        <w:t xml:space="preserve">Sentencia de 27 de noviembre de 2013. Serie C No. 275, párr. 53, y </w:t>
      </w:r>
      <w:r w:rsidRPr="00E42101">
        <w:rPr>
          <w:i/>
          <w:szCs w:val="16"/>
          <w:lang w:val="es-CR"/>
        </w:rPr>
        <w:t xml:space="preserve">Caso Trabajadores Cesados de Petroperú y otros Vs. Perú. Excepciones Preliminares, Fondo, Reparaciones y Costas. </w:t>
      </w:r>
      <w:r w:rsidRPr="00E42101">
        <w:rPr>
          <w:szCs w:val="16"/>
          <w:lang w:val="es-CR"/>
        </w:rPr>
        <w:t>Sentencia de 23 de noviembre de 2017. Serie C No. 344, párr. 67.</w:t>
      </w:r>
    </w:p>
  </w:footnote>
  <w:footnote w:id="176">
    <w:p w14:paraId="2993BF3D" w14:textId="5403E33F" w:rsidR="00604517" w:rsidRPr="00E42101" w:rsidRDefault="00604517" w:rsidP="00E47BD5">
      <w:pPr>
        <w:pStyle w:val="Textonotapie"/>
        <w:tabs>
          <w:tab w:val="left" w:pos="709"/>
        </w:tabs>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szCs w:val="16"/>
          <w:lang w:val="es-CR"/>
        </w:rPr>
        <w:t xml:space="preserve">. </w:t>
      </w:r>
      <w:r w:rsidRPr="00E42101">
        <w:rPr>
          <w:rFonts w:eastAsia="Calibri"/>
          <w:bCs/>
          <w:i/>
          <w:color w:val="000000"/>
          <w:szCs w:val="16"/>
          <w:shd w:val="clear" w:color="auto" w:fill="FFFFFF"/>
          <w:lang w:val="es-CR" w:eastAsia="es-CR"/>
        </w:rPr>
        <w:t>Caso "Cinco Pensionistas" Vs. Perú. Fondo, Reparaciones y Costas.</w:t>
      </w:r>
      <w:r w:rsidRPr="00E42101">
        <w:rPr>
          <w:rFonts w:eastAsia="Calibri"/>
          <w:bCs/>
          <w:color w:val="000000"/>
          <w:szCs w:val="16"/>
          <w:shd w:val="clear" w:color="auto" w:fill="FFFFFF"/>
          <w:lang w:val="es-CR" w:eastAsia="es-CR"/>
        </w:rPr>
        <w:t xml:space="preserve"> Sentencia de 28 de febrero de 2003. Serie C No. 98</w:t>
      </w:r>
      <w:r w:rsidRPr="00E42101">
        <w:rPr>
          <w:szCs w:val="16"/>
          <w:lang w:val="es-CR"/>
        </w:rPr>
        <w:t xml:space="preserve">, párr. 153, y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148.</w:t>
      </w:r>
    </w:p>
  </w:footnote>
  <w:footnote w:id="177">
    <w:p w14:paraId="241C4281" w14:textId="66F01F39"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rStyle w:val="Textoennegrita"/>
          <w:b w:val="0"/>
          <w:i/>
          <w:szCs w:val="16"/>
          <w:lang w:val="es-CR"/>
        </w:rPr>
        <w:t>Caso García Ibarra y otros Vs. Ecuador. Excepciones Preliminares, Fondo, Reparaciones y Costas.</w:t>
      </w:r>
      <w:r w:rsidRPr="00E42101">
        <w:rPr>
          <w:rStyle w:val="Textoennegrita"/>
          <w:b w:val="0"/>
          <w:szCs w:val="16"/>
          <w:lang w:val="es-CR"/>
        </w:rPr>
        <w:t xml:space="preserve"> Sentencia de 17 de noviembre de 2015. Serie C No. 306., párr. 48, y </w:t>
      </w:r>
      <w:r w:rsidRPr="00E42101">
        <w:rPr>
          <w:i/>
          <w:szCs w:val="16"/>
          <w:lang w:val="es-CR"/>
        </w:rPr>
        <w:t xml:space="preserve">Caso Trabajadores Cesados de Petroperú y otros Vs. Perú. Excepciones Preliminares, Fondo, Reparaciones y Costas. </w:t>
      </w:r>
      <w:r w:rsidRPr="00E42101">
        <w:rPr>
          <w:szCs w:val="16"/>
          <w:lang w:val="es-CR"/>
        </w:rPr>
        <w:t>Sentencia de 23 de noviembre de 2017. Serie C No. 344, párr. 65.</w:t>
      </w:r>
    </w:p>
  </w:footnote>
  <w:footnote w:id="178">
    <w:p w14:paraId="6B30234E" w14:textId="7BA556D0" w:rsidR="00604517" w:rsidRPr="00E42101" w:rsidRDefault="00604517" w:rsidP="00E47BD5">
      <w:pPr>
        <w:pStyle w:val="Textonotapie"/>
        <w:tabs>
          <w:tab w:val="left" w:pos="709"/>
        </w:tabs>
        <w:rPr>
          <w:b/>
          <w:szCs w:val="16"/>
          <w:lang w:val="es-CR"/>
        </w:rPr>
      </w:pPr>
      <w:r w:rsidRPr="00E42101">
        <w:rPr>
          <w:rStyle w:val="Refdenotaalpie"/>
          <w:szCs w:val="16"/>
          <w:lang w:val="es-CR"/>
        </w:rPr>
        <w:footnoteRef/>
      </w:r>
      <w:r w:rsidRPr="00E42101">
        <w:rPr>
          <w:szCs w:val="16"/>
          <w:lang w:val="es-CR"/>
        </w:rPr>
        <w:tab/>
      </w:r>
      <w:r w:rsidRPr="00E42101">
        <w:rPr>
          <w:i/>
          <w:iCs/>
          <w:szCs w:val="16"/>
          <w:lang w:val="es-CR"/>
        </w:rPr>
        <w:t xml:space="preserve">Cfr. </w:t>
      </w:r>
      <w:r w:rsidRPr="00E42101">
        <w:rPr>
          <w:rFonts w:eastAsia="Calibri"/>
          <w:bCs/>
          <w:i/>
          <w:color w:val="000000"/>
          <w:szCs w:val="16"/>
          <w:shd w:val="clear" w:color="auto" w:fill="FFFFFF"/>
          <w:lang w:val="es-CR" w:eastAsia="es-CR"/>
        </w:rPr>
        <w:t>Caso de la "Masacre de Mapiripán" Vs. Colombia. Sentencia de 15 de septiembre de 2005.</w:t>
      </w:r>
      <w:r w:rsidRPr="00E42101">
        <w:rPr>
          <w:rFonts w:eastAsia="Calibri"/>
          <w:bCs/>
          <w:color w:val="000000"/>
          <w:szCs w:val="16"/>
          <w:shd w:val="clear" w:color="auto" w:fill="FFFFFF"/>
          <w:lang w:val="es-CR" w:eastAsia="es-CR"/>
        </w:rPr>
        <w:t xml:space="preserve"> Serie C No. 134</w:t>
      </w:r>
      <w:r>
        <w:rPr>
          <w:szCs w:val="16"/>
          <w:lang w:val="es-CR"/>
        </w:rPr>
        <w:t>, párr. 5</w:t>
      </w:r>
      <w:r w:rsidRPr="00E42101">
        <w:rPr>
          <w:szCs w:val="16"/>
          <w:lang w:val="es-CR"/>
        </w:rPr>
        <w:t xml:space="preserve">9, y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148.</w:t>
      </w:r>
    </w:p>
  </w:footnote>
  <w:footnote w:id="179">
    <w:p w14:paraId="6ACCB9EB" w14:textId="7400954C" w:rsidR="00604517" w:rsidRPr="00E42101" w:rsidRDefault="00604517" w:rsidP="00E47BD5">
      <w:pPr>
        <w:tabs>
          <w:tab w:val="left" w:pos="567"/>
        </w:tabs>
        <w:spacing w:after="120"/>
        <w:ind w:right="51"/>
        <w:rPr>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iCs/>
          <w:sz w:val="16"/>
          <w:szCs w:val="16"/>
          <w:lang w:val="es-CR"/>
        </w:rPr>
        <w:t xml:space="preserve">Cfr. </w:t>
      </w:r>
      <w:r w:rsidRPr="00E42101">
        <w:rPr>
          <w:i/>
          <w:sz w:val="16"/>
          <w:szCs w:val="16"/>
          <w:lang w:val="es-CR"/>
        </w:rPr>
        <w:t>Caso de los “Niños de la Calle” (Villagrán Morales y otros) Vs. Guatemala. Fondo</w:t>
      </w:r>
      <w:r w:rsidRPr="00E42101">
        <w:rPr>
          <w:sz w:val="16"/>
          <w:szCs w:val="16"/>
          <w:lang w:val="es-CR"/>
        </w:rPr>
        <w:t xml:space="preserve">. Sentencia de 19 de noviembre de 1999. Serie C No. 63, párr. 144, y </w:t>
      </w:r>
      <w:r w:rsidRPr="00E42101">
        <w:rPr>
          <w:i/>
          <w:sz w:val="16"/>
          <w:szCs w:val="16"/>
          <w:lang w:val="es-CR"/>
        </w:rPr>
        <w:t>Caso Poblete Vilches y otros Vs. Chile. Fondo, Reparaciones y Costas.</w:t>
      </w:r>
      <w:r w:rsidRPr="00E42101">
        <w:rPr>
          <w:sz w:val="16"/>
          <w:szCs w:val="16"/>
          <w:lang w:val="es-CR"/>
        </w:rPr>
        <w:t xml:space="preserve"> Sentencia de 8 de marzo de 2018. Serie C No. 349, párr. 145.</w:t>
      </w:r>
    </w:p>
  </w:footnote>
  <w:footnote w:id="180">
    <w:p w14:paraId="292EC038" w14:textId="3B981AB2" w:rsidR="00604517" w:rsidRPr="00E42101" w:rsidRDefault="00604517" w:rsidP="00E47BD5">
      <w:pPr>
        <w:tabs>
          <w:tab w:val="left" w:pos="567"/>
        </w:tabs>
        <w:spacing w:after="120"/>
        <w:ind w:right="51"/>
        <w:rPr>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iCs/>
          <w:sz w:val="16"/>
          <w:szCs w:val="16"/>
          <w:lang w:val="es-CR"/>
        </w:rPr>
        <w:t xml:space="preserve">Cfr. </w:t>
      </w:r>
      <w:r w:rsidRPr="00E42101">
        <w:rPr>
          <w:i/>
          <w:sz w:val="16"/>
          <w:szCs w:val="16"/>
          <w:lang w:val="es-CR"/>
        </w:rPr>
        <w:t>Caso Juan Humberto Sánchez Vs. Honduras. Excepción Preliminar, Fondo, Reparaciones y Costas</w:t>
      </w:r>
      <w:r w:rsidRPr="00E42101">
        <w:rPr>
          <w:sz w:val="16"/>
          <w:szCs w:val="16"/>
          <w:lang w:val="es-CR"/>
        </w:rPr>
        <w:t xml:space="preserve">. Sentencia de 7 de junio de 2003. Serie C No. 99, párr. 110, y </w:t>
      </w:r>
      <w:r w:rsidRPr="00E42101">
        <w:rPr>
          <w:i/>
          <w:sz w:val="16"/>
          <w:szCs w:val="16"/>
          <w:lang w:val="es-CR"/>
        </w:rPr>
        <w:t>Caso Poblete Vilches y otros Vs. Chile. Fondo, Reparaciones y Costas.</w:t>
      </w:r>
      <w:r w:rsidRPr="00E42101">
        <w:rPr>
          <w:sz w:val="16"/>
          <w:szCs w:val="16"/>
          <w:lang w:val="es-CR"/>
        </w:rPr>
        <w:t xml:space="preserve"> Sentencia de 8 de marzo de 2018. Serie C No. 349, párr. 146.</w:t>
      </w:r>
    </w:p>
  </w:footnote>
  <w:footnote w:id="181">
    <w:p w14:paraId="0190EA55" w14:textId="4E78D9C9" w:rsidR="00604517" w:rsidRPr="00E42101" w:rsidRDefault="00604517" w:rsidP="00E47BD5">
      <w:pPr>
        <w:tabs>
          <w:tab w:val="left" w:pos="567"/>
        </w:tabs>
        <w:spacing w:after="120"/>
        <w:ind w:right="51"/>
        <w:rPr>
          <w:bCs/>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iCs/>
          <w:sz w:val="16"/>
          <w:szCs w:val="16"/>
          <w:lang w:val="es-CR"/>
        </w:rPr>
        <w:t xml:space="preserve">Cfr. </w:t>
      </w:r>
      <w:r w:rsidRPr="00E42101">
        <w:rPr>
          <w:i/>
          <w:sz w:val="16"/>
          <w:szCs w:val="16"/>
          <w:lang w:val="es-CR"/>
        </w:rPr>
        <w:t>Caso de los “Niños de la Calle” (Villagrán Morales y otros) Vs. Guatemala. Fondo</w:t>
      </w:r>
      <w:r w:rsidRPr="00E42101">
        <w:rPr>
          <w:sz w:val="16"/>
          <w:szCs w:val="16"/>
          <w:lang w:val="es-CR"/>
        </w:rPr>
        <w:t xml:space="preserve">. Sentencia de 19 de noviembre de 1999. Serie C No. 63, párr. 144, y </w:t>
      </w:r>
      <w:r w:rsidRPr="00E42101">
        <w:rPr>
          <w:i/>
          <w:sz w:val="16"/>
          <w:szCs w:val="16"/>
          <w:lang w:val="es-CR"/>
        </w:rPr>
        <w:t>Caso Poblete Vilches y otros Vs. Chile. Fondo, Reparaciones y Costas.</w:t>
      </w:r>
      <w:r w:rsidRPr="00E42101">
        <w:rPr>
          <w:sz w:val="16"/>
          <w:szCs w:val="16"/>
          <w:lang w:val="es-CR"/>
        </w:rPr>
        <w:t xml:space="preserve"> Sentencia de 8 de marzo de 2018. Serie C No. 349, párr. 148.</w:t>
      </w:r>
    </w:p>
  </w:footnote>
  <w:footnote w:id="182">
    <w:p w14:paraId="2B910691" w14:textId="56C0B3EE" w:rsidR="00604517" w:rsidRPr="00E42101" w:rsidRDefault="00604517" w:rsidP="00E47BD5">
      <w:pPr>
        <w:pStyle w:val="Textonotapie"/>
        <w:spacing w:before="0"/>
        <w:rPr>
          <w:szCs w:val="16"/>
          <w:lang w:val="es-CR"/>
        </w:rPr>
      </w:pPr>
      <w:r w:rsidRPr="00E42101">
        <w:rPr>
          <w:rStyle w:val="Refdenotaalpie"/>
          <w:rFonts w:eastAsia="Calibri"/>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Ximenes</w:t>
      </w:r>
      <w:proofErr w:type="spellEnd"/>
      <w:r w:rsidRPr="00E42101">
        <w:rPr>
          <w:i/>
          <w:szCs w:val="16"/>
          <w:lang w:val="es-CR"/>
        </w:rPr>
        <w:t xml:space="preserve"> </w:t>
      </w:r>
      <w:proofErr w:type="spellStart"/>
      <w:r w:rsidRPr="00E42101">
        <w:rPr>
          <w:i/>
          <w:szCs w:val="16"/>
          <w:lang w:val="es-CR"/>
        </w:rPr>
        <w:t>Lopes</w:t>
      </w:r>
      <w:proofErr w:type="spellEnd"/>
      <w:r w:rsidRPr="00E42101">
        <w:rPr>
          <w:i/>
          <w:szCs w:val="16"/>
          <w:lang w:val="es-CR"/>
        </w:rPr>
        <w:t xml:space="preserve"> Vs. Brasil</w:t>
      </w:r>
      <w:r w:rsidRPr="00E42101">
        <w:rPr>
          <w:szCs w:val="16"/>
          <w:lang w:val="es-CR"/>
        </w:rPr>
        <w:t xml:space="preserve">, Sentencia de 4 de julio de 2006. Serie C No. 149, </w:t>
      </w:r>
      <w:proofErr w:type="spellStart"/>
      <w:r w:rsidRPr="00E42101">
        <w:rPr>
          <w:szCs w:val="16"/>
          <w:lang w:val="es-CR"/>
        </w:rPr>
        <w:t>párrs</w:t>
      </w:r>
      <w:proofErr w:type="spellEnd"/>
      <w:r w:rsidRPr="00E42101">
        <w:rPr>
          <w:szCs w:val="16"/>
          <w:lang w:val="es-CR"/>
        </w:rPr>
        <w:t xml:space="preserve">. 120-122, 146 y 150, y </w:t>
      </w:r>
      <w:r w:rsidRPr="00E42101">
        <w:rPr>
          <w:i/>
          <w:szCs w:val="16"/>
          <w:lang w:val="es-CR"/>
        </w:rPr>
        <w:t>Caso Poblete Vilches y otros Vs. Chile. Fondo, Reparaciones y Costas.</w:t>
      </w:r>
      <w:r w:rsidRPr="00E42101">
        <w:rPr>
          <w:szCs w:val="16"/>
          <w:lang w:val="es-CR"/>
        </w:rPr>
        <w:t xml:space="preserve"> Sentencia de 8 de marzo de 2018. Serie C No. 349, párr. 148.</w:t>
      </w:r>
    </w:p>
  </w:footnote>
  <w:footnote w:id="183">
    <w:p w14:paraId="75B5A8F6" w14:textId="494A68F0"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rStyle w:val="Refdenotaalpie"/>
          <w:rFonts w:eastAsia="Calibri"/>
          <w:szCs w:val="16"/>
          <w:lang w:val="es-CR"/>
        </w:rPr>
        <w:tab/>
      </w:r>
      <w:r w:rsidRPr="00E42101">
        <w:rPr>
          <w:i/>
          <w:szCs w:val="16"/>
          <w:lang w:val="es-CR"/>
        </w:rPr>
        <w:t>Caso Poblete Vilches y otros Vs. Chile. Fondo, Reparaciones y Costas.</w:t>
      </w:r>
      <w:r w:rsidRPr="00E42101">
        <w:rPr>
          <w:szCs w:val="16"/>
          <w:lang w:val="es-CR"/>
        </w:rPr>
        <w:t xml:space="preserve"> Sentencia de 8 de marzo de 2018. Serie C No. 349, párr. 148.</w:t>
      </w:r>
    </w:p>
  </w:footnote>
  <w:footnote w:id="184">
    <w:p w14:paraId="551FDFB9" w14:textId="4CAE8116" w:rsidR="00604517" w:rsidRPr="00E42101" w:rsidRDefault="00604517" w:rsidP="00E47BD5">
      <w:pPr>
        <w:pStyle w:val="Textonotapie"/>
        <w:spacing w:before="0"/>
        <w:rPr>
          <w:szCs w:val="16"/>
          <w:lang w:val="es-CR"/>
        </w:rPr>
      </w:pPr>
      <w:r w:rsidRPr="00E42101">
        <w:rPr>
          <w:rStyle w:val="Refdenotaalpie"/>
          <w:rFonts w:eastAsia="Calibri"/>
          <w:szCs w:val="16"/>
          <w:lang w:val="es-CR"/>
        </w:rPr>
        <w:footnoteRef/>
      </w:r>
      <w:r w:rsidRPr="00E42101">
        <w:rPr>
          <w:rStyle w:val="Refdenotaalpie"/>
          <w:rFonts w:eastAsia="Calibri"/>
          <w:szCs w:val="16"/>
          <w:lang w:val="es-CR"/>
        </w:rPr>
        <w:t xml:space="preserve"> </w:t>
      </w:r>
      <w:r w:rsidRPr="00E42101">
        <w:rPr>
          <w:rStyle w:val="Refdenotaalpie"/>
          <w:rFonts w:eastAsia="Calibri"/>
          <w:szCs w:val="16"/>
          <w:lang w:val="es-CR"/>
        </w:rPr>
        <w:tab/>
      </w:r>
      <w:r w:rsidRPr="00E42101">
        <w:rPr>
          <w:rFonts w:eastAsia="Calibri"/>
          <w:i/>
          <w:szCs w:val="16"/>
          <w:lang w:val="es-CR"/>
        </w:rPr>
        <w:t xml:space="preserve">Cfr. Caso Comunidad Indígena </w:t>
      </w:r>
      <w:proofErr w:type="spellStart"/>
      <w:r w:rsidRPr="00E42101">
        <w:rPr>
          <w:rFonts w:eastAsia="Calibri"/>
          <w:i/>
          <w:szCs w:val="16"/>
          <w:lang w:val="es-CR"/>
        </w:rPr>
        <w:t>Xákmok</w:t>
      </w:r>
      <w:proofErr w:type="spellEnd"/>
      <w:r w:rsidRPr="00E42101">
        <w:rPr>
          <w:rFonts w:eastAsia="Calibri"/>
          <w:i/>
          <w:szCs w:val="16"/>
          <w:lang w:val="es-CR"/>
        </w:rPr>
        <w:t xml:space="preserve"> </w:t>
      </w:r>
      <w:proofErr w:type="spellStart"/>
      <w:r w:rsidRPr="00E42101">
        <w:rPr>
          <w:rFonts w:eastAsia="Calibri"/>
          <w:i/>
          <w:szCs w:val="16"/>
          <w:lang w:val="es-CR"/>
        </w:rPr>
        <w:t>Kásek</w:t>
      </w:r>
      <w:proofErr w:type="spellEnd"/>
      <w:r w:rsidRPr="00E42101">
        <w:rPr>
          <w:rFonts w:eastAsia="Calibri"/>
          <w:i/>
          <w:szCs w:val="16"/>
          <w:lang w:val="es-CR"/>
        </w:rPr>
        <w:t xml:space="preserve"> Vs. Paraguay. Fondo, Reparaciones y Costas.</w:t>
      </w:r>
      <w:r w:rsidRPr="00E42101">
        <w:rPr>
          <w:rFonts w:eastAsia="Calibri"/>
          <w:szCs w:val="16"/>
          <w:lang w:val="es-CR"/>
        </w:rPr>
        <w:t xml:space="preserve"> Sentencia de 24 de agosto de 2010. Serie C No. 214, párr. 227, y </w:t>
      </w:r>
      <w:r w:rsidRPr="00E42101">
        <w:rPr>
          <w:i/>
          <w:szCs w:val="16"/>
          <w:lang w:val="es-CR"/>
        </w:rPr>
        <w:t>Caso Poblete Vilches y otros Vs. Chile. Fondo, Reparaciones y Costas.</w:t>
      </w:r>
      <w:r w:rsidRPr="00E42101">
        <w:rPr>
          <w:szCs w:val="16"/>
          <w:lang w:val="es-CR"/>
        </w:rPr>
        <w:t xml:space="preserve"> Sentencia de 8 de marzo de 2018. Serie C No. 349, párr. 148</w:t>
      </w:r>
      <w:r w:rsidRPr="00E42101">
        <w:rPr>
          <w:rFonts w:eastAsia="Calibri"/>
          <w:szCs w:val="16"/>
          <w:lang w:val="es-CR"/>
        </w:rPr>
        <w:t xml:space="preserve">. </w:t>
      </w:r>
    </w:p>
  </w:footnote>
  <w:footnote w:id="185">
    <w:p w14:paraId="42D6ADE0" w14:textId="73C98BB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Ximenes</w:t>
      </w:r>
      <w:proofErr w:type="spellEnd"/>
      <w:r w:rsidRPr="00E42101">
        <w:rPr>
          <w:i/>
          <w:szCs w:val="16"/>
          <w:lang w:val="es-CR"/>
        </w:rPr>
        <w:t xml:space="preserve"> </w:t>
      </w:r>
      <w:proofErr w:type="spellStart"/>
      <w:r w:rsidRPr="00E42101">
        <w:rPr>
          <w:i/>
          <w:szCs w:val="16"/>
          <w:lang w:val="es-CR"/>
        </w:rPr>
        <w:t>Lopes</w:t>
      </w:r>
      <w:proofErr w:type="spellEnd"/>
      <w:r w:rsidRPr="00E42101">
        <w:rPr>
          <w:i/>
          <w:szCs w:val="16"/>
          <w:lang w:val="es-CR"/>
        </w:rPr>
        <w:t xml:space="preserve"> Vs. Brasil. </w:t>
      </w:r>
      <w:r w:rsidRPr="00E42101">
        <w:rPr>
          <w:szCs w:val="16"/>
          <w:lang w:val="es-CR"/>
        </w:rPr>
        <w:t xml:space="preserve">Sentencia de 4 de julio de 2006. Serie C No. 149, párr. 125, y </w:t>
      </w:r>
      <w:r w:rsidRPr="00E42101">
        <w:rPr>
          <w:i/>
          <w:szCs w:val="16"/>
          <w:lang w:val="es-CR"/>
        </w:rPr>
        <w:t>Caso Poblete Vilches y otros Vs. Chile. Fondo, Reparaciones y Costas.</w:t>
      </w:r>
      <w:r w:rsidRPr="00E42101">
        <w:rPr>
          <w:szCs w:val="16"/>
          <w:lang w:val="es-CR"/>
        </w:rPr>
        <w:t xml:space="preserve"> Sentencia de 8 de marzo de 2018. Serie C No. 349, párr. 148.  </w:t>
      </w:r>
    </w:p>
  </w:footnote>
  <w:footnote w:id="186">
    <w:p w14:paraId="6782C186" w14:textId="68D5672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Peritaje rendido por Ricardo Boza Cordero en la audiencia pública celebrada ante esta Corte e informe escrito sobre dicho peritaje (expediente de fondo, folio 1458).</w:t>
      </w:r>
    </w:p>
  </w:footnote>
  <w:footnote w:id="187">
    <w:p w14:paraId="74B42088" w14:textId="7E957AD2" w:rsidR="00604517" w:rsidRPr="00E42101" w:rsidRDefault="00604517" w:rsidP="00E47BD5">
      <w:pPr>
        <w:tabs>
          <w:tab w:val="left" w:pos="567"/>
          <w:tab w:val="left" w:pos="2265"/>
        </w:tabs>
        <w:spacing w:after="120"/>
        <w:ind w:right="51"/>
        <w:rPr>
          <w:b/>
          <w:sz w:val="16"/>
          <w:szCs w:val="16"/>
          <w:lang w:val="es-CR"/>
        </w:rPr>
      </w:pPr>
      <w:r w:rsidRPr="00E42101">
        <w:rPr>
          <w:rStyle w:val="Refdenotaalpie"/>
          <w:rFonts w:eastAsia="Times"/>
          <w:sz w:val="16"/>
          <w:szCs w:val="16"/>
          <w:lang w:val="es-CR"/>
        </w:rPr>
        <w:footnoteRef/>
      </w:r>
      <w:r w:rsidRPr="00E42101">
        <w:rPr>
          <w:bCs/>
          <w:iCs/>
          <w:sz w:val="16"/>
          <w:szCs w:val="16"/>
          <w:lang w:val="es-CR"/>
        </w:rPr>
        <w:tab/>
        <w:t xml:space="preserve">  </w:t>
      </w:r>
      <w:r w:rsidRPr="00E42101">
        <w:rPr>
          <w:bCs/>
          <w:i/>
          <w:iCs/>
          <w:sz w:val="16"/>
          <w:szCs w:val="16"/>
          <w:lang w:val="es-CR"/>
        </w:rPr>
        <w:t>Cfr. Caso Loayza Tamayo Vs. Perú. Fondo. Sentencia de 17 de septiembre de 1997.</w:t>
      </w:r>
      <w:r w:rsidRPr="00E42101">
        <w:rPr>
          <w:bCs/>
          <w:iCs/>
          <w:sz w:val="16"/>
          <w:szCs w:val="16"/>
          <w:lang w:val="es-CR"/>
        </w:rPr>
        <w:t xml:space="preserve"> Serie C No. 33, párr. 57, y </w:t>
      </w:r>
      <w:r w:rsidRPr="00E42101">
        <w:rPr>
          <w:bCs/>
          <w:i/>
          <w:iCs/>
          <w:sz w:val="16"/>
          <w:szCs w:val="16"/>
          <w:lang w:val="es-CR"/>
        </w:rPr>
        <w:t>Caso Pueblo Indígena Xucuru y sus miembros Vs. Brasil. Excepciones Preliminares, Fondo, Reparaciones y Costas.</w:t>
      </w:r>
      <w:r w:rsidRPr="00E42101">
        <w:rPr>
          <w:bCs/>
          <w:iCs/>
          <w:sz w:val="16"/>
          <w:szCs w:val="16"/>
          <w:lang w:val="es-CR"/>
        </w:rPr>
        <w:t xml:space="preserve"> Sentencia de 5 de febrero de 2018. Serie C No. 346, párr. 171.</w:t>
      </w:r>
    </w:p>
  </w:footnote>
  <w:footnote w:id="188">
    <w:p w14:paraId="3D50FDF0" w14:textId="5B3F241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Albán Cornejo y otros Vs. Ecuador. Fondo, Reparaciones y Costas.</w:t>
      </w:r>
      <w:r w:rsidRPr="00E42101">
        <w:rPr>
          <w:szCs w:val="16"/>
          <w:lang w:val="es-CR"/>
        </w:rPr>
        <w:t xml:space="preserve"> Sentencia de 22 de noviembre de 2007. Serie C No. 171, párr. 117, y </w:t>
      </w:r>
      <w:r w:rsidRPr="00E42101">
        <w:rPr>
          <w:i/>
          <w:szCs w:val="16"/>
          <w:lang w:val="es-CR"/>
        </w:rPr>
        <w:t>Caso Poblete Vilches y otros Vs. Chile. Fondo, Reparaciones y Costas</w:t>
      </w:r>
      <w:r w:rsidRPr="00E42101">
        <w:rPr>
          <w:szCs w:val="16"/>
          <w:lang w:val="es-CR"/>
        </w:rPr>
        <w:t>. Sentencia de 8 de marzo de 2018. Serie C No. 349, párr. 152.</w:t>
      </w:r>
    </w:p>
  </w:footnote>
  <w:footnote w:id="189">
    <w:p w14:paraId="672AB5D4" w14:textId="387C39FC"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szCs w:val="16"/>
          <w:lang w:val="es-CR"/>
        </w:rPr>
        <w:t>Cfr. Caso Tibi Vs. Ecuador. Excepciones Preliminares, Fondo, Reparaciones y Costas.</w:t>
      </w:r>
      <w:r w:rsidRPr="00E42101">
        <w:rPr>
          <w:szCs w:val="16"/>
          <w:lang w:val="es-CR"/>
        </w:rPr>
        <w:t xml:space="preserve"> Sentencia de 7 de septiembre de 2004. Serie C No. 114, párr. 156 y 157, y </w:t>
      </w:r>
      <w:r w:rsidRPr="00E42101">
        <w:rPr>
          <w:i/>
          <w:szCs w:val="16"/>
          <w:lang w:val="es-CR"/>
        </w:rPr>
        <w:t>Caso Poblete Vilches y otros Vs. Chile. Fondo, Reparaciones y Costas.</w:t>
      </w:r>
      <w:r w:rsidRPr="00E42101">
        <w:rPr>
          <w:szCs w:val="16"/>
          <w:lang w:val="es-CR"/>
        </w:rPr>
        <w:t xml:space="preserve"> Sentencia de 8 de marzo de 2018. Serie C No. 349, párr. 152.</w:t>
      </w:r>
    </w:p>
  </w:footnote>
  <w:footnote w:id="190">
    <w:p w14:paraId="6C8E7774" w14:textId="301644E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w:t>
      </w:r>
      <w:proofErr w:type="spellStart"/>
      <w:r w:rsidRPr="00E42101">
        <w:rPr>
          <w:i/>
          <w:szCs w:val="16"/>
          <w:lang w:val="es-CR"/>
        </w:rPr>
        <w:t>Ximenes</w:t>
      </w:r>
      <w:proofErr w:type="spellEnd"/>
      <w:r w:rsidRPr="00E42101">
        <w:rPr>
          <w:i/>
          <w:szCs w:val="16"/>
          <w:lang w:val="es-CR"/>
        </w:rPr>
        <w:t xml:space="preserve"> </w:t>
      </w:r>
      <w:proofErr w:type="spellStart"/>
      <w:r w:rsidRPr="00E42101">
        <w:rPr>
          <w:i/>
          <w:szCs w:val="16"/>
          <w:lang w:val="es-CR"/>
        </w:rPr>
        <w:t>Lopes</w:t>
      </w:r>
      <w:proofErr w:type="spellEnd"/>
      <w:r w:rsidRPr="00E42101">
        <w:rPr>
          <w:i/>
          <w:szCs w:val="16"/>
          <w:lang w:val="es-CR"/>
        </w:rPr>
        <w:t xml:space="preserve"> Vs. Brasil. Sentencia de 4 de julio de 2006.</w:t>
      </w:r>
      <w:r w:rsidRPr="00E42101">
        <w:rPr>
          <w:szCs w:val="16"/>
          <w:lang w:val="es-CR"/>
        </w:rPr>
        <w:t xml:space="preserve"> Serie C No. 149, </w:t>
      </w:r>
      <w:proofErr w:type="spellStart"/>
      <w:r w:rsidRPr="00E42101">
        <w:rPr>
          <w:szCs w:val="16"/>
          <w:lang w:val="es-CR"/>
        </w:rPr>
        <w:t>párrs</w:t>
      </w:r>
      <w:proofErr w:type="spellEnd"/>
      <w:r w:rsidRPr="00E42101">
        <w:rPr>
          <w:szCs w:val="16"/>
          <w:lang w:val="es-CR"/>
        </w:rPr>
        <w:t xml:space="preserve">. 89 y 90, y </w:t>
      </w:r>
      <w:r w:rsidRPr="00E42101">
        <w:rPr>
          <w:i/>
          <w:szCs w:val="16"/>
          <w:lang w:val="es-CR"/>
        </w:rPr>
        <w:t>Caso Poblete Vilches y otros Vs. Chile. Fondo, Reparaciones y Costas.</w:t>
      </w:r>
      <w:r w:rsidRPr="00E42101">
        <w:rPr>
          <w:szCs w:val="16"/>
          <w:lang w:val="es-CR"/>
        </w:rPr>
        <w:t xml:space="preserve"> Sentencia de 8 de marzo de 20</w:t>
      </w:r>
      <w:r>
        <w:rPr>
          <w:szCs w:val="16"/>
          <w:lang w:val="es-CR"/>
        </w:rPr>
        <w:t>18. Serie C No. 349, párr. 152.</w:t>
      </w:r>
    </w:p>
  </w:footnote>
  <w:footnote w:id="191">
    <w:p w14:paraId="30899D7E" w14:textId="109C66B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w:t>
      </w:r>
      <w:r w:rsidRPr="00E42101">
        <w:rPr>
          <w:szCs w:val="16"/>
          <w:lang w:val="es-CR"/>
        </w:rPr>
        <w:t xml:space="preserve">Peritaje de la Dra. Olga Alicia Paz Bailey rendido el 17 de diciembre de 2017 (expediente </w:t>
      </w:r>
      <w:r>
        <w:rPr>
          <w:szCs w:val="16"/>
          <w:lang w:val="es-CR"/>
        </w:rPr>
        <w:t>de fondo, folios 1412 y 1419).</w:t>
      </w:r>
    </w:p>
  </w:footnote>
  <w:footnote w:id="192">
    <w:p w14:paraId="2A6BCA75" w14:textId="70701552" w:rsidR="00604517" w:rsidRPr="00E42101" w:rsidRDefault="00604517" w:rsidP="00E47BD5">
      <w:pPr>
        <w:pStyle w:val="Textonotapie"/>
        <w:spacing w:before="0"/>
        <w:rPr>
          <w:i/>
          <w:szCs w:val="16"/>
          <w:lang w:val="es-CR"/>
        </w:rPr>
      </w:pPr>
      <w:r w:rsidRPr="00E42101">
        <w:rPr>
          <w:rStyle w:val="Refdenotaalpie"/>
          <w:szCs w:val="16"/>
          <w:lang w:val="es-CR"/>
        </w:rPr>
        <w:footnoteRef/>
      </w:r>
      <w:r w:rsidRPr="00E42101">
        <w:rPr>
          <w:szCs w:val="16"/>
          <w:lang w:val="es-CR"/>
        </w:rPr>
        <w:tab/>
        <w:t>Peritaje de la Dra. Olga Alicia Paz Bailey rendido el 17 de diciembre de 2017 (exp</w:t>
      </w:r>
      <w:r>
        <w:rPr>
          <w:szCs w:val="16"/>
          <w:lang w:val="es-CR"/>
        </w:rPr>
        <w:t>ediente de fondo, folio 1436).</w:t>
      </w:r>
    </w:p>
  </w:footnote>
  <w:footnote w:id="193">
    <w:p w14:paraId="24D83598" w14:textId="0AB3C0ED"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En referido supuesto se encuentran: i) Ismar Ramírez Chajón, ii) José Cupertino Ramírez, iii) Sebastián Emilio Dueñas, iv) Julia</w:t>
      </w:r>
      <w:r>
        <w:rPr>
          <w:sz w:val="16"/>
          <w:szCs w:val="16"/>
          <w:lang w:val="es-CR"/>
        </w:rPr>
        <w:t xml:space="preserve"> Aguilar, v) Luis Rubén Isabel A</w:t>
      </w:r>
      <w:r w:rsidRPr="00E42101">
        <w:rPr>
          <w:sz w:val="16"/>
          <w:szCs w:val="16"/>
          <w:lang w:val="es-CR"/>
        </w:rPr>
        <w:t>lvarez Flores, vi) Saira Elisa Barrios, vii) F</w:t>
      </w:r>
      <w:r>
        <w:rPr>
          <w:sz w:val="16"/>
          <w:szCs w:val="16"/>
          <w:lang w:val="es-CR"/>
        </w:rPr>
        <w:t>e</w:t>
      </w:r>
      <w:r w:rsidRPr="00E42101">
        <w:rPr>
          <w:sz w:val="16"/>
          <w:szCs w:val="16"/>
          <w:lang w:val="es-CR"/>
        </w:rPr>
        <w:t>lix de</w:t>
      </w:r>
      <w:r>
        <w:rPr>
          <w:sz w:val="16"/>
          <w:szCs w:val="16"/>
          <w:lang w:val="es-CR"/>
        </w:rPr>
        <w:t xml:space="preserve"> Jesús Cabrera Morales, viii) Cé</w:t>
      </w:r>
      <w:r w:rsidRPr="00E42101">
        <w:rPr>
          <w:sz w:val="16"/>
          <w:szCs w:val="16"/>
          <w:lang w:val="es-CR"/>
        </w:rPr>
        <w:t xml:space="preserve">sar Noé Cancinos Gómez, ix) Aracely Cinto, x) Luis Rolando Cuscul Pivaral, xi) María Felipe Pérez, xii) Mardo Luis Hernández y Hernández, xiii) Luis Armando Linares Ruano, xiv) Pascuala </w:t>
      </w:r>
      <w:r>
        <w:rPr>
          <w:sz w:val="16"/>
          <w:szCs w:val="16"/>
          <w:lang w:val="es-CR"/>
        </w:rPr>
        <w:t xml:space="preserve">de Jesús Mérida Rodríguez, xv) </w:t>
      </w:r>
      <w:r w:rsidRPr="00E42101">
        <w:rPr>
          <w:sz w:val="16"/>
          <w:szCs w:val="16"/>
          <w:lang w:val="es-CR"/>
        </w:rPr>
        <w:t>Darinel López Montes de Oca, xvi) Audencio Rodas Rodríguez, xvii) Zoila</w:t>
      </w:r>
      <w:r>
        <w:rPr>
          <w:sz w:val="16"/>
          <w:szCs w:val="16"/>
          <w:lang w:val="es-CR"/>
        </w:rPr>
        <w:t xml:space="preserve"> Marina Pérez Ruí</w:t>
      </w:r>
      <w:r w:rsidRPr="00E42101">
        <w:rPr>
          <w:sz w:val="16"/>
          <w:szCs w:val="16"/>
          <w:lang w:val="es-CR"/>
        </w:rPr>
        <w:t>z, xviii) Santiago Francisco Valdéz Aguilar, xix) Karen Judith Samayoa Vásquez, xx) Francisco Sop Quiej, xxi) Miguel Lucas Vaíl, xxii)</w:t>
      </w:r>
      <w:r>
        <w:rPr>
          <w:sz w:val="16"/>
          <w:szCs w:val="16"/>
          <w:lang w:val="es-CR"/>
        </w:rPr>
        <w:t xml:space="preserve"> Sandra</w:t>
      </w:r>
      <w:r w:rsidRPr="00E42101">
        <w:rPr>
          <w:sz w:val="16"/>
          <w:szCs w:val="16"/>
          <w:lang w:val="es-CR"/>
        </w:rPr>
        <w:t xml:space="preserve"> Lisbeth Zepeda Herrera, xxiii) Petrona López Robledo, xxiv) Rita Mariana Dubón Orozco, xxv) Maria Blanca Vail López, xxvi) José Rubén Delgado López</w:t>
      </w:r>
      <w:r>
        <w:rPr>
          <w:sz w:val="16"/>
          <w:szCs w:val="16"/>
          <w:lang w:val="es-CR"/>
        </w:rPr>
        <w:t>, xxvii) Elsa Miriam Estrada Ruí</w:t>
      </w:r>
      <w:r w:rsidRPr="00E42101">
        <w:rPr>
          <w:sz w:val="16"/>
          <w:szCs w:val="16"/>
          <w:lang w:val="es-CR"/>
        </w:rPr>
        <w:t xml:space="preserve">z, xxviii) Guadalupe </w:t>
      </w:r>
      <w:r>
        <w:rPr>
          <w:sz w:val="16"/>
          <w:szCs w:val="16"/>
          <w:lang w:val="es-CR"/>
        </w:rPr>
        <w:t>Herminia Cayaxo</w:t>
      </w:r>
      <w:r w:rsidRPr="00E42101">
        <w:rPr>
          <w:sz w:val="16"/>
          <w:szCs w:val="16"/>
          <w:lang w:val="es-CR"/>
        </w:rPr>
        <w:t xml:space="preserve">n García, xxix) Juana </w:t>
      </w:r>
      <w:r>
        <w:rPr>
          <w:sz w:val="16"/>
          <w:szCs w:val="16"/>
          <w:lang w:val="es-CR"/>
        </w:rPr>
        <w:t>Aguilar, xxx) Melvin Yovani Ajtu</w:t>
      </w:r>
      <w:r w:rsidRPr="00E42101">
        <w:rPr>
          <w:sz w:val="16"/>
          <w:szCs w:val="16"/>
          <w:lang w:val="es-CR"/>
        </w:rPr>
        <w:t>n Escobar, xxxi) Felipe Tebalan Ordoñez, xxxii) Martina Candelaria Álvarez Estrada, xxxiii) Ismerai Olibia García Castañon, xxxiv) Santos Isacar Vásquez Barrios, xxxv) Marta Alicia Maldonado Paz, xxxvi) Dora Marina Martínez Sofoifa, xxxvii) Israel Pérez Charal, xxxviii) Teresa Magdalena Ramírez Castro, xxxix) Jorge Armando Tavares Barreno</w:t>
      </w:r>
      <w:r>
        <w:rPr>
          <w:sz w:val="16"/>
          <w:szCs w:val="16"/>
          <w:lang w:val="es-CR"/>
        </w:rPr>
        <w:t xml:space="preserve">, xl) Santos Vásquez Oliveros </w:t>
      </w:r>
      <w:r w:rsidRPr="00E42101">
        <w:rPr>
          <w:sz w:val="16"/>
          <w:szCs w:val="16"/>
          <w:lang w:val="es-CR"/>
        </w:rPr>
        <w:t xml:space="preserve">xli) Iris Carolina Vicente </w:t>
      </w:r>
      <w:r>
        <w:rPr>
          <w:sz w:val="16"/>
          <w:szCs w:val="16"/>
          <w:lang w:val="es-CR"/>
        </w:rPr>
        <w:t>Ba</w:t>
      </w:r>
      <w:r w:rsidR="00573F6B">
        <w:rPr>
          <w:sz w:val="16"/>
          <w:szCs w:val="16"/>
          <w:lang w:val="es-CR"/>
        </w:rPr>
        <w:t>ri</w:t>
      </w:r>
      <w:r>
        <w:rPr>
          <w:sz w:val="16"/>
          <w:szCs w:val="16"/>
          <w:lang w:val="es-CR"/>
        </w:rPr>
        <w:t>llas</w:t>
      </w:r>
      <w:r w:rsidRPr="00E42101">
        <w:rPr>
          <w:sz w:val="16"/>
          <w:szCs w:val="16"/>
          <w:lang w:val="es-CR"/>
        </w:rPr>
        <w:t>, xlii) Facundo Gómez Reyes, xliii) Reina López Mujica, xliv) Alberto Quiché Cuxeva, xlv) Silvia Mirtala Álvarez Villatoro y xlvi) Corina Dianeth Robledo Alvarado.</w:t>
      </w:r>
    </w:p>
    <w:p w14:paraId="158CC2E4" w14:textId="77777777" w:rsidR="00604517" w:rsidRPr="00E42101" w:rsidRDefault="00604517" w:rsidP="00E47BD5">
      <w:pPr>
        <w:rPr>
          <w:sz w:val="16"/>
          <w:szCs w:val="16"/>
          <w:lang w:val="es-CR"/>
        </w:rPr>
      </w:pPr>
    </w:p>
  </w:footnote>
  <w:footnote w:id="194">
    <w:p w14:paraId="54AF55DB" w14:textId="7880F26E" w:rsidR="00604517" w:rsidRPr="00E42101" w:rsidRDefault="00604517" w:rsidP="00E47BD5">
      <w:pPr>
        <w:rPr>
          <w:sz w:val="16"/>
          <w:szCs w:val="16"/>
          <w:lang w:val="es-CR"/>
        </w:rPr>
      </w:pPr>
      <w:r w:rsidRPr="00E42101">
        <w:rPr>
          <w:rStyle w:val="Refdenotaalpie"/>
          <w:sz w:val="16"/>
          <w:szCs w:val="16"/>
          <w:lang w:val="es-CR"/>
        </w:rPr>
        <w:footnoteRef/>
      </w:r>
      <w:r w:rsidRPr="00E42101">
        <w:rPr>
          <w:sz w:val="16"/>
          <w:szCs w:val="16"/>
          <w:lang w:val="es-CR"/>
        </w:rPr>
        <w:tab/>
        <w:t>Respecto a i) Luis Edwin Cruz Gramajo, ii) Ingrid Janeth Barillas Martínez, iii) Olga Marina Castillo esta Corte constata que carece de elementos suficientes para determinar su situación.</w:t>
      </w:r>
    </w:p>
    <w:p w14:paraId="657D8474" w14:textId="77777777" w:rsidR="00604517" w:rsidRPr="00E42101" w:rsidRDefault="00604517" w:rsidP="00E47BD5">
      <w:pPr>
        <w:pStyle w:val="Textonotapie"/>
        <w:rPr>
          <w:szCs w:val="16"/>
          <w:lang w:val="es-CR"/>
        </w:rPr>
      </w:pPr>
    </w:p>
  </w:footnote>
  <w:footnote w:id="195">
    <w:p w14:paraId="203AC959" w14:textId="24BB3EDD" w:rsidR="00604517" w:rsidRPr="00E42101" w:rsidRDefault="00604517" w:rsidP="00E47BD5">
      <w:pPr>
        <w:pStyle w:val="NormalWeb"/>
        <w:spacing w:before="120" w:beforeAutospacing="0" w:after="120" w:afterAutospacing="0"/>
        <w:ind w:right="75"/>
        <w:jc w:val="both"/>
        <w:rPr>
          <w:rFonts w:ascii="Verdana" w:hAnsi="Verdana" w:cs="Tahoma"/>
          <w:color w:val="000000"/>
          <w:sz w:val="16"/>
          <w:szCs w:val="16"/>
          <w:lang w:val="es-CR"/>
        </w:rPr>
      </w:pPr>
      <w:r w:rsidRPr="00E42101">
        <w:rPr>
          <w:rStyle w:val="Refdenotaalpie"/>
          <w:rFonts w:ascii="Verdana" w:eastAsia="Batang" w:hAnsi="Verdana"/>
          <w:sz w:val="16"/>
          <w:szCs w:val="16"/>
        </w:rPr>
        <w:footnoteRef/>
      </w:r>
      <w:r w:rsidRPr="00E42101">
        <w:rPr>
          <w:rFonts w:ascii="Verdana" w:hAnsi="Verdana"/>
          <w:sz w:val="16"/>
          <w:szCs w:val="16"/>
          <w:lang w:val="es-CR"/>
        </w:rPr>
        <w:t xml:space="preserve"> </w:t>
      </w:r>
      <w:r w:rsidRPr="00E42101">
        <w:rPr>
          <w:rFonts w:ascii="Verdana" w:hAnsi="Verdana"/>
          <w:sz w:val="16"/>
          <w:szCs w:val="16"/>
          <w:lang w:val="es-CR"/>
        </w:rPr>
        <w:tab/>
      </w:r>
      <w:r w:rsidRPr="00E42101">
        <w:rPr>
          <w:rFonts w:ascii="Verdana" w:hAnsi="Verdana" w:cs="Tahoma"/>
          <w:color w:val="000000"/>
          <w:sz w:val="16"/>
          <w:szCs w:val="16"/>
          <w:lang w:val="es-CR"/>
        </w:rPr>
        <w:t xml:space="preserve">El artículo 8 de la Convención establece: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w:t>
      </w:r>
      <w:proofErr w:type="spellStart"/>
      <w:r w:rsidRPr="00E42101">
        <w:rPr>
          <w:rFonts w:ascii="Verdana" w:hAnsi="Verdana" w:cs="Tahoma"/>
          <w:color w:val="000000"/>
          <w:sz w:val="16"/>
          <w:szCs w:val="16"/>
          <w:lang w:val="es-CR"/>
        </w:rPr>
        <w:t>defensa;d</w:t>
      </w:r>
      <w:proofErr w:type="spellEnd"/>
      <w:r w:rsidRPr="00E42101">
        <w:rPr>
          <w:rFonts w:ascii="Verdana" w:hAnsi="Verdana" w:cs="Tahoma"/>
          <w:color w:val="000000"/>
          <w:sz w:val="16"/>
          <w:szCs w:val="16"/>
          <w:lang w:val="es-CR"/>
        </w:rPr>
        <w:t>)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h) derecho de recurrir del fallo ante juez o tribunal superior. 3. La confesión del inculpado solamente es válida si es hecha sin coacción de ninguna naturaleza. 4. El inculpado absuelto por una sentencia firme no podrá ser sometido a nuevo juicio por los mismos hechos. 5. El proceso penal debe ser público, salvo en lo que sea necesario para preservar los intereses de la justicia”.</w:t>
      </w:r>
    </w:p>
  </w:footnote>
  <w:footnote w:id="196">
    <w:p w14:paraId="452E6396" w14:textId="566CBB51" w:rsidR="00604517" w:rsidRPr="00E42101" w:rsidRDefault="00604517" w:rsidP="00E47BD5">
      <w:pPr>
        <w:pStyle w:val="NormalWeb"/>
        <w:spacing w:before="120" w:beforeAutospacing="0" w:after="120" w:afterAutospacing="0"/>
        <w:ind w:right="75"/>
        <w:jc w:val="both"/>
        <w:rPr>
          <w:rFonts w:ascii="Verdana" w:hAnsi="Verdana"/>
          <w:sz w:val="16"/>
          <w:szCs w:val="16"/>
          <w:lang w:val="es-CR"/>
        </w:rPr>
      </w:pPr>
      <w:r w:rsidRPr="00E42101">
        <w:rPr>
          <w:rStyle w:val="Refdenotaalpie"/>
          <w:rFonts w:ascii="Verdana" w:eastAsia="Batang" w:hAnsi="Verdana"/>
          <w:sz w:val="16"/>
          <w:szCs w:val="16"/>
        </w:rPr>
        <w:footnoteRef/>
      </w:r>
      <w:r w:rsidRPr="00E42101">
        <w:rPr>
          <w:rFonts w:ascii="Verdana" w:hAnsi="Verdana"/>
          <w:sz w:val="16"/>
          <w:szCs w:val="16"/>
          <w:lang w:val="es-CR"/>
        </w:rPr>
        <w:tab/>
        <w:t xml:space="preserve"> </w:t>
      </w:r>
      <w:r w:rsidRPr="00E42101">
        <w:rPr>
          <w:rFonts w:ascii="Verdana" w:hAnsi="Verdana" w:cs="Tahoma"/>
          <w:bCs/>
          <w:color w:val="000000"/>
          <w:sz w:val="16"/>
          <w:szCs w:val="16"/>
          <w:lang w:val="es-CR" w:eastAsia="es-CR"/>
        </w:rPr>
        <w:t>El artículo 25 de la Convención establece: “</w:t>
      </w:r>
      <w:r w:rsidRPr="00E42101">
        <w:rPr>
          <w:rFonts w:ascii="Verdana" w:hAnsi="Verdana" w:cs="Tahoma"/>
          <w:color w:val="000000"/>
          <w:sz w:val="16"/>
          <w:szCs w:val="16"/>
          <w:lang w:val="es-CR"/>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97">
    <w:p w14:paraId="1388A857" w14:textId="122E3A4C" w:rsidR="00604517" w:rsidRPr="00E42101" w:rsidRDefault="00604517" w:rsidP="00E47BD5">
      <w:pPr>
        <w:pStyle w:val="NormalWeb"/>
        <w:spacing w:before="120" w:beforeAutospacing="0" w:after="120" w:afterAutospacing="0"/>
        <w:ind w:right="75"/>
        <w:jc w:val="both"/>
        <w:rPr>
          <w:rFonts w:ascii="Verdana" w:hAnsi="Verdana"/>
          <w:sz w:val="16"/>
          <w:szCs w:val="16"/>
          <w:lang w:val="es-CR"/>
        </w:rPr>
      </w:pPr>
      <w:r w:rsidRPr="00E42101">
        <w:rPr>
          <w:rStyle w:val="Refdenotaalpie"/>
          <w:rFonts w:ascii="Verdana" w:eastAsia="Batang" w:hAnsi="Verdana"/>
          <w:sz w:val="16"/>
          <w:szCs w:val="16"/>
        </w:rPr>
        <w:footnoteRef/>
      </w:r>
      <w:r w:rsidRPr="00E42101">
        <w:rPr>
          <w:rFonts w:ascii="Verdana" w:hAnsi="Verdana"/>
          <w:sz w:val="16"/>
          <w:szCs w:val="16"/>
          <w:lang w:val="es-CR"/>
        </w:rPr>
        <w:t xml:space="preserve"> </w:t>
      </w:r>
      <w:r w:rsidRPr="00E42101">
        <w:rPr>
          <w:rFonts w:ascii="Verdana" w:hAnsi="Verdana"/>
          <w:sz w:val="16"/>
          <w:szCs w:val="16"/>
          <w:lang w:val="es-CR"/>
        </w:rPr>
        <w:tab/>
      </w:r>
      <w:r w:rsidRPr="00E42101">
        <w:rPr>
          <w:rFonts w:ascii="Verdana" w:hAnsi="Verdana" w:cs="Tahoma"/>
          <w:bCs/>
          <w:color w:val="000000"/>
          <w:sz w:val="16"/>
          <w:szCs w:val="16"/>
          <w:lang w:val="es-CR" w:eastAsia="es-CR"/>
        </w:rPr>
        <w:t xml:space="preserve">El artículo 1.1 de la Convención establece: </w:t>
      </w:r>
      <w:r w:rsidRPr="00E42101">
        <w:rPr>
          <w:rFonts w:ascii="Verdana" w:hAnsi="Verdana" w:cs="Tahoma"/>
          <w:color w:val="000000"/>
          <w:sz w:val="16"/>
          <w:szCs w:val="16"/>
          <w:lang w:val="es-CR"/>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98">
    <w:p w14:paraId="2BF1DA6B" w14:textId="16324FB0" w:rsidR="00604517" w:rsidRPr="00E42101" w:rsidRDefault="00604517" w:rsidP="00E47BD5">
      <w:pPr>
        <w:pStyle w:val="Sinespaciado"/>
        <w:spacing w:after="120"/>
        <w:jc w:val="both"/>
        <w:rPr>
          <w:rFonts w:ascii="Verdana" w:eastAsiaTheme="minorHAnsi" w:hAnsi="Verdana" w:cstheme="minorHAnsi"/>
          <w:iCs/>
          <w:sz w:val="16"/>
          <w:szCs w:val="16"/>
          <w:lang w:val="es-CR"/>
        </w:rPr>
      </w:pPr>
      <w:r w:rsidRPr="00E42101">
        <w:rPr>
          <w:rStyle w:val="Refdenotaalpie"/>
          <w:rFonts w:ascii="Verdana" w:hAnsi="Verdana"/>
          <w:sz w:val="16"/>
          <w:szCs w:val="16"/>
          <w:lang w:val="es-CR"/>
        </w:rPr>
        <w:footnoteRef/>
      </w:r>
      <w:r w:rsidRPr="00E42101">
        <w:rPr>
          <w:rFonts w:ascii="Verdana" w:hAnsi="Verdana"/>
          <w:bCs/>
          <w:i/>
          <w:sz w:val="16"/>
          <w:szCs w:val="16"/>
          <w:lang w:val="es-CR"/>
        </w:rPr>
        <w:tab/>
        <w:t xml:space="preserve">Cfr. Caso Velásquez Rodríguez Vs. Honduras. Excepciones Preliminares. </w:t>
      </w:r>
      <w:r w:rsidRPr="00E42101">
        <w:rPr>
          <w:rFonts w:ascii="Verdana" w:hAnsi="Verdana"/>
          <w:bCs/>
          <w:sz w:val="16"/>
          <w:szCs w:val="16"/>
          <w:lang w:val="es-CR"/>
        </w:rPr>
        <w:t>Sentencia de 26 de junio de 1987. Serie C No. 1, párr. 91, y</w:t>
      </w:r>
      <w:r w:rsidRPr="00E42101">
        <w:rPr>
          <w:rFonts w:ascii="Verdana" w:hAnsi="Verdana"/>
          <w:bCs/>
          <w:i/>
          <w:sz w:val="16"/>
          <w:szCs w:val="16"/>
          <w:lang w:val="es-CR"/>
        </w:rPr>
        <w:t xml:space="preserve"> </w:t>
      </w:r>
      <w:r w:rsidRPr="00E42101">
        <w:rPr>
          <w:rStyle w:val="Textoennegrita"/>
          <w:rFonts w:ascii="Verdana" w:hAnsi="Verdana"/>
          <w:b w:val="0"/>
          <w:i/>
          <w:color w:val="000000"/>
          <w:sz w:val="16"/>
          <w:szCs w:val="16"/>
          <w:shd w:val="clear" w:color="auto" w:fill="FFFFFF"/>
          <w:lang w:val="es-CR"/>
        </w:rPr>
        <w:t>Caso Ramírez Escobar y otros Vs. Guatemala. Fondo, Reparaciones y Costas</w:t>
      </w:r>
      <w:r w:rsidRPr="00E42101">
        <w:rPr>
          <w:rStyle w:val="Textoennegrita"/>
          <w:rFonts w:ascii="Verdana" w:hAnsi="Verdana"/>
          <w:b w:val="0"/>
          <w:color w:val="000000"/>
          <w:sz w:val="16"/>
          <w:szCs w:val="16"/>
          <w:shd w:val="clear" w:color="auto" w:fill="FFFFFF"/>
          <w:lang w:val="es-CR"/>
        </w:rPr>
        <w:t>. Sentencia de 9 de marzo de 2018. Serie C No. 351, párr. 251.</w:t>
      </w:r>
    </w:p>
  </w:footnote>
  <w:footnote w:id="199">
    <w:p w14:paraId="73085BC9" w14:textId="2624A238" w:rsidR="00604517" w:rsidRPr="00E42101" w:rsidRDefault="00604517" w:rsidP="00E47BD5">
      <w:pPr>
        <w:pStyle w:val="Textonotapie"/>
        <w:spacing w:before="0"/>
        <w:rPr>
          <w:rFonts w:cstheme="minorHAnsi"/>
          <w:szCs w:val="16"/>
          <w:lang w:val="es-CR"/>
        </w:rPr>
      </w:pPr>
      <w:r w:rsidRPr="00E42101">
        <w:rPr>
          <w:rStyle w:val="Refdenotaalpie"/>
          <w:rFonts w:cstheme="minorHAnsi"/>
          <w:szCs w:val="16"/>
          <w:lang w:val="es-CR"/>
        </w:rPr>
        <w:footnoteRef/>
      </w:r>
      <w:r w:rsidRPr="00E42101">
        <w:rPr>
          <w:rFonts w:cstheme="minorHAnsi"/>
          <w:i/>
          <w:szCs w:val="16"/>
          <w:lang w:val="es-CR"/>
        </w:rPr>
        <w:tab/>
      </w:r>
      <w:r w:rsidRPr="00E42101">
        <w:rPr>
          <w:bCs/>
          <w:i/>
          <w:szCs w:val="16"/>
          <w:lang w:val="es-CR"/>
        </w:rPr>
        <w:t xml:space="preserve">Cfr. </w:t>
      </w:r>
      <w:r w:rsidRPr="00E42101">
        <w:rPr>
          <w:rStyle w:val="Textoennegrita"/>
          <w:b w:val="0"/>
          <w:i/>
          <w:color w:val="000000"/>
          <w:szCs w:val="16"/>
          <w:shd w:val="clear" w:color="auto" w:fill="FFFFFF"/>
        </w:rPr>
        <w:t>Garantías judiciales en estados de emergencia (Arts. 27.2, 25 y 8 Convención Americana sobre Derechos Humanos)</w:t>
      </w:r>
      <w:r w:rsidRPr="00E42101">
        <w:rPr>
          <w:rStyle w:val="Textoennegrita"/>
          <w:b w:val="0"/>
          <w:color w:val="000000"/>
          <w:szCs w:val="16"/>
          <w:shd w:val="clear" w:color="auto" w:fill="FFFFFF"/>
        </w:rPr>
        <w:t>. Opinión Consultiva OC-9/87 de 6 de octubre de 1987. Serie A No. 9., párr. 24</w:t>
      </w:r>
      <w:r w:rsidRPr="00E42101">
        <w:rPr>
          <w:bCs/>
          <w:szCs w:val="16"/>
          <w:lang w:val="es-CR"/>
        </w:rPr>
        <w:t>,</w:t>
      </w:r>
      <w:r w:rsidRPr="00E42101">
        <w:rPr>
          <w:szCs w:val="16"/>
          <w:lang w:val="es-CR"/>
        </w:rPr>
        <w:t xml:space="preserve"> </w:t>
      </w:r>
      <w:r w:rsidRPr="00E42101">
        <w:rPr>
          <w:rFonts w:cstheme="minorHAnsi"/>
          <w:spacing w:val="-12"/>
          <w:szCs w:val="16"/>
          <w:lang w:val="es-CR"/>
        </w:rPr>
        <w:t xml:space="preserve">y </w:t>
      </w:r>
      <w:r w:rsidRPr="00E42101">
        <w:rPr>
          <w:rStyle w:val="Textoennegrita"/>
          <w:b w:val="0"/>
          <w:i/>
          <w:color w:val="000000"/>
          <w:szCs w:val="16"/>
          <w:shd w:val="clear" w:color="auto" w:fill="FFFFFF"/>
          <w:lang w:val="es-CR"/>
        </w:rPr>
        <w:t xml:space="preserve">Caso </w:t>
      </w:r>
      <w:proofErr w:type="spellStart"/>
      <w:r w:rsidRPr="00E42101">
        <w:rPr>
          <w:rStyle w:val="Textoennegrita"/>
          <w:b w:val="0"/>
          <w:i/>
          <w:color w:val="000000"/>
          <w:szCs w:val="16"/>
          <w:shd w:val="clear" w:color="auto" w:fill="FFFFFF"/>
          <w:lang w:val="es-CR"/>
        </w:rPr>
        <w:t>Amrhein</w:t>
      </w:r>
      <w:proofErr w:type="spellEnd"/>
      <w:r w:rsidRPr="00E42101">
        <w:rPr>
          <w:rStyle w:val="Textoennegrita"/>
          <w:b w:val="0"/>
          <w:i/>
          <w:color w:val="000000"/>
          <w:szCs w:val="16"/>
          <w:shd w:val="clear" w:color="auto" w:fill="FFFFFF"/>
          <w:lang w:val="es-CR"/>
        </w:rPr>
        <w:t xml:space="preserve"> y otros vs. Costa Rica. Excepciones Preliminares, Fondo, Reparaciones y Costas.</w:t>
      </w:r>
      <w:r w:rsidRPr="00E42101">
        <w:rPr>
          <w:rStyle w:val="Textoennegrita"/>
          <w:b w:val="0"/>
          <w:color w:val="000000"/>
          <w:szCs w:val="16"/>
          <w:shd w:val="clear" w:color="auto" w:fill="FFFFFF"/>
          <w:lang w:val="es-CR"/>
        </w:rPr>
        <w:t xml:space="preserve"> Sentencia de 25 de abril de 2018. Serie C No. 354, párr. 257.</w:t>
      </w:r>
    </w:p>
  </w:footnote>
  <w:footnote w:id="200">
    <w:p w14:paraId="420C92F9" w14:textId="34BC58CA" w:rsidR="00604517" w:rsidRPr="00E42101" w:rsidRDefault="00604517" w:rsidP="00E47BD5">
      <w:pPr>
        <w:pStyle w:val="Textonotapie"/>
        <w:spacing w:before="0"/>
        <w:rPr>
          <w:rFonts w:cstheme="minorHAnsi"/>
          <w:szCs w:val="16"/>
          <w:lang w:val="es-CR"/>
        </w:rPr>
      </w:pPr>
      <w:r w:rsidRPr="00E42101">
        <w:rPr>
          <w:rStyle w:val="Refdenotaalpie"/>
          <w:rFonts w:cstheme="minorHAnsi"/>
          <w:szCs w:val="16"/>
          <w:lang w:val="es-CR"/>
        </w:rPr>
        <w:footnoteRef/>
      </w:r>
      <w:r w:rsidRPr="00E42101">
        <w:rPr>
          <w:rFonts w:cstheme="minorHAnsi"/>
          <w:szCs w:val="16"/>
          <w:lang w:val="es-CR"/>
        </w:rPr>
        <w:tab/>
      </w:r>
      <w:r w:rsidRPr="00E42101">
        <w:rPr>
          <w:rFonts w:cstheme="minorHAnsi"/>
          <w:i/>
          <w:szCs w:val="16"/>
          <w:lang w:val="es-CR"/>
        </w:rPr>
        <w:t xml:space="preserve">Cfr. </w:t>
      </w:r>
      <w:r w:rsidRPr="00E42101">
        <w:rPr>
          <w:rStyle w:val="Textoennegrita"/>
          <w:b w:val="0"/>
          <w:i/>
          <w:color w:val="000000"/>
          <w:szCs w:val="16"/>
          <w:shd w:val="clear" w:color="auto" w:fill="FFFFFF"/>
        </w:rPr>
        <w:t>Garantías judiciales en estados de emergencia (Arts. 27.2, 25 y 8 Convención Americana sobre Derechos Humanos)</w:t>
      </w:r>
      <w:r w:rsidRPr="00E42101">
        <w:rPr>
          <w:rStyle w:val="Textoennegrita"/>
          <w:b w:val="0"/>
          <w:color w:val="000000"/>
          <w:szCs w:val="16"/>
          <w:shd w:val="clear" w:color="auto" w:fill="FFFFFF"/>
        </w:rPr>
        <w:t>. Opinión Consultiva OC-9/87 de 6 de octubre de 1987. Serie A No. 9., párr. 24</w:t>
      </w:r>
      <w:r w:rsidRPr="00E42101">
        <w:rPr>
          <w:rFonts w:cstheme="minorHAnsi"/>
          <w:szCs w:val="16"/>
          <w:lang w:val="es-CR"/>
        </w:rPr>
        <w:t xml:space="preserve">, y </w:t>
      </w:r>
      <w:r w:rsidRPr="00E42101">
        <w:rPr>
          <w:rFonts w:cstheme="minorHAnsi"/>
          <w:bCs/>
          <w:i/>
          <w:szCs w:val="16"/>
          <w:lang w:val="es-CR"/>
        </w:rPr>
        <w:t>Caso San Miguel Sosa y otras Vs. Venezuela. Fondo, Reparaciones y Costas.</w:t>
      </w:r>
      <w:r w:rsidRPr="00E42101">
        <w:rPr>
          <w:rFonts w:cstheme="minorHAnsi"/>
          <w:bCs/>
          <w:szCs w:val="16"/>
          <w:lang w:val="es-CR"/>
        </w:rPr>
        <w:t xml:space="preserve"> Sentencia de 8 de febrero de 2018. Serie C No. 348. párr. 208. </w:t>
      </w:r>
    </w:p>
  </w:footnote>
  <w:footnote w:id="201">
    <w:p w14:paraId="776F24EF" w14:textId="09AF0AC3" w:rsidR="00604517" w:rsidRPr="00E42101" w:rsidRDefault="00604517" w:rsidP="00E47BD5">
      <w:pPr>
        <w:pStyle w:val="Textonotapie"/>
        <w:spacing w:before="0"/>
        <w:rPr>
          <w:rFonts w:cstheme="minorHAnsi"/>
          <w:szCs w:val="16"/>
          <w:lang w:val="es-CR"/>
        </w:rPr>
      </w:pPr>
      <w:r w:rsidRPr="00E42101">
        <w:rPr>
          <w:rStyle w:val="Refdenotaalpie"/>
          <w:rFonts w:cstheme="minorHAnsi"/>
          <w:szCs w:val="16"/>
          <w:lang w:val="es-CR"/>
        </w:rPr>
        <w:footnoteRef/>
      </w:r>
      <w:r w:rsidRPr="00E42101">
        <w:rPr>
          <w:rFonts w:cstheme="minorHAnsi"/>
          <w:szCs w:val="16"/>
          <w:lang w:val="es-CR"/>
        </w:rPr>
        <w:tab/>
      </w:r>
      <w:r w:rsidRPr="00E42101">
        <w:rPr>
          <w:rFonts w:cstheme="minorHAnsi"/>
          <w:i/>
          <w:szCs w:val="16"/>
          <w:lang w:val="es-CR"/>
        </w:rPr>
        <w:t xml:space="preserve">Cfr. </w:t>
      </w:r>
      <w:r w:rsidRPr="00E42101">
        <w:rPr>
          <w:rStyle w:val="Textoennegrita"/>
          <w:b w:val="0"/>
          <w:i/>
          <w:color w:val="000000"/>
          <w:szCs w:val="16"/>
          <w:shd w:val="clear" w:color="auto" w:fill="FFFFFF"/>
        </w:rPr>
        <w:t>Garantías judiciales en estados de emergencia (Arts. 27.2, 25 y 8 Convención Americana sobre Derechos Humanos)</w:t>
      </w:r>
      <w:r w:rsidRPr="00E42101">
        <w:rPr>
          <w:rStyle w:val="Textoennegrita"/>
          <w:b w:val="0"/>
          <w:color w:val="000000"/>
          <w:szCs w:val="16"/>
          <w:shd w:val="clear" w:color="auto" w:fill="FFFFFF"/>
        </w:rPr>
        <w:t>. Opinión Consultiva OC-9/87 de 6 de octubre de 1987. Serie A No. 9., párr. 24</w:t>
      </w:r>
      <w:r w:rsidRPr="00E42101">
        <w:rPr>
          <w:rFonts w:cstheme="minorHAnsi"/>
          <w:szCs w:val="16"/>
          <w:lang w:val="es-CR"/>
        </w:rPr>
        <w:t xml:space="preserve">, y </w:t>
      </w:r>
      <w:r w:rsidRPr="00E42101">
        <w:rPr>
          <w:rFonts w:cstheme="minorHAnsi"/>
          <w:bCs/>
          <w:i/>
          <w:szCs w:val="16"/>
          <w:lang w:val="es-CR"/>
        </w:rPr>
        <w:t>Caso San Miguel Sosa y otras Vs. Venezuela. Fondo, Reparaciones y Costas.</w:t>
      </w:r>
      <w:r w:rsidRPr="00E42101">
        <w:rPr>
          <w:rFonts w:cstheme="minorHAnsi"/>
          <w:bCs/>
          <w:szCs w:val="16"/>
          <w:lang w:val="es-CR"/>
        </w:rPr>
        <w:t xml:space="preserve"> Sentencia de 8 de febrero de 2018. Serie C No. 348. párr. 208. </w:t>
      </w:r>
    </w:p>
  </w:footnote>
  <w:footnote w:id="202">
    <w:p w14:paraId="7DE8D3CA" w14:textId="2F1A0D20" w:rsidR="00604517" w:rsidRPr="00E42101" w:rsidRDefault="00604517" w:rsidP="00E47BD5">
      <w:pPr>
        <w:pStyle w:val="Textonotapie"/>
        <w:tabs>
          <w:tab w:val="left" w:pos="709"/>
        </w:tabs>
        <w:spacing w:before="0"/>
        <w:rPr>
          <w:rFonts w:cstheme="minorHAnsi"/>
          <w:szCs w:val="16"/>
          <w:lang w:val="es-CR"/>
        </w:rPr>
      </w:pPr>
      <w:r w:rsidRPr="00E42101">
        <w:rPr>
          <w:rStyle w:val="Refdenotaalpie"/>
          <w:rFonts w:eastAsiaTheme="majorEastAsia" w:cstheme="minorHAnsi"/>
          <w:szCs w:val="16"/>
          <w:lang w:val="es-CR"/>
        </w:rPr>
        <w:footnoteRef/>
      </w:r>
      <w:r w:rsidRPr="00E42101">
        <w:rPr>
          <w:rFonts w:cstheme="minorHAnsi"/>
          <w:szCs w:val="16"/>
          <w:lang w:val="es-CR"/>
        </w:rPr>
        <w:tab/>
      </w:r>
      <w:r w:rsidRPr="00E42101">
        <w:rPr>
          <w:rFonts w:cstheme="minorHAnsi"/>
          <w:i/>
          <w:szCs w:val="16"/>
          <w:lang w:val="es-CR"/>
        </w:rPr>
        <w:t xml:space="preserve">Cfr. </w:t>
      </w:r>
      <w:r w:rsidRPr="00E42101">
        <w:rPr>
          <w:rFonts w:cstheme="minorHAnsi"/>
          <w:bCs/>
          <w:i/>
          <w:szCs w:val="16"/>
          <w:lang w:val="es-CR"/>
        </w:rPr>
        <w:t xml:space="preserve">Caso Baena Ricardo y otros Vs. Panamá. Competencia. </w:t>
      </w:r>
      <w:r w:rsidRPr="00E42101">
        <w:rPr>
          <w:rFonts w:cstheme="minorHAnsi"/>
          <w:bCs/>
          <w:szCs w:val="16"/>
          <w:lang w:val="es-CR"/>
        </w:rPr>
        <w:t>Sentencia de 28 de noviembre de 2003. Serie C No. 104.</w:t>
      </w:r>
      <w:r w:rsidRPr="00E42101">
        <w:rPr>
          <w:rFonts w:cstheme="minorHAnsi"/>
          <w:szCs w:val="16"/>
          <w:lang w:val="es-CR"/>
        </w:rPr>
        <w:t xml:space="preserve"> párr. 73, y </w:t>
      </w:r>
      <w:r w:rsidRPr="00E42101">
        <w:rPr>
          <w:bCs/>
          <w:i/>
          <w:szCs w:val="16"/>
          <w:lang w:val="es-CR"/>
        </w:rPr>
        <w:t xml:space="preserve">Caso Trabajadores Cesados de Petroperú y otros Vs. Perú. Excepciones Preliminares, Fondo, Reparaciones y Costas. </w:t>
      </w:r>
      <w:r w:rsidRPr="00E42101">
        <w:rPr>
          <w:bCs/>
          <w:szCs w:val="16"/>
          <w:lang w:val="es-CR"/>
        </w:rPr>
        <w:t>Sentencia de 23 de noviembre de 2017. Serie C No. 344, párr. 154</w:t>
      </w:r>
      <w:r w:rsidRPr="00E42101">
        <w:rPr>
          <w:szCs w:val="16"/>
          <w:lang w:val="es-CR"/>
        </w:rPr>
        <w:t>.</w:t>
      </w:r>
      <w:r w:rsidRPr="00E42101" w:rsidDel="00450A9F">
        <w:rPr>
          <w:rStyle w:val="Textoennegrita"/>
          <w:rFonts w:cstheme="minorHAnsi"/>
          <w:b w:val="0"/>
          <w:bCs w:val="0"/>
          <w:szCs w:val="16"/>
          <w:shd w:val="clear" w:color="auto" w:fill="FFFFFF"/>
          <w:lang w:val="es-CR"/>
        </w:rPr>
        <w:t xml:space="preserve"> </w:t>
      </w:r>
    </w:p>
  </w:footnote>
  <w:footnote w:id="203">
    <w:p w14:paraId="6811ED08" w14:textId="75A48A81" w:rsidR="00604517" w:rsidRPr="00E42101" w:rsidRDefault="00604517" w:rsidP="00E47BD5">
      <w:pPr>
        <w:tabs>
          <w:tab w:val="left" w:pos="709"/>
        </w:tabs>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i/>
          <w:sz w:val="16"/>
          <w:szCs w:val="16"/>
          <w:lang w:val="es-CR"/>
        </w:rPr>
        <w:t xml:space="preserve">Cfr. </w:t>
      </w:r>
      <w:r w:rsidRPr="00E42101">
        <w:rPr>
          <w:rStyle w:val="Textoennegrita"/>
          <w:b w:val="0"/>
          <w:i/>
          <w:color w:val="000000"/>
          <w:sz w:val="16"/>
          <w:szCs w:val="16"/>
          <w:shd w:val="clear" w:color="auto" w:fill="FFFFFF"/>
        </w:rPr>
        <w:t>Garantías judiciales en estados de emergencia (Arts. 27.2, 25 y 8 Convención Americana sobre Derechos Humanos)</w:t>
      </w:r>
      <w:r w:rsidRPr="00E42101">
        <w:rPr>
          <w:rStyle w:val="Textoennegrita"/>
          <w:b w:val="0"/>
          <w:color w:val="000000"/>
          <w:sz w:val="16"/>
          <w:szCs w:val="16"/>
          <w:shd w:val="clear" w:color="auto" w:fill="FFFFFF"/>
        </w:rPr>
        <w:t>. Opinión Consultiva OC-9/87 de 6 de octubre de 1987. Serie A No. 9., párr. 24</w:t>
      </w:r>
      <w:r w:rsidRPr="00E42101">
        <w:rPr>
          <w:bCs/>
          <w:sz w:val="16"/>
          <w:szCs w:val="16"/>
          <w:lang w:val="es-CR"/>
        </w:rPr>
        <w:t>, y</w:t>
      </w:r>
      <w:r w:rsidRPr="00E42101">
        <w:rPr>
          <w:bCs/>
          <w:i/>
          <w:sz w:val="16"/>
          <w:szCs w:val="16"/>
          <w:lang w:val="es-CR"/>
        </w:rPr>
        <w:t xml:space="preserve"> </w:t>
      </w:r>
      <w:r w:rsidRPr="00E42101">
        <w:rPr>
          <w:rStyle w:val="Textoennegrita"/>
          <w:b w:val="0"/>
          <w:i/>
          <w:color w:val="000000"/>
          <w:sz w:val="16"/>
          <w:szCs w:val="16"/>
          <w:shd w:val="clear" w:color="auto" w:fill="FFFFFF"/>
        </w:rPr>
        <w:t>Caso San Miguel Sosa y otras Vs. Venezuela. Fondo, Reparaciones y Costas</w:t>
      </w:r>
      <w:r w:rsidRPr="00E42101">
        <w:rPr>
          <w:rStyle w:val="Textoennegrita"/>
          <w:b w:val="0"/>
          <w:color w:val="000000"/>
          <w:sz w:val="16"/>
          <w:szCs w:val="16"/>
          <w:shd w:val="clear" w:color="auto" w:fill="FFFFFF"/>
        </w:rPr>
        <w:t>. Sentencia de 8 de febrero de 2018. Serie C No. 348, párr. 188</w:t>
      </w:r>
      <w:r w:rsidRPr="00E42101">
        <w:rPr>
          <w:b/>
          <w:sz w:val="16"/>
          <w:szCs w:val="16"/>
          <w:lang w:val="es-CR"/>
        </w:rPr>
        <w:t>.</w:t>
      </w:r>
    </w:p>
  </w:footnote>
  <w:footnote w:id="204">
    <w:p w14:paraId="12BF4777" w14:textId="6A04A5DD" w:rsidR="00604517" w:rsidRPr="00E42101" w:rsidRDefault="00604517" w:rsidP="00E47BD5">
      <w:pPr>
        <w:pStyle w:val="Textonotapie"/>
        <w:tabs>
          <w:tab w:val="left" w:pos="709"/>
        </w:tabs>
        <w:spacing w:before="0"/>
        <w:rPr>
          <w:szCs w:val="16"/>
          <w:lang w:val="es-CR"/>
        </w:rPr>
      </w:pPr>
      <w:r w:rsidRPr="00E42101">
        <w:rPr>
          <w:rStyle w:val="Refdenotaalpie"/>
          <w:rFonts w:eastAsiaTheme="majorEastAsia"/>
          <w:szCs w:val="16"/>
          <w:lang w:val="es-CR"/>
        </w:rPr>
        <w:footnoteRef/>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rPr>
        <w:t>Garantías judiciales en estados de emergencia (Arts. 27.2, 25 y 8 Convención Americana sobre Derechos Humanos)</w:t>
      </w:r>
      <w:r w:rsidRPr="00E42101">
        <w:rPr>
          <w:rStyle w:val="Textoennegrita"/>
          <w:b w:val="0"/>
          <w:color w:val="000000"/>
          <w:szCs w:val="16"/>
          <w:shd w:val="clear" w:color="auto" w:fill="FFFFFF"/>
        </w:rPr>
        <w:t>. Opinión Consultiva OC-9/87 de 6 de octubre de 1987. Serie A No. 9., párr. 24</w:t>
      </w:r>
      <w:r w:rsidRPr="00E42101">
        <w:rPr>
          <w:bCs/>
          <w:szCs w:val="16"/>
          <w:lang w:val="es-CR"/>
        </w:rPr>
        <w:t xml:space="preserve">, y </w:t>
      </w:r>
      <w:r w:rsidRPr="00E42101">
        <w:rPr>
          <w:rStyle w:val="Textoennegrita"/>
          <w:b w:val="0"/>
          <w:i/>
          <w:color w:val="000000"/>
          <w:szCs w:val="16"/>
          <w:shd w:val="clear" w:color="auto" w:fill="FFFFFF"/>
          <w:lang w:val="es-CR"/>
        </w:rPr>
        <w:t>Caso Ramírez Escobar y otros Vs. Guatemala. Fondo, Reparaciones y Costas</w:t>
      </w:r>
      <w:r w:rsidRPr="00E42101">
        <w:rPr>
          <w:rStyle w:val="Textoennegrita"/>
          <w:b w:val="0"/>
          <w:color w:val="000000"/>
          <w:szCs w:val="16"/>
          <w:shd w:val="clear" w:color="auto" w:fill="FFFFFF"/>
          <w:lang w:val="es-CR"/>
        </w:rPr>
        <w:t xml:space="preserve">. Sentencia de 9 de marzo de 2018. Serie C No. 351, </w:t>
      </w:r>
      <w:proofErr w:type="spellStart"/>
      <w:r w:rsidRPr="00E42101">
        <w:rPr>
          <w:rStyle w:val="Textoennegrita"/>
          <w:b w:val="0"/>
          <w:color w:val="000000"/>
          <w:szCs w:val="16"/>
          <w:shd w:val="clear" w:color="auto" w:fill="FFFFFF"/>
          <w:lang w:val="es-CR"/>
        </w:rPr>
        <w:t>párrs</w:t>
      </w:r>
      <w:proofErr w:type="spellEnd"/>
      <w:r w:rsidRPr="00E42101">
        <w:rPr>
          <w:rStyle w:val="Textoennegrita"/>
          <w:b w:val="0"/>
          <w:color w:val="000000"/>
          <w:szCs w:val="16"/>
          <w:shd w:val="clear" w:color="auto" w:fill="FFFFFF"/>
          <w:lang w:val="es-CR"/>
        </w:rPr>
        <w:t>. 251 y 252.</w:t>
      </w:r>
    </w:p>
  </w:footnote>
  <w:footnote w:id="205">
    <w:p w14:paraId="4F2567DC" w14:textId="154DFCC8" w:rsidR="00604517" w:rsidRPr="00E42101" w:rsidRDefault="00604517" w:rsidP="00E47BD5">
      <w:pPr>
        <w:pStyle w:val="Textonotapie"/>
        <w:tabs>
          <w:tab w:val="left" w:pos="709"/>
        </w:tabs>
        <w:spacing w:before="0"/>
        <w:rPr>
          <w:szCs w:val="16"/>
          <w:lang w:val="es-CR"/>
        </w:rPr>
      </w:pPr>
      <w:r w:rsidRPr="00E42101">
        <w:rPr>
          <w:rStyle w:val="Refdenotaalpie"/>
          <w:rFonts w:eastAsiaTheme="majorEastAsia"/>
          <w:szCs w:val="16"/>
          <w:lang w:val="es-CR"/>
        </w:rPr>
        <w:footnoteRef/>
      </w:r>
      <w:r w:rsidRPr="00E42101">
        <w:rPr>
          <w:szCs w:val="16"/>
          <w:lang w:val="es-CR"/>
        </w:rPr>
        <w:tab/>
      </w:r>
      <w:r w:rsidRPr="00E42101">
        <w:rPr>
          <w:i/>
          <w:szCs w:val="16"/>
          <w:lang w:val="es-CR"/>
        </w:rPr>
        <w:t xml:space="preserve">Cfr. </w:t>
      </w:r>
      <w:r w:rsidRPr="00E42101">
        <w:rPr>
          <w:rStyle w:val="Textoennegrita"/>
          <w:b w:val="0"/>
          <w:bCs w:val="0"/>
          <w:i/>
          <w:szCs w:val="16"/>
          <w:shd w:val="clear" w:color="auto" w:fill="FFFFFF"/>
          <w:lang w:val="es-CR"/>
        </w:rPr>
        <w:t xml:space="preserve">Caso López Álvarez Vs. Honduras. Fondo, Reparaciones y Costas. </w:t>
      </w:r>
      <w:r w:rsidRPr="00E42101">
        <w:rPr>
          <w:rStyle w:val="Textoennegrita"/>
          <w:b w:val="0"/>
          <w:bCs w:val="0"/>
          <w:szCs w:val="16"/>
          <w:shd w:val="clear" w:color="auto" w:fill="FFFFFF"/>
          <w:lang w:val="es-CR"/>
        </w:rPr>
        <w:t xml:space="preserve">Sentencia de 1 de febrero de 2006. Serie C No. 141, párr. 96, y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267.</w:t>
      </w:r>
    </w:p>
  </w:footnote>
  <w:footnote w:id="206">
    <w:p w14:paraId="690E55A3" w14:textId="60D7C436" w:rsidR="00604517" w:rsidRPr="00E42101" w:rsidRDefault="00604517" w:rsidP="00E47BD5">
      <w:pPr>
        <w:pStyle w:val="Textonotapie"/>
        <w:tabs>
          <w:tab w:val="left" w:pos="709"/>
        </w:tabs>
        <w:spacing w:before="0"/>
        <w:rPr>
          <w:szCs w:val="16"/>
          <w:lang w:val="es-CR"/>
        </w:rPr>
      </w:pPr>
      <w:r w:rsidRPr="00E42101">
        <w:rPr>
          <w:rStyle w:val="Refdenotaalpie"/>
          <w:rFonts w:eastAsiaTheme="majorEastAsia"/>
          <w:szCs w:val="16"/>
          <w:lang w:val="es-CR"/>
        </w:rPr>
        <w:footnoteRef/>
      </w:r>
      <w:r w:rsidRPr="00E42101">
        <w:rPr>
          <w:i/>
          <w:szCs w:val="16"/>
          <w:lang w:val="es-CR"/>
        </w:rPr>
        <w:tab/>
        <w:t xml:space="preserve">Cfr. </w:t>
      </w:r>
      <w:r w:rsidRPr="00E42101">
        <w:rPr>
          <w:bCs/>
          <w:i/>
          <w:szCs w:val="16"/>
          <w:lang w:val="es-CR"/>
        </w:rPr>
        <w:t xml:space="preserve">Caso Velásquez Rodríguez Vs. Honduras. Fondo. </w:t>
      </w:r>
      <w:r w:rsidRPr="00E42101">
        <w:rPr>
          <w:bCs/>
          <w:szCs w:val="16"/>
          <w:lang w:val="es-CR"/>
        </w:rPr>
        <w:t xml:space="preserve">Sentencia de 29 de julio de 1988. Serie C No. 4, párr. 67, y </w:t>
      </w:r>
      <w:r w:rsidRPr="00E42101">
        <w:rPr>
          <w:bCs/>
          <w:i/>
          <w:szCs w:val="16"/>
          <w:lang w:val="es-CR"/>
        </w:rPr>
        <w:t xml:space="preserve">Caso Trabajadores Cesados de Petroperú y otros Vs. Perú. Excepciones Preliminares, Fondo, Reparaciones y Costas. </w:t>
      </w:r>
      <w:r w:rsidRPr="00E42101">
        <w:rPr>
          <w:bCs/>
          <w:szCs w:val="16"/>
          <w:lang w:val="es-CR"/>
        </w:rPr>
        <w:t>Sentencia de 23 de noviembre de 2017. Serie C No. 344, párr. 34</w:t>
      </w:r>
      <w:r w:rsidRPr="00E42101">
        <w:rPr>
          <w:szCs w:val="16"/>
          <w:lang w:val="es-CR"/>
        </w:rPr>
        <w:t>.</w:t>
      </w:r>
    </w:p>
  </w:footnote>
  <w:footnote w:id="207">
    <w:p w14:paraId="65F82B93" w14:textId="7EED6909" w:rsidR="00604517" w:rsidRPr="00E42101" w:rsidRDefault="00604517" w:rsidP="00E47BD5">
      <w:pPr>
        <w:pStyle w:val="Textonotapie"/>
        <w:spacing w:before="0"/>
        <w:rPr>
          <w:szCs w:val="16"/>
          <w:lang w:val="es-CR"/>
        </w:rPr>
      </w:pPr>
      <w:r w:rsidRPr="00E42101">
        <w:rPr>
          <w:rStyle w:val="Refdenotaalpie"/>
          <w:rFonts w:eastAsiaTheme="majorEastAsia"/>
          <w:szCs w:val="16"/>
          <w:lang w:val="es-CR"/>
        </w:rPr>
        <w:footnoteRef/>
      </w:r>
      <w:r w:rsidRPr="00E42101">
        <w:rPr>
          <w:szCs w:val="16"/>
          <w:lang w:val="es-CR"/>
        </w:rPr>
        <w:tab/>
      </w:r>
      <w:r w:rsidRPr="00E42101">
        <w:rPr>
          <w:rFonts w:cstheme="minorHAnsi"/>
          <w:i/>
          <w:szCs w:val="16"/>
          <w:lang w:val="es-CR"/>
        </w:rPr>
        <w:t xml:space="preserve">Cfr. </w:t>
      </w:r>
      <w:r w:rsidRPr="00E42101">
        <w:rPr>
          <w:rStyle w:val="Textoennegrita"/>
          <w:b w:val="0"/>
          <w:i/>
          <w:color w:val="000000"/>
          <w:szCs w:val="16"/>
          <w:shd w:val="clear" w:color="auto" w:fill="FFFFFF"/>
        </w:rPr>
        <w:t>Garantías judiciales en estados de emergencia (Arts. 27.2, 25 y 8 Convención Americana sobre Derechos Humanos)</w:t>
      </w:r>
      <w:r w:rsidRPr="00E42101">
        <w:rPr>
          <w:rStyle w:val="Textoennegrita"/>
          <w:b w:val="0"/>
          <w:color w:val="000000"/>
          <w:szCs w:val="16"/>
          <w:shd w:val="clear" w:color="auto" w:fill="FFFFFF"/>
        </w:rPr>
        <w:t>. Opinión Consultiva OC-9/87 de 6 de octubre de 1987. Serie A No. 9., párr. 24</w:t>
      </w:r>
      <w:r w:rsidRPr="00E42101">
        <w:rPr>
          <w:rFonts w:cstheme="minorHAnsi"/>
          <w:szCs w:val="16"/>
          <w:lang w:val="es-CR"/>
        </w:rPr>
        <w:t xml:space="preserve">, y </w:t>
      </w:r>
      <w:r w:rsidRPr="00E42101">
        <w:rPr>
          <w:rFonts w:cstheme="minorHAnsi"/>
          <w:bCs/>
          <w:i/>
          <w:szCs w:val="16"/>
          <w:lang w:val="es-CR"/>
        </w:rPr>
        <w:t>Caso San Miguel Sosa y otras Vs. Venezuela. Fondo, Reparaciones y Costas.</w:t>
      </w:r>
      <w:r w:rsidRPr="00E42101">
        <w:rPr>
          <w:rFonts w:cstheme="minorHAnsi"/>
          <w:bCs/>
          <w:szCs w:val="16"/>
          <w:lang w:val="es-CR"/>
        </w:rPr>
        <w:t xml:space="preserve"> Sentencia de 8 de febrero de 2018. Serie C No. 348. párr. 208.</w:t>
      </w:r>
    </w:p>
  </w:footnote>
  <w:footnote w:id="208">
    <w:p w14:paraId="7CAC8CAD" w14:textId="08C682B2" w:rsidR="00604517" w:rsidRPr="00E42101" w:rsidRDefault="00604517" w:rsidP="00E47BD5">
      <w:pPr>
        <w:pStyle w:val="Textonotapie"/>
        <w:tabs>
          <w:tab w:val="left" w:pos="709"/>
        </w:tabs>
        <w:spacing w:before="0"/>
        <w:rPr>
          <w:szCs w:val="16"/>
          <w:lang w:val="es-CR"/>
        </w:rPr>
      </w:pPr>
      <w:r w:rsidRPr="00E42101">
        <w:rPr>
          <w:rStyle w:val="Refdenotaalpie"/>
          <w:rFonts w:eastAsiaTheme="majorEastAsia"/>
          <w:szCs w:val="16"/>
          <w:lang w:val="es-CR"/>
        </w:rPr>
        <w:footnoteRef/>
      </w:r>
      <w:r w:rsidRPr="00E42101">
        <w:rPr>
          <w:szCs w:val="16"/>
          <w:lang w:val="es-CR"/>
        </w:rPr>
        <w:tab/>
      </w:r>
      <w:r w:rsidRPr="00E42101">
        <w:rPr>
          <w:i/>
          <w:szCs w:val="16"/>
          <w:lang w:val="es-CR"/>
        </w:rPr>
        <w:t xml:space="preserve">Cfr. </w:t>
      </w:r>
      <w:r w:rsidRPr="00E42101">
        <w:rPr>
          <w:bCs/>
          <w:i/>
          <w:szCs w:val="16"/>
          <w:lang w:val="es-CR"/>
        </w:rPr>
        <w:t xml:space="preserve">Caso </w:t>
      </w:r>
      <w:proofErr w:type="spellStart"/>
      <w:r w:rsidRPr="00E42101">
        <w:rPr>
          <w:bCs/>
          <w:i/>
          <w:szCs w:val="16"/>
          <w:lang w:val="es-CR"/>
        </w:rPr>
        <w:t>Caso</w:t>
      </w:r>
      <w:proofErr w:type="spellEnd"/>
      <w:r w:rsidRPr="00E42101">
        <w:rPr>
          <w:bCs/>
          <w:i/>
          <w:szCs w:val="16"/>
          <w:lang w:val="es-CR"/>
        </w:rPr>
        <w:t xml:space="preserve"> </w:t>
      </w:r>
      <w:proofErr w:type="spellStart"/>
      <w:r w:rsidRPr="00E42101">
        <w:rPr>
          <w:bCs/>
          <w:i/>
          <w:szCs w:val="16"/>
          <w:lang w:val="es-CR"/>
        </w:rPr>
        <w:t>Barbani</w:t>
      </w:r>
      <w:proofErr w:type="spellEnd"/>
      <w:r w:rsidRPr="00E42101">
        <w:rPr>
          <w:bCs/>
          <w:i/>
          <w:szCs w:val="16"/>
          <w:lang w:val="es-CR"/>
        </w:rPr>
        <w:t xml:space="preserve"> Duarte y otros Vs. Uruguay. Fondo Reparaciones y Costas. </w:t>
      </w:r>
      <w:r w:rsidRPr="00E42101">
        <w:rPr>
          <w:bCs/>
          <w:szCs w:val="16"/>
          <w:lang w:val="es-CR"/>
        </w:rPr>
        <w:t xml:space="preserve">Sentencia de 13 de octubre de 2011. Serie C No. 234, párr. 122, y </w:t>
      </w:r>
      <w:r w:rsidRPr="00E42101">
        <w:rPr>
          <w:bCs/>
          <w:i/>
          <w:szCs w:val="16"/>
          <w:lang w:val="es-CR"/>
        </w:rPr>
        <w:t xml:space="preserve">Caso Trabajadores Cesados de Petroperú y otros Vs. Perú. Excepciones Preliminares, Fondo, Reparaciones y Costas. </w:t>
      </w:r>
      <w:r w:rsidRPr="00E42101">
        <w:rPr>
          <w:bCs/>
          <w:szCs w:val="16"/>
          <w:lang w:val="es-CR"/>
        </w:rPr>
        <w:t>Sentencia de 23 de noviembre de 2017. Serie C No. 344, párr. 153.</w:t>
      </w:r>
      <w:r w:rsidRPr="00E42101">
        <w:rPr>
          <w:szCs w:val="16"/>
          <w:lang w:val="es-CR"/>
        </w:rPr>
        <w:t xml:space="preserve"> </w:t>
      </w:r>
    </w:p>
  </w:footnote>
  <w:footnote w:id="209">
    <w:p w14:paraId="029DC6BB" w14:textId="2752D007" w:rsidR="00604517" w:rsidRPr="00E42101" w:rsidRDefault="00604517" w:rsidP="00E47BD5">
      <w:pPr>
        <w:pStyle w:val="Textonotapie"/>
        <w:spacing w:before="0"/>
        <w:rPr>
          <w:i/>
          <w:szCs w:val="16"/>
          <w:lang w:val="es-CR"/>
        </w:rPr>
      </w:pPr>
      <w:r w:rsidRPr="00E42101">
        <w:rPr>
          <w:rStyle w:val="Refdenotaalpie"/>
          <w:rFonts w:eastAsiaTheme="majorEastAsia"/>
          <w:szCs w:val="16"/>
          <w:lang w:val="es-CR"/>
        </w:rPr>
        <w:footnoteRef/>
      </w:r>
      <w:r w:rsidRPr="00E42101">
        <w:rPr>
          <w:szCs w:val="16"/>
          <w:lang w:val="es-CR"/>
        </w:rPr>
        <w:tab/>
      </w:r>
      <w:r w:rsidRPr="00E42101">
        <w:rPr>
          <w:i/>
          <w:szCs w:val="16"/>
          <w:lang w:val="es-CR"/>
        </w:rPr>
        <w:t xml:space="preserve">Cfr. Caso Hilaire, </w:t>
      </w:r>
      <w:proofErr w:type="spellStart"/>
      <w:r w:rsidRPr="00E42101">
        <w:rPr>
          <w:i/>
          <w:szCs w:val="16"/>
          <w:lang w:val="es-CR"/>
        </w:rPr>
        <w:t>Constantine</w:t>
      </w:r>
      <w:proofErr w:type="spellEnd"/>
      <w:r w:rsidRPr="00E42101">
        <w:rPr>
          <w:i/>
          <w:szCs w:val="16"/>
          <w:lang w:val="es-CR"/>
        </w:rPr>
        <w:t xml:space="preserve"> y </w:t>
      </w:r>
      <w:proofErr w:type="spellStart"/>
      <w:r w:rsidRPr="00E42101">
        <w:rPr>
          <w:i/>
          <w:szCs w:val="16"/>
          <w:lang w:val="es-CR"/>
        </w:rPr>
        <w:t>Benjamin</w:t>
      </w:r>
      <w:proofErr w:type="spellEnd"/>
      <w:r w:rsidRPr="00E42101">
        <w:rPr>
          <w:i/>
          <w:szCs w:val="16"/>
          <w:lang w:val="es-CR"/>
        </w:rPr>
        <w:t xml:space="preserve"> y otros Vs. Trinidad y Tobago. Fondo, Reparaciones y Costas. </w:t>
      </w:r>
      <w:r w:rsidRPr="00E42101">
        <w:rPr>
          <w:szCs w:val="16"/>
          <w:lang w:val="es-CR"/>
        </w:rPr>
        <w:t>Sentencia de 21 de junio de 2002. Serie C No. 94, párr. 145, y</w:t>
      </w:r>
      <w:r w:rsidRPr="00E42101">
        <w:rPr>
          <w:i/>
          <w:szCs w:val="16"/>
          <w:lang w:val="es-CR"/>
        </w:rPr>
        <w:t xml:space="preserve">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421.</w:t>
      </w:r>
    </w:p>
  </w:footnote>
  <w:footnote w:id="210">
    <w:p w14:paraId="79DDAD67" w14:textId="6D16D323" w:rsidR="00604517" w:rsidRPr="00E42101" w:rsidRDefault="00604517" w:rsidP="00E47BD5">
      <w:pPr>
        <w:pStyle w:val="Textonotapie"/>
        <w:tabs>
          <w:tab w:val="left" w:pos="426"/>
          <w:tab w:val="left" w:pos="567"/>
        </w:tabs>
        <w:spacing w:before="0"/>
        <w:rPr>
          <w:spacing w:val="-4"/>
          <w:szCs w:val="16"/>
          <w:lang w:val="es-CR"/>
        </w:rPr>
      </w:pPr>
      <w:r w:rsidRPr="00E42101">
        <w:rPr>
          <w:rStyle w:val="Refdenotaalpie"/>
          <w:rFonts w:eastAsiaTheme="majorEastAsia"/>
          <w:spacing w:val="-4"/>
          <w:szCs w:val="16"/>
          <w:lang w:val="es-CR"/>
        </w:rPr>
        <w:footnoteRef/>
      </w:r>
      <w:r w:rsidRPr="00E42101">
        <w:rPr>
          <w:spacing w:val="-4"/>
          <w:szCs w:val="16"/>
          <w:lang w:val="es-CR"/>
        </w:rPr>
        <w:tab/>
      </w:r>
      <w:r w:rsidRPr="00E42101">
        <w:rPr>
          <w:spacing w:val="-4"/>
          <w:szCs w:val="16"/>
          <w:lang w:val="es-CR"/>
        </w:rPr>
        <w:tab/>
      </w:r>
      <w:r w:rsidRPr="00E42101">
        <w:rPr>
          <w:spacing w:val="-4"/>
          <w:szCs w:val="16"/>
          <w:lang w:val="es-CR"/>
        </w:rPr>
        <w:tab/>
      </w:r>
      <w:r w:rsidRPr="00E42101">
        <w:rPr>
          <w:i/>
          <w:iCs/>
          <w:spacing w:val="-4"/>
          <w:szCs w:val="16"/>
          <w:lang w:val="es-CR"/>
        </w:rPr>
        <w:t xml:space="preserve">Cfr. </w:t>
      </w:r>
      <w:r w:rsidRPr="00E42101">
        <w:rPr>
          <w:bCs/>
          <w:i/>
          <w:iCs/>
          <w:spacing w:val="-4"/>
          <w:szCs w:val="16"/>
          <w:lang w:val="es-CR"/>
        </w:rPr>
        <w:t xml:space="preserve">Caso </w:t>
      </w:r>
      <w:proofErr w:type="spellStart"/>
      <w:r w:rsidRPr="00E42101">
        <w:rPr>
          <w:bCs/>
          <w:i/>
          <w:iCs/>
          <w:spacing w:val="-4"/>
          <w:szCs w:val="16"/>
          <w:lang w:val="es-CR"/>
        </w:rPr>
        <w:t>Apitz</w:t>
      </w:r>
      <w:proofErr w:type="spellEnd"/>
      <w:r w:rsidRPr="00E42101">
        <w:rPr>
          <w:bCs/>
          <w:i/>
          <w:iCs/>
          <w:spacing w:val="-4"/>
          <w:szCs w:val="16"/>
          <w:lang w:val="es-CR"/>
        </w:rPr>
        <w:t xml:space="preserve"> Barbera y otros (“Corte Primera de lo Contencioso Administrativo”) Vs. Venezuela. Excepción Preliminar, Fondo, Reparaciones y Costas. </w:t>
      </w:r>
      <w:r w:rsidRPr="00E42101">
        <w:rPr>
          <w:bCs/>
          <w:iCs/>
          <w:spacing w:val="-4"/>
          <w:szCs w:val="16"/>
          <w:lang w:val="es-CR"/>
        </w:rPr>
        <w:t>Sentencia de 5 de agosto de 2008. Serie C No. 182</w:t>
      </w:r>
      <w:r w:rsidRPr="00E42101">
        <w:rPr>
          <w:rFonts w:eastAsia="Calibri"/>
          <w:bCs/>
          <w:szCs w:val="16"/>
          <w:shd w:val="clear" w:color="auto" w:fill="FFFFFF"/>
          <w:lang w:val="es-CR"/>
        </w:rPr>
        <w:t>,</w:t>
      </w:r>
      <w:r w:rsidRPr="00E42101">
        <w:rPr>
          <w:spacing w:val="-4"/>
          <w:szCs w:val="16"/>
          <w:lang w:val="es-CR"/>
        </w:rPr>
        <w:t xml:space="preserve"> párr. 78, y</w:t>
      </w:r>
      <w:r w:rsidRPr="00E42101">
        <w:rPr>
          <w:rFonts w:cs="Verdana"/>
          <w:bCs/>
          <w:i/>
          <w:spacing w:val="-4"/>
          <w:szCs w:val="16"/>
          <w:lang w:val="es-CR"/>
        </w:rPr>
        <w:t xml:space="preserve">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268.</w:t>
      </w:r>
    </w:p>
  </w:footnote>
  <w:footnote w:id="211">
    <w:p w14:paraId="48522E79" w14:textId="0C04CAA8" w:rsidR="00604517" w:rsidRPr="00E42101" w:rsidRDefault="00604517" w:rsidP="00E47BD5">
      <w:pPr>
        <w:tabs>
          <w:tab w:val="left" w:pos="426"/>
          <w:tab w:val="left" w:pos="567"/>
        </w:tabs>
        <w:autoSpaceDE w:val="0"/>
        <w:autoSpaceDN w:val="0"/>
        <w:spacing w:after="120"/>
        <w:rPr>
          <w:rFonts w:cs="Verdana"/>
          <w:i/>
          <w:iCs/>
          <w:spacing w:val="-4"/>
          <w:sz w:val="16"/>
          <w:szCs w:val="16"/>
          <w:lang w:val="es-CR"/>
        </w:rPr>
      </w:pPr>
      <w:r w:rsidRPr="00E42101">
        <w:rPr>
          <w:rStyle w:val="Refdenotaalpie"/>
          <w:spacing w:val="-4"/>
          <w:sz w:val="16"/>
          <w:szCs w:val="16"/>
          <w:lang w:val="es-CR"/>
        </w:rPr>
        <w:footnoteRef/>
      </w:r>
      <w:r w:rsidRPr="00E42101">
        <w:rPr>
          <w:spacing w:val="-4"/>
          <w:sz w:val="16"/>
          <w:szCs w:val="16"/>
          <w:lang w:val="es-CR"/>
        </w:rPr>
        <w:tab/>
      </w:r>
      <w:r w:rsidRPr="00E42101">
        <w:rPr>
          <w:spacing w:val="-4"/>
          <w:sz w:val="16"/>
          <w:szCs w:val="16"/>
          <w:lang w:val="es-CR"/>
        </w:rPr>
        <w:tab/>
      </w:r>
      <w:r w:rsidRPr="00E42101">
        <w:rPr>
          <w:spacing w:val="-4"/>
          <w:sz w:val="16"/>
          <w:szCs w:val="16"/>
          <w:lang w:val="es-CR"/>
        </w:rPr>
        <w:tab/>
      </w:r>
      <w:r w:rsidRPr="00E42101">
        <w:rPr>
          <w:i/>
          <w:spacing w:val="-4"/>
          <w:sz w:val="16"/>
          <w:szCs w:val="16"/>
          <w:lang w:val="es-CR"/>
        </w:rPr>
        <w:t>Cfr.</w:t>
      </w:r>
      <w:r w:rsidRPr="00E42101">
        <w:rPr>
          <w:spacing w:val="-4"/>
          <w:sz w:val="16"/>
          <w:szCs w:val="16"/>
          <w:lang w:val="es-CR"/>
        </w:rPr>
        <w:t xml:space="preserve"> </w:t>
      </w:r>
      <w:r w:rsidRPr="00E42101">
        <w:rPr>
          <w:rFonts w:cs="Verdana"/>
          <w:i/>
          <w:iCs/>
          <w:spacing w:val="-4"/>
          <w:sz w:val="16"/>
          <w:szCs w:val="16"/>
          <w:lang w:val="es-CR"/>
        </w:rPr>
        <w:t>Caso Chaparro Álvarez y Lapo Íñiguez Vs. Ecuador. Excepciones Preliminares, Fondo, Reparaciones y Costas</w:t>
      </w:r>
      <w:r w:rsidRPr="00E42101">
        <w:rPr>
          <w:rFonts w:cs="Verdana"/>
          <w:iCs/>
          <w:spacing w:val="-4"/>
          <w:sz w:val="16"/>
          <w:szCs w:val="16"/>
          <w:lang w:val="es-CR"/>
        </w:rPr>
        <w:t>. Sentencia de 21 de noviembre de 2007. Serie C No. 170</w:t>
      </w:r>
      <w:r w:rsidRPr="00E42101">
        <w:rPr>
          <w:rFonts w:cs="Verdana"/>
          <w:spacing w:val="-4"/>
          <w:sz w:val="16"/>
          <w:szCs w:val="16"/>
          <w:lang w:val="es-CR"/>
        </w:rPr>
        <w:t>, párr. 107</w:t>
      </w:r>
      <w:r w:rsidRPr="00E42101">
        <w:rPr>
          <w:spacing w:val="-4"/>
          <w:sz w:val="16"/>
          <w:szCs w:val="16"/>
          <w:lang w:val="es-CR"/>
        </w:rPr>
        <w:t xml:space="preserve">, y </w:t>
      </w:r>
      <w:r w:rsidRPr="00E42101">
        <w:rPr>
          <w:i/>
          <w:spacing w:val="-4"/>
          <w:sz w:val="16"/>
          <w:szCs w:val="16"/>
          <w:lang w:val="es-CR"/>
        </w:rPr>
        <w:t>Caso</w:t>
      </w:r>
      <w:r w:rsidRPr="00E42101">
        <w:rPr>
          <w:spacing w:val="-4"/>
          <w:sz w:val="16"/>
          <w:szCs w:val="16"/>
          <w:lang w:val="es-CR"/>
        </w:rPr>
        <w:t xml:space="preserve"> </w:t>
      </w:r>
      <w:r w:rsidRPr="00E42101">
        <w:rPr>
          <w:bCs/>
          <w:i/>
          <w:sz w:val="16"/>
          <w:szCs w:val="16"/>
          <w:shd w:val="clear" w:color="auto" w:fill="FFFFFF"/>
          <w:lang w:val="es-CR"/>
        </w:rPr>
        <w:t>Amrhein y otros Vs. Costa Rica. Excepciones Preliminares, Fondo, Reparaciones y Costas</w:t>
      </w:r>
      <w:r w:rsidRPr="00E42101">
        <w:rPr>
          <w:bCs/>
          <w:sz w:val="16"/>
          <w:szCs w:val="16"/>
          <w:shd w:val="clear" w:color="auto" w:fill="FFFFFF"/>
          <w:lang w:val="es-CR"/>
        </w:rPr>
        <w:t>. Sentencia de 25 de abril de 2018. Serie C No. 354, párr. 268.</w:t>
      </w:r>
    </w:p>
  </w:footnote>
  <w:footnote w:id="212">
    <w:p w14:paraId="13CDB1A6" w14:textId="18F52803" w:rsidR="00604517" w:rsidRPr="00E42101" w:rsidRDefault="00604517" w:rsidP="00E47BD5">
      <w:pPr>
        <w:pStyle w:val="Textonotapie"/>
        <w:tabs>
          <w:tab w:val="left" w:pos="426"/>
          <w:tab w:val="left" w:pos="567"/>
        </w:tabs>
        <w:spacing w:before="0"/>
        <w:rPr>
          <w:spacing w:val="-4"/>
          <w:szCs w:val="16"/>
          <w:lang w:val="es-CR"/>
        </w:rPr>
      </w:pPr>
      <w:r w:rsidRPr="00E42101">
        <w:rPr>
          <w:rStyle w:val="Refdenotaalpie"/>
          <w:rFonts w:eastAsiaTheme="majorEastAsia"/>
          <w:spacing w:val="-4"/>
          <w:szCs w:val="16"/>
          <w:lang w:val="es-CR"/>
        </w:rPr>
        <w:footnoteRef/>
      </w:r>
      <w:r w:rsidRPr="00E42101">
        <w:rPr>
          <w:spacing w:val="-4"/>
          <w:szCs w:val="16"/>
          <w:lang w:val="es-CR"/>
        </w:rPr>
        <w:tab/>
      </w:r>
      <w:r w:rsidRPr="00E42101">
        <w:rPr>
          <w:spacing w:val="-4"/>
          <w:szCs w:val="16"/>
          <w:lang w:val="es-CR"/>
        </w:rPr>
        <w:tab/>
      </w:r>
      <w:r w:rsidRPr="00E42101">
        <w:rPr>
          <w:spacing w:val="-4"/>
          <w:szCs w:val="16"/>
          <w:lang w:val="es-CR"/>
        </w:rPr>
        <w:tab/>
      </w:r>
      <w:r w:rsidRPr="00E42101">
        <w:rPr>
          <w:i/>
          <w:spacing w:val="-4"/>
          <w:szCs w:val="16"/>
          <w:lang w:val="es-CR"/>
        </w:rPr>
        <w:t>Cfr.</w:t>
      </w:r>
      <w:r w:rsidRPr="00E42101">
        <w:rPr>
          <w:spacing w:val="-4"/>
          <w:szCs w:val="16"/>
          <w:lang w:val="es-CR"/>
        </w:rPr>
        <w:t xml:space="preserve"> </w:t>
      </w:r>
      <w:r w:rsidRPr="00E42101">
        <w:rPr>
          <w:rFonts w:cs="Tahoma"/>
          <w:i/>
          <w:szCs w:val="16"/>
          <w:shd w:val="clear" w:color="auto" w:fill="FFFFFF"/>
          <w:lang w:val="es-CR"/>
        </w:rPr>
        <w:t xml:space="preserve">Caso </w:t>
      </w:r>
      <w:proofErr w:type="spellStart"/>
      <w:r w:rsidRPr="00E42101">
        <w:rPr>
          <w:rFonts w:cs="Tahoma"/>
          <w:i/>
          <w:szCs w:val="16"/>
          <w:shd w:val="clear" w:color="auto" w:fill="FFFFFF"/>
          <w:lang w:val="es-CR"/>
        </w:rPr>
        <w:t>Apitz</w:t>
      </w:r>
      <w:proofErr w:type="spellEnd"/>
      <w:r w:rsidRPr="00E42101">
        <w:rPr>
          <w:rFonts w:cs="Tahoma"/>
          <w:i/>
          <w:szCs w:val="16"/>
          <w:shd w:val="clear" w:color="auto" w:fill="FFFFFF"/>
          <w:lang w:val="es-CR"/>
        </w:rPr>
        <w:t xml:space="preserve"> Barbera y otros (“Corte Primera de lo Contencioso Administrativo”) Vs. Venezuela. Excepción Preliminar, Fondo, Reparaciones y Costas. </w:t>
      </w:r>
      <w:r w:rsidRPr="00E42101">
        <w:rPr>
          <w:rFonts w:cs="Tahoma"/>
          <w:szCs w:val="16"/>
          <w:shd w:val="clear" w:color="auto" w:fill="FFFFFF"/>
          <w:lang w:val="es-CR"/>
        </w:rPr>
        <w:t>Sentencia de 5 de agosto de 2008. Serie C No. 182</w:t>
      </w:r>
      <w:r w:rsidRPr="00E42101">
        <w:rPr>
          <w:i/>
          <w:spacing w:val="-4"/>
          <w:szCs w:val="16"/>
          <w:lang w:val="es-CR"/>
        </w:rPr>
        <w:t xml:space="preserve">, </w:t>
      </w:r>
      <w:r w:rsidRPr="00E42101">
        <w:rPr>
          <w:spacing w:val="-4"/>
          <w:szCs w:val="16"/>
          <w:lang w:val="es-CR"/>
        </w:rPr>
        <w:t xml:space="preserve">párr. 77, y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268.</w:t>
      </w:r>
    </w:p>
  </w:footnote>
  <w:footnote w:id="213">
    <w:p w14:paraId="5524F10A" w14:textId="777C7454" w:rsidR="00604517" w:rsidRPr="00E42101" w:rsidRDefault="00604517" w:rsidP="00E47BD5">
      <w:pPr>
        <w:tabs>
          <w:tab w:val="left" w:pos="426"/>
          <w:tab w:val="left" w:pos="567"/>
        </w:tabs>
        <w:autoSpaceDE w:val="0"/>
        <w:autoSpaceDN w:val="0"/>
        <w:spacing w:after="120"/>
        <w:rPr>
          <w:rFonts w:cs="Verdana"/>
          <w:spacing w:val="-4"/>
          <w:sz w:val="16"/>
          <w:szCs w:val="16"/>
          <w:lang w:val="es-CR"/>
        </w:rPr>
      </w:pPr>
      <w:r w:rsidRPr="00E42101">
        <w:rPr>
          <w:rStyle w:val="Refdenotaalpie"/>
          <w:spacing w:val="-4"/>
          <w:sz w:val="16"/>
          <w:szCs w:val="16"/>
          <w:lang w:val="es-CR"/>
        </w:rPr>
        <w:footnoteRef/>
      </w:r>
      <w:r w:rsidRPr="00E42101">
        <w:rPr>
          <w:spacing w:val="-4"/>
          <w:sz w:val="16"/>
          <w:szCs w:val="16"/>
          <w:lang w:val="es-CR"/>
        </w:rPr>
        <w:tab/>
      </w:r>
      <w:r w:rsidRPr="00E42101">
        <w:rPr>
          <w:spacing w:val="-4"/>
          <w:sz w:val="16"/>
          <w:szCs w:val="16"/>
          <w:lang w:val="es-CR"/>
        </w:rPr>
        <w:tab/>
      </w:r>
      <w:r w:rsidRPr="00E42101">
        <w:rPr>
          <w:spacing w:val="-4"/>
          <w:sz w:val="16"/>
          <w:szCs w:val="16"/>
          <w:lang w:val="es-CR"/>
        </w:rPr>
        <w:tab/>
      </w:r>
      <w:r w:rsidRPr="00E42101">
        <w:rPr>
          <w:i/>
          <w:spacing w:val="-4"/>
          <w:sz w:val="16"/>
          <w:szCs w:val="16"/>
          <w:lang w:val="es-CR"/>
        </w:rPr>
        <w:t>Cfr.</w:t>
      </w:r>
      <w:r w:rsidRPr="00E42101">
        <w:rPr>
          <w:rFonts w:cs="Verdana"/>
          <w:i/>
          <w:iCs/>
          <w:spacing w:val="-4"/>
          <w:sz w:val="16"/>
          <w:szCs w:val="16"/>
          <w:lang w:val="es-CR"/>
        </w:rPr>
        <w:t xml:space="preserve"> </w:t>
      </w:r>
      <w:r w:rsidRPr="00E42101">
        <w:rPr>
          <w:bCs/>
          <w:i/>
          <w:sz w:val="16"/>
          <w:szCs w:val="16"/>
          <w:shd w:val="clear" w:color="auto" w:fill="FFFFFF"/>
          <w:lang w:val="es-CR"/>
        </w:rPr>
        <w:t>Caso Yatama Vs. Nicaragua. Excepciones Preliminares, Fondo, Reparaciones y Costas.</w:t>
      </w:r>
      <w:r w:rsidRPr="00E42101">
        <w:rPr>
          <w:bCs/>
          <w:sz w:val="16"/>
          <w:szCs w:val="16"/>
          <w:shd w:val="clear" w:color="auto" w:fill="FFFFFF"/>
          <w:lang w:val="es-CR"/>
        </w:rPr>
        <w:t xml:space="preserve"> Sentencia de 23 de junio de 2005. Serie C No. 127</w:t>
      </w:r>
      <w:r w:rsidRPr="00E42101">
        <w:rPr>
          <w:rFonts w:cs="Verdana"/>
          <w:i/>
          <w:iCs/>
          <w:spacing w:val="-4"/>
          <w:sz w:val="16"/>
          <w:szCs w:val="16"/>
          <w:lang w:val="es-CR"/>
        </w:rPr>
        <w:t xml:space="preserve">, </w:t>
      </w:r>
      <w:r w:rsidRPr="00E42101">
        <w:rPr>
          <w:rFonts w:cs="Verdana"/>
          <w:spacing w:val="-4"/>
          <w:sz w:val="16"/>
          <w:szCs w:val="16"/>
          <w:lang w:val="es-CR"/>
        </w:rPr>
        <w:t>párr. 152,</w:t>
      </w:r>
      <w:r w:rsidRPr="00E42101">
        <w:rPr>
          <w:i/>
          <w:spacing w:val="-4"/>
          <w:sz w:val="16"/>
          <w:szCs w:val="16"/>
          <w:lang w:val="es-CR"/>
        </w:rPr>
        <w:t xml:space="preserve"> </w:t>
      </w:r>
      <w:r w:rsidRPr="00E42101">
        <w:rPr>
          <w:spacing w:val="-4"/>
          <w:sz w:val="16"/>
          <w:szCs w:val="16"/>
          <w:lang w:val="es-CR"/>
        </w:rPr>
        <w:t>y</w:t>
      </w:r>
      <w:r w:rsidRPr="00E42101">
        <w:rPr>
          <w:i/>
          <w:spacing w:val="-4"/>
          <w:sz w:val="16"/>
          <w:szCs w:val="16"/>
          <w:lang w:val="es-CR"/>
        </w:rPr>
        <w:t xml:space="preserve"> </w:t>
      </w:r>
      <w:r w:rsidRPr="00E42101">
        <w:rPr>
          <w:bCs/>
          <w:i/>
          <w:sz w:val="16"/>
          <w:szCs w:val="16"/>
          <w:shd w:val="clear" w:color="auto" w:fill="FFFFFF"/>
          <w:lang w:val="es-CR"/>
        </w:rPr>
        <w:t xml:space="preserve">Caso Ramírez Escobar y otros Vs. Guatemala. Fondo, Reparaciones y Costas. </w:t>
      </w:r>
      <w:r w:rsidRPr="00E42101">
        <w:rPr>
          <w:bCs/>
          <w:sz w:val="16"/>
          <w:szCs w:val="16"/>
          <w:shd w:val="clear" w:color="auto" w:fill="FFFFFF"/>
          <w:lang w:val="es-CR"/>
        </w:rPr>
        <w:t>Sentencia de 9 de marzo de 2018. Serie C No. 351, párr. 187.</w:t>
      </w:r>
    </w:p>
  </w:footnote>
  <w:footnote w:id="214">
    <w:p w14:paraId="053FEE45" w14:textId="6FD96C0C" w:rsidR="00604517" w:rsidRPr="00E42101" w:rsidRDefault="00604517" w:rsidP="00E47BD5">
      <w:pPr>
        <w:pStyle w:val="Textonotapie"/>
        <w:tabs>
          <w:tab w:val="left" w:pos="709"/>
        </w:tabs>
        <w:spacing w:before="0"/>
        <w:rPr>
          <w:szCs w:val="16"/>
          <w:lang w:val="es-CR"/>
        </w:rPr>
      </w:pPr>
      <w:r w:rsidRPr="00E42101">
        <w:rPr>
          <w:rStyle w:val="Refdenotaalpie"/>
          <w:spacing w:val="-4"/>
          <w:szCs w:val="16"/>
          <w:lang w:val="es-CR"/>
        </w:rPr>
        <w:footnoteRef/>
      </w:r>
      <w:r w:rsidRPr="00E42101">
        <w:rPr>
          <w:spacing w:val="-4"/>
          <w:szCs w:val="16"/>
          <w:lang w:val="es-CR"/>
        </w:rPr>
        <w:tab/>
      </w:r>
      <w:r w:rsidRPr="00E42101">
        <w:rPr>
          <w:spacing w:val="-4"/>
          <w:szCs w:val="16"/>
          <w:lang w:val="es-CR"/>
        </w:rPr>
        <w:tab/>
      </w:r>
      <w:r w:rsidRPr="00E42101">
        <w:rPr>
          <w:spacing w:val="-4"/>
          <w:szCs w:val="16"/>
          <w:lang w:val="es-CR"/>
        </w:rPr>
        <w:tab/>
      </w:r>
      <w:r w:rsidRPr="00E42101">
        <w:rPr>
          <w:i/>
          <w:iCs/>
          <w:spacing w:val="-4"/>
          <w:szCs w:val="16"/>
          <w:lang w:val="es-CR"/>
        </w:rPr>
        <w:t xml:space="preserve">Cfr. </w:t>
      </w:r>
      <w:r w:rsidRPr="00E42101">
        <w:rPr>
          <w:bCs/>
          <w:i/>
          <w:szCs w:val="16"/>
          <w:shd w:val="clear" w:color="auto" w:fill="FFFFFF"/>
          <w:lang w:val="es-CR"/>
        </w:rPr>
        <w:t>Caso Claude Reyes y otros Vs. Chile. Fondo, Reparaciones y Costas.</w:t>
      </w:r>
      <w:r w:rsidRPr="00E42101">
        <w:rPr>
          <w:bCs/>
          <w:szCs w:val="16"/>
          <w:shd w:val="clear" w:color="auto" w:fill="FFFFFF"/>
          <w:lang w:val="es-CR"/>
        </w:rPr>
        <w:t xml:space="preserve"> Sentencia de 19 de septiembre de 2006. Serie C No. 151</w:t>
      </w:r>
      <w:r w:rsidRPr="00E42101">
        <w:rPr>
          <w:rFonts w:cs="Verdana"/>
          <w:spacing w:val="-4"/>
          <w:szCs w:val="16"/>
          <w:lang w:val="es-CR"/>
        </w:rPr>
        <w:t xml:space="preserve">, párr. 122, </w:t>
      </w:r>
      <w:r w:rsidRPr="00E42101">
        <w:rPr>
          <w:spacing w:val="-4"/>
          <w:szCs w:val="16"/>
          <w:lang w:val="es-CR"/>
        </w:rPr>
        <w:t xml:space="preserve">y </w:t>
      </w:r>
      <w:r w:rsidRPr="00E42101">
        <w:rPr>
          <w:bCs/>
          <w:i/>
          <w:szCs w:val="16"/>
          <w:lang w:val="es-CR"/>
        </w:rPr>
        <w:t xml:space="preserve">Caso Trabajadores Cesados de Petroperú y otros Vs. Perú. Excepciones Preliminares, Fondo, Reparaciones y Costas. </w:t>
      </w:r>
      <w:r w:rsidRPr="00E42101">
        <w:rPr>
          <w:bCs/>
          <w:szCs w:val="16"/>
          <w:lang w:val="es-CR"/>
        </w:rPr>
        <w:t>Sentencia de 23 de noviembre de 2017. Serie C No. 344, párr. 168</w:t>
      </w:r>
      <w:r w:rsidRPr="00E42101">
        <w:rPr>
          <w:szCs w:val="16"/>
          <w:lang w:val="es-CR"/>
        </w:rPr>
        <w:t>.</w:t>
      </w:r>
    </w:p>
  </w:footnote>
  <w:footnote w:id="215">
    <w:p w14:paraId="00A4742F" w14:textId="2EC09A0E" w:rsidR="00604517" w:rsidRPr="00E42101" w:rsidRDefault="00604517" w:rsidP="00E47BD5">
      <w:pPr>
        <w:pStyle w:val="Textonotapie"/>
        <w:tabs>
          <w:tab w:val="left" w:pos="426"/>
          <w:tab w:val="left" w:pos="567"/>
          <w:tab w:val="left" w:pos="8085"/>
        </w:tabs>
        <w:spacing w:before="0"/>
        <w:rPr>
          <w:spacing w:val="-4"/>
          <w:szCs w:val="16"/>
          <w:lang w:val="es-CR"/>
        </w:rPr>
      </w:pPr>
      <w:r w:rsidRPr="00E42101">
        <w:rPr>
          <w:rStyle w:val="Refdenotaalpie"/>
          <w:rFonts w:eastAsiaTheme="majorEastAsia"/>
          <w:spacing w:val="-4"/>
          <w:szCs w:val="16"/>
          <w:lang w:val="es-CR"/>
        </w:rPr>
        <w:footnoteRef/>
      </w:r>
      <w:r w:rsidRPr="00E42101">
        <w:rPr>
          <w:i/>
          <w:spacing w:val="-4"/>
          <w:szCs w:val="16"/>
          <w:lang w:val="es-CR"/>
        </w:rPr>
        <w:tab/>
      </w:r>
      <w:r w:rsidRPr="00E42101">
        <w:rPr>
          <w:i/>
          <w:spacing w:val="-4"/>
          <w:szCs w:val="16"/>
          <w:lang w:val="es-CR"/>
        </w:rPr>
        <w:tab/>
        <w:t xml:space="preserve">  Cfr</w:t>
      </w:r>
      <w:r w:rsidRPr="00E42101">
        <w:rPr>
          <w:spacing w:val="-4"/>
          <w:szCs w:val="16"/>
          <w:lang w:val="es-CR"/>
        </w:rPr>
        <w:t xml:space="preserve">. </w:t>
      </w:r>
      <w:r w:rsidRPr="00E42101">
        <w:rPr>
          <w:rFonts w:cs="Tahoma"/>
          <w:i/>
          <w:szCs w:val="16"/>
          <w:shd w:val="clear" w:color="auto" w:fill="FFFFFF"/>
          <w:lang w:val="es-CR"/>
        </w:rPr>
        <w:t xml:space="preserve">Caso </w:t>
      </w:r>
      <w:proofErr w:type="spellStart"/>
      <w:r w:rsidRPr="00E42101">
        <w:rPr>
          <w:rFonts w:cs="Tahoma"/>
          <w:i/>
          <w:szCs w:val="16"/>
          <w:shd w:val="clear" w:color="auto" w:fill="FFFFFF"/>
          <w:lang w:val="es-CR"/>
        </w:rPr>
        <w:t>Apitz</w:t>
      </w:r>
      <w:proofErr w:type="spellEnd"/>
      <w:r w:rsidRPr="00E42101">
        <w:rPr>
          <w:rFonts w:cs="Tahoma"/>
          <w:i/>
          <w:szCs w:val="16"/>
          <w:shd w:val="clear" w:color="auto" w:fill="FFFFFF"/>
          <w:lang w:val="es-CR"/>
        </w:rPr>
        <w:t xml:space="preserve"> Barbera y otros (“Corte Primera de lo Contencioso Administrativo”) Vs. Venezuela. Excepción Preliminar, Fondo, Reparaciones y Costas. </w:t>
      </w:r>
      <w:r w:rsidRPr="00E42101">
        <w:rPr>
          <w:rFonts w:cs="Tahoma"/>
          <w:szCs w:val="16"/>
          <w:shd w:val="clear" w:color="auto" w:fill="FFFFFF"/>
          <w:lang w:val="es-CR"/>
        </w:rPr>
        <w:t>Sentencia de 5 de agosto de 2008. Serie C No. 182</w:t>
      </w:r>
      <w:r w:rsidRPr="00E42101">
        <w:rPr>
          <w:spacing w:val="-4"/>
          <w:szCs w:val="16"/>
          <w:lang w:val="es-CR"/>
        </w:rPr>
        <w:t xml:space="preserve">, párr. 78, y </w:t>
      </w:r>
      <w:r w:rsidRPr="00E42101">
        <w:rPr>
          <w:rStyle w:val="Textoennegrita"/>
          <w:b w:val="0"/>
          <w:i/>
          <w:color w:val="000000"/>
          <w:szCs w:val="16"/>
          <w:shd w:val="clear" w:color="auto" w:fill="FFFFFF"/>
          <w:lang w:val="es-CR"/>
        </w:rPr>
        <w:t>Caso Ramírez Escobar y otros Vs. Guatemala. Fondo, Reparaciones y Costas</w:t>
      </w:r>
      <w:r w:rsidRPr="00E42101">
        <w:rPr>
          <w:rStyle w:val="Textoennegrita"/>
          <w:b w:val="0"/>
          <w:color w:val="000000"/>
          <w:szCs w:val="16"/>
          <w:shd w:val="clear" w:color="auto" w:fill="FFFFFF"/>
          <w:lang w:val="es-CR"/>
        </w:rPr>
        <w:t>. Sentencia de 9 de marzo de 2018. Serie C No. 351, párr. 187.</w:t>
      </w:r>
    </w:p>
  </w:footnote>
  <w:footnote w:id="216">
    <w:p w14:paraId="2BB33366" w14:textId="0C7D55F5" w:rsidR="00604517" w:rsidRPr="00E42101" w:rsidRDefault="00604517" w:rsidP="00E47BD5">
      <w:pPr>
        <w:pStyle w:val="Textonotapie"/>
        <w:tabs>
          <w:tab w:val="left" w:pos="709"/>
        </w:tabs>
        <w:spacing w:before="0"/>
        <w:rPr>
          <w:szCs w:val="16"/>
          <w:lang w:val="es-CR"/>
        </w:rPr>
      </w:pPr>
      <w:r w:rsidRPr="00E42101">
        <w:rPr>
          <w:rStyle w:val="Refdenotaalpie"/>
          <w:rFonts w:cs="Arial"/>
          <w:szCs w:val="16"/>
          <w:lang w:val="es-CR"/>
        </w:rPr>
        <w:footnoteRef/>
      </w:r>
      <w:r w:rsidRPr="00E42101">
        <w:rPr>
          <w:rFonts w:cs="Arial"/>
          <w:szCs w:val="16"/>
          <w:lang w:val="es-CR"/>
        </w:rPr>
        <w:t xml:space="preserve"> </w:t>
      </w:r>
      <w:r w:rsidRPr="00E42101">
        <w:rPr>
          <w:rFonts w:cs="Arial"/>
          <w:szCs w:val="16"/>
          <w:lang w:val="es-CR"/>
        </w:rPr>
        <w:tab/>
      </w:r>
      <w:r w:rsidRPr="00E42101">
        <w:rPr>
          <w:rFonts w:cs="Arial"/>
          <w:i/>
          <w:szCs w:val="16"/>
          <w:lang w:val="es-CR"/>
        </w:rPr>
        <w:t>Cfr. Caso Castañeda Gutman Vs. México. Excepciones Preliminares, Fondo, Reparaciones y Costas.</w:t>
      </w:r>
      <w:r w:rsidRPr="00E42101">
        <w:rPr>
          <w:rFonts w:cs="Arial"/>
          <w:szCs w:val="16"/>
          <w:lang w:val="es-CR"/>
        </w:rPr>
        <w:t xml:space="preserve"> Sentencia de 6 de agosto de 2008. Serie C No. 184, párr. 94, y </w:t>
      </w:r>
      <w:r w:rsidRPr="00E42101">
        <w:rPr>
          <w:bCs/>
          <w:i/>
          <w:szCs w:val="16"/>
          <w:lang w:val="es-CR"/>
        </w:rPr>
        <w:t xml:space="preserve">Caso Trabajadores Cesados de Petroperú y otros Vs. Perú. Excepciones Preliminares, Fondo, Reparaciones y Costas. </w:t>
      </w:r>
      <w:r w:rsidRPr="00E42101">
        <w:rPr>
          <w:bCs/>
          <w:szCs w:val="16"/>
          <w:lang w:val="es-CR"/>
        </w:rPr>
        <w:t>Sentencia de 23 de noviembre de 2017. Serie C No. 344, párr. 171.</w:t>
      </w:r>
    </w:p>
  </w:footnote>
  <w:footnote w:id="217">
    <w:p w14:paraId="14C79B83" w14:textId="02EF3F2B" w:rsidR="00604517" w:rsidRPr="00E42101" w:rsidRDefault="00604517" w:rsidP="00E47BD5">
      <w:pPr>
        <w:pStyle w:val="Textonotapie"/>
        <w:spacing w:before="0"/>
        <w:rPr>
          <w:rFonts w:cs="Arial"/>
          <w:szCs w:val="16"/>
          <w:lang w:val="es-CR"/>
        </w:rPr>
      </w:pPr>
      <w:r w:rsidRPr="00E42101">
        <w:rPr>
          <w:rStyle w:val="Refdenotaalpie"/>
          <w:rFonts w:cs="Arial"/>
          <w:szCs w:val="16"/>
          <w:lang w:val="es-CR"/>
        </w:rPr>
        <w:footnoteRef/>
      </w:r>
      <w:r w:rsidRPr="00E42101">
        <w:rPr>
          <w:rFonts w:cs="Arial"/>
          <w:szCs w:val="16"/>
          <w:lang w:val="es-CR"/>
        </w:rPr>
        <w:t xml:space="preserve"> </w:t>
      </w:r>
      <w:r w:rsidRPr="00E42101">
        <w:rPr>
          <w:rFonts w:cs="Arial"/>
          <w:szCs w:val="16"/>
          <w:lang w:val="es-CR"/>
        </w:rPr>
        <w:tab/>
      </w:r>
      <w:r w:rsidRPr="00E42101">
        <w:rPr>
          <w:rFonts w:cs="Arial"/>
          <w:i/>
          <w:szCs w:val="16"/>
          <w:lang w:val="es-CR"/>
        </w:rPr>
        <w:t xml:space="preserve">Cfr. </w:t>
      </w:r>
      <w:r w:rsidRPr="00E42101">
        <w:rPr>
          <w:rFonts w:cs="Arial"/>
          <w:bCs/>
          <w:i/>
          <w:szCs w:val="16"/>
          <w:lang w:val="es-CR"/>
        </w:rPr>
        <w:t xml:space="preserve">Caso </w:t>
      </w:r>
      <w:proofErr w:type="spellStart"/>
      <w:r w:rsidRPr="00E42101">
        <w:rPr>
          <w:rFonts w:cs="Arial"/>
          <w:bCs/>
          <w:i/>
          <w:szCs w:val="16"/>
          <w:lang w:val="es-CR"/>
        </w:rPr>
        <w:t>Barbani</w:t>
      </w:r>
      <w:proofErr w:type="spellEnd"/>
      <w:r w:rsidRPr="00E42101">
        <w:rPr>
          <w:rFonts w:cs="Arial"/>
          <w:bCs/>
          <w:i/>
          <w:szCs w:val="16"/>
          <w:lang w:val="es-CR"/>
        </w:rPr>
        <w:t xml:space="preserve"> Duarte y otros Vs. Uruguay. Fondo, Reparaciones y Costas. </w:t>
      </w:r>
      <w:r w:rsidRPr="00E42101">
        <w:rPr>
          <w:rFonts w:cs="Arial"/>
          <w:bCs/>
          <w:szCs w:val="16"/>
          <w:lang w:val="es-CR"/>
        </w:rPr>
        <w:t xml:space="preserve">Sentencia de 13 de octubre de 2011. Serie C No. 234, párr. 210, y </w:t>
      </w:r>
      <w:r w:rsidRPr="00E42101">
        <w:rPr>
          <w:i/>
          <w:szCs w:val="16"/>
          <w:lang w:val="es-CR"/>
        </w:rPr>
        <w:t xml:space="preserve">TEDH, Caso Sigma Radio </w:t>
      </w:r>
      <w:proofErr w:type="spellStart"/>
      <w:r w:rsidRPr="00E42101">
        <w:rPr>
          <w:i/>
          <w:szCs w:val="16"/>
          <w:lang w:val="es-CR"/>
        </w:rPr>
        <w:t>Television</w:t>
      </w:r>
      <w:proofErr w:type="spellEnd"/>
      <w:r w:rsidRPr="00E42101">
        <w:rPr>
          <w:i/>
          <w:szCs w:val="16"/>
          <w:lang w:val="es-CR"/>
        </w:rPr>
        <w:t xml:space="preserve"> Ltd. Vs. </w:t>
      </w:r>
      <w:proofErr w:type="spellStart"/>
      <w:r w:rsidRPr="00E42101">
        <w:rPr>
          <w:i/>
          <w:szCs w:val="16"/>
          <w:lang w:val="es-CR"/>
        </w:rPr>
        <w:t>Cyprus</w:t>
      </w:r>
      <w:proofErr w:type="spellEnd"/>
      <w:r w:rsidRPr="00E42101">
        <w:rPr>
          <w:i/>
          <w:szCs w:val="16"/>
          <w:lang w:val="es-CR"/>
        </w:rPr>
        <w:t xml:space="preserve">, </w:t>
      </w:r>
      <w:r w:rsidRPr="00E42101">
        <w:rPr>
          <w:szCs w:val="16"/>
          <w:lang w:val="es-CR"/>
        </w:rPr>
        <w:t>No. 32181/04 y 35122/05. Sentencia de 21 de julio de 2016, párr. 154.</w:t>
      </w:r>
    </w:p>
  </w:footnote>
  <w:footnote w:id="218">
    <w:p w14:paraId="48A5A0B2" w14:textId="51957D04" w:rsidR="00604517" w:rsidRPr="00E42101" w:rsidRDefault="00604517" w:rsidP="00E47BD5">
      <w:pPr>
        <w:pStyle w:val="Textonotapie"/>
        <w:tabs>
          <w:tab w:val="left" w:pos="709"/>
        </w:tabs>
        <w:spacing w:before="0"/>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rPr>
        <w:t>Caso Suárez Rosero Vs. Ecuador. Fondo</w:t>
      </w:r>
      <w:r w:rsidRPr="00E42101">
        <w:rPr>
          <w:rStyle w:val="Textoennegrita"/>
          <w:b w:val="0"/>
          <w:color w:val="000000"/>
          <w:szCs w:val="16"/>
          <w:shd w:val="clear" w:color="auto" w:fill="FFFFFF"/>
        </w:rPr>
        <w:t>. Sentencia de 12 de noviembre de 1997. Serie C No. 35, párr. 71, y</w:t>
      </w:r>
      <w:r w:rsidRPr="00E42101">
        <w:rPr>
          <w:rStyle w:val="Textoennegrita"/>
          <w:color w:val="000000"/>
          <w:szCs w:val="16"/>
          <w:shd w:val="clear" w:color="auto" w:fill="FFFFFF"/>
        </w:rPr>
        <w:t xml:space="preserve">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268.</w:t>
      </w:r>
    </w:p>
  </w:footnote>
  <w:footnote w:id="219">
    <w:p w14:paraId="151297AC" w14:textId="7B08AE18" w:rsidR="00604517" w:rsidRPr="00E42101" w:rsidRDefault="00604517" w:rsidP="00E47BD5">
      <w:pPr>
        <w:pStyle w:val="Textonotapie"/>
        <w:tabs>
          <w:tab w:val="left" w:pos="709"/>
        </w:tabs>
        <w:spacing w:before="0"/>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Caso </w:t>
      </w:r>
      <w:proofErr w:type="spellStart"/>
      <w:r w:rsidRPr="00E42101">
        <w:rPr>
          <w:i/>
          <w:szCs w:val="16"/>
          <w:lang w:val="es-CR"/>
        </w:rPr>
        <w:t>Anzualdo</w:t>
      </w:r>
      <w:proofErr w:type="spellEnd"/>
      <w:r w:rsidRPr="00E42101">
        <w:rPr>
          <w:i/>
          <w:szCs w:val="16"/>
          <w:lang w:val="es-CR"/>
        </w:rPr>
        <w:t xml:space="preserve"> Castro Vs. Perú. Excepción Preliminar, Fondo, Reparaciones y Costas.</w:t>
      </w:r>
      <w:r w:rsidRPr="00E42101">
        <w:rPr>
          <w:szCs w:val="16"/>
          <w:lang w:val="es-CR"/>
        </w:rPr>
        <w:t xml:space="preserve"> Sentencia de 22 de septiembre de 2009. Serie C No. 202, párr. 156, y </w:t>
      </w:r>
      <w:r w:rsidRPr="00E42101">
        <w:rPr>
          <w:bCs/>
          <w:i/>
          <w:szCs w:val="16"/>
          <w:shd w:val="clear" w:color="auto" w:fill="FFFFFF"/>
          <w:lang w:val="es-CR"/>
        </w:rPr>
        <w:t xml:space="preserve">Caso </w:t>
      </w:r>
      <w:proofErr w:type="spellStart"/>
      <w:r w:rsidRPr="00E42101">
        <w:rPr>
          <w:bCs/>
          <w:i/>
          <w:szCs w:val="16"/>
          <w:shd w:val="clear" w:color="auto" w:fill="FFFFFF"/>
          <w:lang w:val="es-CR"/>
        </w:rPr>
        <w:t>Amrhein</w:t>
      </w:r>
      <w:proofErr w:type="spellEnd"/>
      <w:r w:rsidRPr="00E42101">
        <w:rPr>
          <w:bCs/>
          <w:i/>
          <w:szCs w:val="16"/>
          <w:shd w:val="clear" w:color="auto" w:fill="FFFFFF"/>
          <w:lang w:val="es-CR"/>
        </w:rPr>
        <w:t xml:space="preserve"> y otros Vs. Costa Rica. Excepciones Preliminares, Fondo, Reparaciones y Costas</w:t>
      </w:r>
      <w:r w:rsidRPr="00E42101">
        <w:rPr>
          <w:bCs/>
          <w:szCs w:val="16"/>
          <w:shd w:val="clear" w:color="auto" w:fill="FFFFFF"/>
          <w:lang w:val="es-CR"/>
        </w:rPr>
        <w:t>. Sentencia de 25 de abril de 2018. Serie C No. 354, párr. 422.</w:t>
      </w:r>
    </w:p>
  </w:footnote>
  <w:footnote w:id="220">
    <w:p w14:paraId="1B2F9ECF" w14:textId="70BE2B72" w:rsidR="00604517" w:rsidRPr="00E42101" w:rsidRDefault="00604517" w:rsidP="00E47BD5">
      <w:pPr>
        <w:spacing w:beforeLines="60" w:before="144" w:after="120"/>
        <w:rPr>
          <w:sz w:val="16"/>
          <w:szCs w:val="16"/>
          <w:lang w:val="es-CR"/>
        </w:rPr>
      </w:pPr>
      <w:r w:rsidRPr="00E42101">
        <w:rPr>
          <w:rStyle w:val="Refdenotaalpie"/>
          <w:sz w:val="16"/>
          <w:szCs w:val="16"/>
          <w:lang w:val="es-CR"/>
        </w:rPr>
        <w:footnoteRef/>
      </w:r>
      <w:r w:rsidRPr="00E42101">
        <w:rPr>
          <w:sz w:val="16"/>
          <w:szCs w:val="16"/>
          <w:lang w:val="es-CR"/>
        </w:rPr>
        <w:t xml:space="preserve">  </w:t>
      </w:r>
      <w:r w:rsidRPr="00E42101">
        <w:rPr>
          <w:sz w:val="16"/>
          <w:szCs w:val="16"/>
          <w:lang w:val="es-CR"/>
        </w:rPr>
        <w:tab/>
      </w:r>
      <w:r w:rsidRPr="00E42101">
        <w:rPr>
          <w:i/>
          <w:sz w:val="16"/>
          <w:szCs w:val="16"/>
          <w:lang w:val="es-CR"/>
        </w:rPr>
        <w:t xml:space="preserve">Cfr. Inter alia, Caso Genie Lacayo Vs. Nicaragua. Fondo, Reparaciones y Costas. </w:t>
      </w:r>
      <w:r w:rsidRPr="00E42101">
        <w:rPr>
          <w:sz w:val="16"/>
          <w:szCs w:val="16"/>
          <w:lang w:val="es-CR"/>
        </w:rPr>
        <w:t xml:space="preserve">Sentencia de 29 de enero de 1997. Serie C No. 30, párr. 78, y </w:t>
      </w:r>
      <w:r w:rsidRPr="00E42101">
        <w:rPr>
          <w:bCs/>
          <w:i/>
          <w:sz w:val="16"/>
          <w:szCs w:val="16"/>
          <w:shd w:val="clear" w:color="auto" w:fill="FFFFFF"/>
          <w:lang w:val="es-CR"/>
        </w:rPr>
        <w:t>Caso Amrhein y otros Vs. Costa Rica. Excepciones Preliminares, Fondo, Reparaciones y Costas</w:t>
      </w:r>
      <w:r w:rsidRPr="00E42101">
        <w:rPr>
          <w:bCs/>
          <w:sz w:val="16"/>
          <w:szCs w:val="16"/>
          <w:shd w:val="clear" w:color="auto" w:fill="FFFFFF"/>
          <w:lang w:val="es-CR"/>
        </w:rPr>
        <w:t>. Sentencia de 25 de abril de 2018. Serie C No. 354, párr. 424.</w:t>
      </w:r>
    </w:p>
  </w:footnote>
  <w:footnote w:id="221">
    <w:p w14:paraId="5DC591F4" w14:textId="619E9FA9" w:rsidR="00604517" w:rsidRPr="00E42101" w:rsidRDefault="00604517" w:rsidP="00E47BD5">
      <w:pPr>
        <w:pStyle w:val="Textonotapie"/>
        <w:tabs>
          <w:tab w:val="left" w:pos="709"/>
        </w:tabs>
        <w:spacing w:before="0"/>
        <w:rPr>
          <w:szCs w:val="16"/>
          <w:lang w:val="es-CR"/>
        </w:rPr>
      </w:pPr>
      <w:r w:rsidRPr="00E42101">
        <w:rPr>
          <w:rStyle w:val="Refdenotaalpie"/>
          <w:rFonts w:eastAsiaTheme="majorEastAsia"/>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lang w:val="es-CR"/>
        </w:rPr>
        <w:t>Caso Lagos del Campo Vs. Perú. Excepciones Preliminares, Fondo, Reparaciones y Costas</w:t>
      </w:r>
      <w:r w:rsidRPr="00E42101">
        <w:rPr>
          <w:rStyle w:val="Textoennegrita"/>
          <w:b w:val="0"/>
          <w:color w:val="000000"/>
          <w:szCs w:val="16"/>
          <w:shd w:val="clear" w:color="auto" w:fill="FFFFFF"/>
          <w:lang w:val="es-CR"/>
        </w:rPr>
        <w:t>. Sentencia de 31 de agosto de 2017. Serie C No. 340</w:t>
      </w:r>
      <w:r w:rsidRPr="00E42101">
        <w:rPr>
          <w:szCs w:val="16"/>
          <w:lang w:val="es-CR"/>
        </w:rPr>
        <w:t>, párr. 184.</w:t>
      </w:r>
    </w:p>
  </w:footnote>
  <w:footnote w:id="222">
    <w:p w14:paraId="3139E64A" w14:textId="6463449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Castillo Páez Vs. Perú. Fondo.</w:t>
      </w:r>
      <w:r w:rsidRPr="00E42101">
        <w:rPr>
          <w:szCs w:val="16"/>
          <w:lang w:val="es-CR"/>
        </w:rPr>
        <w:t xml:space="preserve"> Sentencia de 3 de noviembre de 1997. Serie C No. 34, punto resolutivo cuarto, y </w:t>
      </w:r>
      <w:r w:rsidRPr="00E42101">
        <w:rPr>
          <w:i/>
          <w:szCs w:val="16"/>
          <w:lang w:val="es-CR"/>
        </w:rPr>
        <w:t>Caso Herzog y otros Vs. Brasil. Excepciones Preliminares, Fondo, Reparaciones y Costas.</w:t>
      </w:r>
      <w:r w:rsidRPr="00E42101">
        <w:rPr>
          <w:szCs w:val="16"/>
          <w:lang w:val="es-CR"/>
        </w:rPr>
        <w:t xml:space="preserve"> Sentencia de 15 de marzo de 2018. Serie C No. 353, párr. 351.</w:t>
      </w:r>
    </w:p>
  </w:footnote>
  <w:footnote w:id="223">
    <w:p w14:paraId="15447788" w14:textId="32069DD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 xml:space="preserve">Cfr. Caso Blake Vs. Guatemala. Fondo. </w:t>
      </w:r>
      <w:r w:rsidRPr="00E42101">
        <w:rPr>
          <w:szCs w:val="16"/>
          <w:lang w:val="es-CR"/>
        </w:rPr>
        <w:t xml:space="preserve">Sentencia de 24 de enero de 1998. Serie C No. 36, párr. 114, y </w:t>
      </w:r>
      <w:r w:rsidRPr="00E42101">
        <w:rPr>
          <w:i/>
          <w:szCs w:val="16"/>
          <w:lang w:val="es-CR"/>
        </w:rPr>
        <w:t>Caso Herzog y otros Vs. Brasil. Excepciones Preliminares, Fondo, Reparaciones y Costas.</w:t>
      </w:r>
      <w:r w:rsidRPr="00E42101">
        <w:rPr>
          <w:szCs w:val="16"/>
          <w:lang w:val="es-CR"/>
        </w:rPr>
        <w:t xml:space="preserve"> Sentencia de 15 de marzo de 2018. Serie C No. 353, párr. 351. </w:t>
      </w:r>
    </w:p>
  </w:footnote>
  <w:footnote w:id="224">
    <w:p w14:paraId="7EAA5D4A" w14:textId="1AB48E8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Blake Vs. Guatemala. Fondo.</w:t>
      </w:r>
      <w:r w:rsidRPr="00E42101">
        <w:rPr>
          <w:szCs w:val="16"/>
          <w:lang w:val="es-CR"/>
        </w:rPr>
        <w:t xml:space="preserve"> Sentencia de 24 de enero de 1998. Serie C No. 36, párr. 114, y </w:t>
      </w:r>
      <w:r w:rsidRPr="00E42101">
        <w:rPr>
          <w:i/>
          <w:szCs w:val="16"/>
          <w:lang w:val="es-CR"/>
        </w:rPr>
        <w:t>Caso Poblete Vilches y otros Vs. Chile. Fondo, Reparaciones y Costas.</w:t>
      </w:r>
      <w:r w:rsidRPr="00E42101">
        <w:rPr>
          <w:szCs w:val="16"/>
          <w:lang w:val="es-CR"/>
        </w:rPr>
        <w:t xml:space="preserve"> Sentencia de 8 de marzo de 2018. Serie C No. 349, párr. 208.</w:t>
      </w:r>
    </w:p>
  </w:footnote>
  <w:footnote w:id="225">
    <w:p w14:paraId="68C9EB9F" w14:textId="470DCE7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Bámaca Velásquez Vs. Guatemala. Fondo.</w:t>
      </w:r>
      <w:r w:rsidRPr="00E42101">
        <w:rPr>
          <w:szCs w:val="16"/>
          <w:lang w:val="es-CR"/>
        </w:rPr>
        <w:t xml:space="preserve"> Sentencia de 25 de noviembre de 2000. Serie C No. 70, </w:t>
      </w:r>
      <w:proofErr w:type="spellStart"/>
      <w:r w:rsidRPr="00E42101">
        <w:rPr>
          <w:szCs w:val="16"/>
          <w:lang w:val="es-CR"/>
        </w:rPr>
        <w:t>párrs</w:t>
      </w:r>
      <w:proofErr w:type="spellEnd"/>
      <w:r w:rsidRPr="00E42101">
        <w:rPr>
          <w:szCs w:val="16"/>
          <w:lang w:val="es-CR"/>
        </w:rPr>
        <w:t xml:space="preserve">. 162 y 163, y </w:t>
      </w:r>
      <w:r w:rsidRPr="00E42101">
        <w:rPr>
          <w:i/>
          <w:szCs w:val="16"/>
          <w:lang w:val="es-CR"/>
        </w:rPr>
        <w:t>Caso Poblete Vilches y otros Vs. Chile. Fondo, Reparaciones y Costas.</w:t>
      </w:r>
      <w:r w:rsidRPr="00E42101">
        <w:rPr>
          <w:szCs w:val="16"/>
          <w:lang w:val="es-CR"/>
        </w:rPr>
        <w:t xml:space="preserve"> Sentencia de 8 de marzo de 2018. Serie C No. 349, párr. 208.</w:t>
      </w:r>
    </w:p>
  </w:footnote>
  <w:footnote w:id="226">
    <w:p w14:paraId="256129D3" w14:textId="7971427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w:t>
      </w:r>
      <w:r w:rsidRPr="00E42101">
        <w:rPr>
          <w:b/>
          <w:i/>
          <w:szCs w:val="16"/>
          <w:lang w:val="es-CR"/>
        </w:rPr>
        <w:t xml:space="preserve"> </w:t>
      </w:r>
      <w:r w:rsidRPr="00E42101">
        <w:rPr>
          <w:rStyle w:val="Textoennegrita"/>
          <w:b w:val="0"/>
          <w:i/>
          <w:color w:val="000000"/>
          <w:szCs w:val="16"/>
          <w:shd w:val="clear" w:color="auto" w:fill="FFFFFF"/>
        </w:rPr>
        <w:t xml:space="preserve">Corte IDH. Caso de las niñas </w:t>
      </w:r>
      <w:proofErr w:type="spellStart"/>
      <w:r w:rsidRPr="00E42101">
        <w:rPr>
          <w:rStyle w:val="Textoennegrita"/>
          <w:b w:val="0"/>
          <w:i/>
          <w:color w:val="000000"/>
          <w:szCs w:val="16"/>
          <w:shd w:val="clear" w:color="auto" w:fill="FFFFFF"/>
        </w:rPr>
        <w:t>Yean</w:t>
      </w:r>
      <w:proofErr w:type="spellEnd"/>
      <w:r w:rsidRPr="00E42101">
        <w:rPr>
          <w:rStyle w:val="Textoennegrita"/>
          <w:b w:val="0"/>
          <w:i/>
          <w:color w:val="000000"/>
          <w:szCs w:val="16"/>
          <w:shd w:val="clear" w:color="auto" w:fill="FFFFFF"/>
        </w:rPr>
        <w:t xml:space="preserve"> y </w:t>
      </w:r>
      <w:proofErr w:type="spellStart"/>
      <w:r w:rsidRPr="00E42101">
        <w:rPr>
          <w:rStyle w:val="Textoennegrita"/>
          <w:b w:val="0"/>
          <w:i/>
          <w:color w:val="000000"/>
          <w:szCs w:val="16"/>
          <w:shd w:val="clear" w:color="auto" w:fill="FFFFFF"/>
        </w:rPr>
        <w:t>Bosico</w:t>
      </w:r>
      <w:proofErr w:type="spellEnd"/>
      <w:r w:rsidRPr="00E42101">
        <w:rPr>
          <w:rStyle w:val="Textoennegrita"/>
          <w:b w:val="0"/>
          <w:i/>
          <w:color w:val="000000"/>
          <w:szCs w:val="16"/>
          <w:shd w:val="clear" w:color="auto" w:fill="FFFFFF"/>
        </w:rPr>
        <w:t xml:space="preserve"> Vs. República Dominicana</w:t>
      </w:r>
      <w:r w:rsidRPr="00E42101">
        <w:rPr>
          <w:rStyle w:val="Textoennegrita"/>
          <w:b w:val="0"/>
          <w:color w:val="000000"/>
          <w:szCs w:val="16"/>
          <w:shd w:val="clear" w:color="auto" w:fill="FFFFFF"/>
        </w:rPr>
        <w:t>. Sentencia de 8 de septiembre de 2005. Serie C No. 130</w:t>
      </w:r>
      <w:r w:rsidRPr="00E42101">
        <w:rPr>
          <w:szCs w:val="16"/>
          <w:lang w:val="es-CR"/>
        </w:rPr>
        <w:t>, párr. 205, y</w:t>
      </w:r>
      <w:r w:rsidRPr="00E42101">
        <w:rPr>
          <w:b/>
          <w:szCs w:val="16"/>
          <w:lang w:val="es-CR"/>
        </w:rPr>
        <w:t xml:space="preserve"> </w:t>
      </w:r>
      <w:r w:rsidRPr="00E42101">
        <w:rPr>
          <w:rStyle w:val="Textoennegrita"/>
          <w:b w:val="0"/>
          <w:i/>
          <w:color w:val="000000"/>
          <w:szCs w:val="16"/>
          <w:shd w:val="clear" w:color="auto" w:fill="FFFFFF"/>
        </w:rPr>
        <w:t>Caso Poblete Vilches y otros Vs. Chile. Fondo, Reparaciones y Costas</w:t>
      </w:r>
      <w:r w:rsidRPr="00E42101">
        <w:rPr>
          <w:rStyle w:val="Textoennegrita"/>
          <w:b w:val="0"/>
          <w:color w:val="000000"/>
          <w:szCs w:val="16"/>
          <w:shd w:val="clear" w:color="auto" w:fill="FFFFFF"/>
        </w:rPr>
        <w:t>. Sentencia de 8 de marzo de 2018. Serie C No. 349, párr. 205.</w:t>
      </w:r>
    </w:p>
  </w:footnote>
  <w:footnote w:id="227">
    <w:p w14:paraId="041AF9B1" w14:textId="187E26B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rFonts w:cs="Times New Roman"/>
          <w:szCs w:val="16"/>
          <w:lang w:val="es-CR"/>
        </w:rPr>
        <w:t xml:space="preserve">María de Jesús Chajón de León, </w:t>
      </w:r>
      <w:r w:rsidRPr="00E42101">
        <w:rPr>
          <w:szCs w:val="16"/>
          <w:lang w:val="es-CR"/>
        </w:rPr>
        <w:t xml:space="preserve">Carlos Fernando </w:t>
      </w:r>
      <w:proofErr w:type="spellStart"/>
      <w:r w:rsidRPr="00E42101">
        <w:rPr>
          <w:szCs w:val="16"/>
          <w:lang w:val="es-CR"/>
        </w:rPr>
        <w:t>Coc</w:t>
      </w:r>
      <w:proofErr w:type="spellEnd"/>
      <w:r w:rsidRPr="00E42101">
        <w:rPr>
          <w:szCs w:val="16"/>
          <w:lang w:val="es-CR"/>
        </w:rPr>
        <w:t xml:space="preserve"> Chajón</w:t>
      </w:r>
      <w:r w:rsidRPr="00E42101">
        <w:rPr>
          <w:rFonts w:cs="Times New Roman"/>
          <w:szCs w:val="16"/>
          <w:lang w:val="es-CR"/>
        </w:rPr>
        <w:t xml:space="preserve">, Cruz García Ramos, </w:t>
      </w:r>
      <w:r w:rsidRPr="00E42101">
        <w:rPr>
          <w:szCs w:val="16"/>
          <w:lang w:val="es-CR"/>
        </w:rPr>
        <w:t xml:space="preserve">Luis Alberto Hernández Estrada, Estuardo Edison Hernández Estrada, Osma Vinicio Hernández Estrada, Karen Herlinda Hernández Estrada, Miriam Lisbeth Hernández Estrada y </w:t>
      </w:r>
      <w:r w:rsidRPr="00E42101">
        <w:rPr>
          <w:rFonts w:cs="Times New Roman"/>
          <w:szCs w:val="16"/>
          <w:lang w:val="es-CR"/>
        </w:rPr>
        <w:t xml:space="preserve">María Magdalena Rodas Mérida, Victoria Ramírez Ramos, Sandra </w:t>
      </w:r>
      <w:r>
        <w:rPr>
          <w:rFonts w:cs="Times New Roman"/>
          <w:szCs w:val="16"/>
          <w:lang w:val="es-CR"/>
        </w:rPr>
        <w:t xml:space="preserve">Judith Pérez </w:t>
      </w:r>
      <w:proofErr w:type="spellStart"/>
      <w:r>
        <w:rPr>
          <w:rFonts w:cs="Times New Roman"/>
          <w:szCs w:val="16"/>
          <w:lang w:val="es-CR"/>
        </w:rPr>
        <w:t>Cayaxon</w:t>
      </w:r>
      <w:proofErr w:type="spellEnd"/>
      <w:r>
        <w:rPr>
          <w:rFonts w:cs="Times New Roman"/>
          <w:szCs w:val="16"/>
          <w:lang w:val="es-CR"/>
        </w:rPr>
        <w:t xml:space="preserve">, Guadalupe Pérez </w:t>
      </w:r>
      <w:proofErr w:type="spellStart"/>
      <w:r>
        <w:rPr>
          <w:rFonts w:cs="Times New Roman"/>
          <w:szCs w:val="16"/>
          <w:lang w:val="es-CR"/>
        </w:rPr>
        <w:t>Cayaxon</w:t>
      </w:r>
      <w:proofErr w:type="spellEnd"/>
      <w:r>
        <w:rPr>
          <w:rFonts w:cs="Times New Roman"/>
          <w:szCs w:val="16"/>
          <w:lang w:val="es-CR"/>
        </w:rPr>
        <w:t xml:space="preserve">, </w:t>
      </w:r>
      <w:proofErr w:type="spellStart"/>
      <w:r>
        <w:rPr>
          <w:rFonts w:cs="Times New Roman"/>
          <w:szCs w:val="16"/>
          <w:lang w:val="es-CR"/>
        </w:rPr>
        <w:t>Yensi</w:t>
      </w:r>
      <w:proofErr w:type="spellEnd"/>
      <w:r>
        <w:rPr>
          <w:rFonts w:cs="Times New Roman"/>
          <w:szCs w:val="16"/>
          <w:lang w:val="es-CR"/>
        </w:rPr>
        <w:t xml:space="preserve"> </w:t>
      </w:r>
      <w:proofErr w:type="spellStart"/>
      <w:r>
        <w:rPr>
          <w:rFonts w:cs="Times New Roman"/>
          <w:szCs w:val="16"/>
          <w:lang w:val="es-CR"/>
        </w:rPr>
        <w:t>Nohemi</w:t>
      </w:r>
      <w:proofErr w:type="spellEnd"/>
      <w:r>
        <w:rPr>
          <w:rFonts w:cs="Times New Roman"/>
          <w:szCs w:val="16"/>
          <w:lang w:val="es-CR"/>
        </w:rPr>
        <w:t xml:space="preserve"> Pérez </w:t>
      </w:r>
      <w:proofErr w:type="spellStart"/>
      <w:r>
        <w:rPr>
          <w:rFonts w:cs="Times New Roman"/>
          <w:szCs w:val="16"/>
          <w:lang w:val="es-CR"/>
        </w:rPr>
        <w:t>Cayaxo</w:t>
      </w:r>
      <w:r w:rsidRPr="00E42101">
        <w:rPr>
          <w:rFonts w:cs="Times New Roman"/>
          <w:szCs w:val="16"/>
          <w:lang w:val="es-CR"/>
        </w:rPr>
        <w:t>n</w:t>
      </w:r>
      <w:proofErr w:type="spellEnd"/>
      <w:r w:rsidRPr="00E42101">
        <w:rPr>
          <w:rFonts w:cs="Times New Roman"/>
          <w:szCs w:val="16"/>
          <w:lang w:val="es-CR"/>
        </w:rPr>
        <w:t xml:space="preserve">, </w:t>
      </w:r>
      <w:r>
        <w:rPr>
          <w:rFonts w:cs="Times New Roman"/>
          <w:szCs w:val="16"/>
          <w:lang w:val="es-CR"/>
        </w:rPr>
        <w:t>Braulio</w:t>
      </w:r>
      <w:r w:rsidRPr="00E42101">
        <w:rPr>
          <w:rFonts w:cs="Times New Roman"/>
          <w:szCs w:val="16"/>
          <w:lang w:val="es-CR"/>
        </w:rPr>
        <w:t xml:space="preserve"> Adán Rodas Mérida, Andy Alberto Rodas Mérida, </w:t>
      </w:r>
      <w:proofErr w:type="spellStart"/>
      <w:r w:rsidRPr="00E42101">
        <w:rPr>
          <w:rFonts w:cs="Times New Roman"/>
          <w:szCs w:val="16"/>
          <w:lang w:val="es-CR"/>
        </w:rPr>
        <w:t>Anibal</w:t>
      </w:r>
      <w:proofErr w:type="spellEnd"/>
      <w:r w:rsidRPr="00E42101">
        <w:rPr>
          <w:rFonts w:cs="Times New Roman"/>
          <w:szCs w:val="16"/>
          <w:lang w:val="es-CR"/>
        </w:rPr>
        <w:t xml:space="preserve"> Leonel Rodas Mérida, Clara </w:t>
      </w:r>
      <w:proofErr w:type="spellStart"/>
      <w:r w:rsidRPr="00E42101">
        <w:rPr>
          <w:rFonts w:cs="Times New Roman"/>
          <w:szCs w:val="16"/>
          <w:lang w:val="es-CR"/>
        </w:rPr>
        <w:t>Veronica</w:t>
      </w:r>
      <w:proofErr w:type="spellEnd"/>
      <w:r w:rsidRPr="00E42101">
        <w:rPr>
          <w:rFonts w:cs="Times New Roman"/>
          <w:szCs w:val="16"/>
          <w:lang w:val="es-CR"/>
        </w:rPr>
        <w:t xml:space="preserve"> Rodas Mérida, Sonia Maribel Rodas Mérida, Walter </w:t>
      </w:r>
      <w:proofErr w:type="spellStart"/>
      <w:r w:rsidRPr="00E42101">
        <w:rPr>
          <w:rFonts w:cs="Times New Roman"/>
          <w:szCs w:val="16"/>
          <w:lang w:val="es-CR"/>
        </w:rPr>
        <w:t>Audencio</w:t>
      </w:r>
      <w:proofErr w:type="spellEnd"/>
      <w:r w:rsidRPr="00E42101">
        <w:rPr>
          <w:rFonts w:cs="Times New Roman"/>
          <w:szCs w:val="16"/>
          <w:lang w:val="es-CR"/>
        </w:rPr>
        <w:t xml:space="preserve"> Rodas Mérida, Flor de María Rodas Mérida y Leonel Celestino Mazariegos Cinto.</w:t>
      </w:r>
    </w:p>
  </w:footnote>
  <w:footnote w:id="228">
    <w:p w14:paraId="33EBA517" w14:textId="16FDDF48"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 xml:space="preserve">María Elena Morales Villafuerte, Brandon David Adalberto Gómez Morales, María de Jesús Chacón de León, Carlos Fernando </w:t>
      </w:r>
      <w:proofErr w:type="spellStart"/>
      <w:r w:rsidRPr="00E42101">
        <w:rPr>
          <w:szCs w:val="16"/>
          <w:lang w:val="es-CR"/>
        </w:rPr>
        <w:t>Coc</w:t>
      </w:r>
      <w:proofErr w:type="spellEnd"/>
      <w:r w:rsidRPr="00E42101">
        <w:rPr>
          <w:szCs w:val="16"/>
          <w:lang w:val="es-CR"/>
        </w:rPr>
        <w:t xml:space="preserve"> Chajón, Antonio Vail Molina, </w:t>
      </w:r>
      <w:proofErr w:type="spellStart"/>
      <w:r w:rsidRPr="00E42101">
        <w:rPr>
          <w:szCs w:val="16"/>
          <w:lang w:val="es-CR"/>
        </w:rPr>
        <w:t>Lexana</w:t>
      </w:r>
      <w:proofErr w:type="spellEnd"/>
      <w:r w:rsidRPr="00E42101">
        <w:rPr>
          <w:szCs w:val="16"/>
          <w:lang w:val="es-CR"/>
        </w:rPr>
        <w:t xml:space="preserve"> </w:t>
      </w:r>
      <w:proofErr w:type="spellStart"/>
      <w:r w:rsidRPr="00E42101">
        <w:rPr>
          <w:szCs w:val="16"/>
          <w:lang w:val="es-CR"/>
        </w:rPr>
        <w:t>Rosbetty</w:t>
      </w:r>
      <w:proofErr w:type="spellEnd"/>
      <w:r w:rsidRPr="00E42101">
        <w:rPr>
          <w:szCs w:val="16"/>
          <w:lang w:val="es-CR"/>
        </w:rPr>
        <w:t xml:space="preserve"> Pérez Vail, Cruz García R</w:t>
      </w:r>
      <w:r>
        <w:rPr>
          <w:szCs w:val="16"/>
          <w:lang w:val="es-CR"/>
        </w:rPr>
        <w:t xml:space="preserve">amos, Sandra Judith Pérez </w:t>
      </w:r>
      <w:proofErr w:type="spellStart"/>
      <w:r>
        <w:rPr>
          <w:szCs w:val="16"/>
          <w:lang w:val="es-CR"/>
        </w:rPr>
        <w:t>Cayaxon</w:t>
      </w:r>
      <w:proofErr w:type="spellEnd"/>
      <w:r>
        <w:rPr>
          <w:szCs w:val="16"/>
          <w:lang w:val="es-CR"/>
        </w:rPr>
        <w:t xml:space="preserve">, Guadalupe Pérez </w:t>
      </w:r>
      <w:proofErr w:type="spellStart"/>
      <w:r>
        <w:rPr>
          <w:szCs w:val="16"/>
          <w:lang w:val="es-CR"/>
        </w:rPr>
        <w:t>Cayaxon</w:t>
      </w:r>
      <w:proofErr w:type="spellEnd"/>
      <w:r>
        <w:rPr>
          <w:szCs w:val="16"/>
          <w:lang w:val="es-CR"/>
        </w:rPr>
        <w:t xml:space="preserve">, </w:t>
      </w:r>
      <w:proofErr w:type="spellStart"/>
      <w:r>
        <w:rPr>
          <w:szCs w:val="16"/>
          <w:lang w:val="es-CR"/>
        </w:rPr>
        <w:t>Yensi</w:t>
      </w:r>
      <w:proofErr w:type="spellEnd"/>
      <w:r>
        <w:rPr>
          <w:szCs w:val="16"/>
          <w:lang w:val="es-CR"/>
        </w:rPr>
        <w:t xml:space="preserve"> Nohemí Pérez </w:t>
      </w:r>
      <w:proofErr w:type="spellStart"/>
      <w:r>
        <w:rPr>
          <w:szCs w:val="16"/>
          <w:lang w:val="es-CR"/>
        </w:rPr>
        <w:t>Cayaxo</w:t>
      </w:r>
      <w:r w:rsidRPr="00E42101">
        <w:rPr>
          <w:szCs w:val="16"/>
          <w:lang w:val="es-CR"/>
        </w:rPr>
        <w:t>n</w:t>
      </w:r>
      <w:proofErr w:type="spellEnd"/>
      <w:r w:rsidRPr="00E42101">
        <w:rPr>
          <w:szCs w:val="16"/>
          <w:lang w:val="es-CR"/>
        </w:rPr>
        <w:t>, Luis Alberto Hernández Estrada, Estuardo Edison Hernández Estrada, Osma Vinicio Hernández Estrada, Karen Herlinda Hernández Estrada y Miriam Lisbeth Hernández Estrada, Leonel Celestino Mazariegos Cinto, Antonio Miranda Méndez y Victoria Ramírez Ramos.</w:t>
      </w:r>
    </w:p>
  </w:footnote>
  <w:footnote w:id="229">
    <w:p w14:paraId="72291F85" w14:textId="4F5816DD" w:rsidR="00604517" w:rsidRPr="00E42101" w:rsidRDefault="00604517" w:rsidP="00E47BD5">
      <w:pPr>
        <w:spacing w:after="120"/>
        <w:rPr>
          <w:rFonts w:cs="Times New Roman"/>
          <w:sz w:val="16"/>
          <w:szCs w:val="16"/>
          <w:lang w:val="es-CR"/>
        </w:rPr>
      </w:pPr>
      <w:r w:rsidRPr="00E42101">
        <w:rPr>
          <w:rStyle w:val="Refdenotaalpie"/>
          <w:sz w:val="16"/>
          <w:szCs w:val="16"/>
          <w:lang w:val="es-CR"/>
        </w:rPr>
        <w:footnoteRef/>
      </w:r>
      <w:r w:rsidRPr="00E42101">
        <w:rPr>
          <w:sz w:val="16"/>
          <w:szCs w:val="16"/>
          <w:lang w:val="es-CR"/>
        </w:rPr>
        <w:tab/>
      </w:r>
      <w:r w:rsidRPr="00E42101">
        <w:rPr>
          <w:rFonts w:cs="Times New Roman"/>
          <w:sz w:val="16"/>
          <w:szCs w:val="16"/>
          <w:lang w:val="es-CR"/>
        </w:rPr>
        <w:t>Aníbal Leonel Rodas Mérida, Clara Verónica Rodas Mérida, Sonia Maribel Rodas Mérida, Braulio Adán Rodas Mérida, Andy Alberto Rodas Mérida, Walter Audencio Rodas Mérida, Flor de María Rodas Mérida y María Magdalena Rodas Mérida.</w:t>
      </w:r>
    </w:p>
  </w:footnote>
  <w:footnote w:id="230">
    <w:p w14:paraId="64C6903A" w14:textId="61D1C6BE" w:rsidR="00604517" w:rsidRPr="00E42101" w:rsidRDefault="00604517" w:rsidP="00E47BD5">
      <w:pPr>
        <w:spacing w:after="120"/>
        <w:rPr>
          <w:rFonts w:cs="Times New Roman"/>
          <w:sz w:val="16"/>
          <w:szCs w:val="16"/>
          <w:lang w:val="es-CR"/>
        </w:rPr>
      </w:pPr>
      <w:r w:rsidRPr="00E42101">
        <w:rPr>
          <w:rStyle w:val="Refdenotaalpie"/>
          <w:sz w:val="16"/>
          <w:szCs w:val="16"/>
          <w:lang w:val="es-CR"/>
        </w:rPr>
        <w:footnoteRef/>
      </w:r>
      <w:r w:rsidRPr="00E42101">
        <w:rPr>
          <w:sz w:val="16"/>
          <w:szCs w:val="16"/>
          <w:lang w:val="es-CR"/>
        </w:rPr>
        <w:tab/>
      </w:r>
      <w:r>
        <w:rPr>
          <w:rFonts w:cs="Times New Roman"/>
          <w:sz w:val="16"/>
          <w:szCs w:val="16"/>
          <w:lang w:val="es-CR"/>
        </w:rPr>
        <w:t>Lexana Rosbetty Pérez Vaí</w:t>
      </w:r>
      <w:r w:rsidRPr="00E42101">
        <w:rPr>
          <w:rFonts w:cs="Times New Roman"/>
          <w:sz w:val="16"/>
          <w:szCs w:val="16"/>
          <w:lang w:val="es-CR"/>
        </w:rPr>
        <w:t>l, Sandra Judith Pérez Cayaxon, Guadalupe Pérez Cayaxon, Yensi Nohem</w:t>
      </w:r>
      <w:r>
        <w:rPr>
          <w:rFonts w:cs="Times New Roman"/>
          <w:sz w:val="16"/>
          <w:szCs w:val="16"/>
          <w:lang w:val="es-CR"/>
        </w:rPr>
        <w:t>í</w:t>
      </w:r>
      <w:r w:rsidRPr="00E42101">
        <w:rPr>
          <w:rFonts w:cs="Times New Roman"/>
          <w:sz w:val="16"/>
          <w:szCs w:val="16"/>
          <w:lang w:val="es-CR"/>
        </w:rPr>
        <w:t xml:space="preserve"> Pérez Cayaxon</w:t>
      </w:r>
      <w:r w:rsidRPr="00E42101">
        <w:rPr>
          <w:sz w:val="16"/>
          <w:szCs w:val="16"/>
          <w:lang w:val="es-CR"/>
        </w:rPr>
        <w:t xml:space="preserve">, </w:t>
      </w:r>
      <w:r w:rsidRPr="00E42101">
        <w:rPr>
          <w:sz w:val="16"/>
          <w:szCs w:val="16"/>
        </w:rPr>
        <w:t>Jhony Francisco Valdéz Pérez, Boni Kennedy Valdéz Pérez, Nancy Beatríz Valdéz Pérez, Glendi Betsaida Valdéz Pérez, Mildred Odalis Valdéz Pérez, Zolia Argentina Valdéz Pérez, Nelson Gudiel Valdéz Pérez,</w:t>
      </w:r>
      <w:r w:rsidRPr="00E42101">
        <w:rPr>
          <w:rFonts w:cs="Times New Roman"/>
          <w:sz w:val="16"/>
          <w:szCs w:val="16"/>
          <w:lang w:val="es-CR"/>
        </w:rPr>
        <w:t xml:space="preserve"> Rocael Gómez Felipe, Jaime Gómez Felipe, Miguel Gómez Felipe, Carlos Gómez Felipe, Francisco Gómez Felipe, Margarita Gómez Felipe, Ana Patricia Gómez Felipe, Carlos Fernando Coc Chajón</w:t>
      </w:r>
      <w:r w:rsidRPr="00E42101">
        <w:rPr>
          <w:sz w:val="16"/>
          <w:szCs w:val="16"/>
          <w:lang w:val="es-CR"/>
        </w:rPr>
        <w:t xml:space="preserve">, Luis Alberto Hernández Estrada, </w:t>
      </w:r>
      <w:r w:rsidRPr="00E42101">
        <w:rPr>
          <w:rFonts w:cs="Times New Roman"/>
          <w:sz w:val="16"/>
          <w:szCs w:val="16"/>
          <w:lang w:val="es-CR"/>
        </w:rPr>
        <w:t>Clara Verónica Rodas Mérida, Sonia Maribel Rodas Mérida, Braulio Adán Rodas Mérida, Andy Alberto Rodas Mérida, Aníbal Leonel Rodas Mérida, Walter Audencio Rodas Mérida, Flor de María Rodas Mérida y María Magdalena Rodas Mérida.</w:t>
      </w:r>
    </w:p>
  </w:footnote>
  <w:footnote w:id="231">
    <w:p w14:paraId="769E1053" w14:textId="10D1D2E5" w:rsidR="00604517" w:rsidRPr="00E42101" w:rsidRDefault="00604517" w:rsidP="00E47BD5">
      <w:pPr>
        <w:spacing w:after="120"/>
        <w:rPr>
          <w:rFonts w:cs="Times New Roman"/>
          <w:sz w:val="16"/>
          <w:szCs w:val="16"/>
          <w:lang w:val="es-CR"/>
        </w:rPr>
      </w:pPr>
      <w:r w:rsidRPr="00E42101">
        <w:rPr>
          <w:rStyle w:val="Refdenotaalpie"/>
          <w:sz w:val="16"/>
          <w:szCs w:val="16"/>
          <w:lang w:val="es-CR"/>
        </w:rPr>
        <w:footnoteRef/>
      </w:r>
      <w:r w:rsidRPr="00E42101">
        <w:rPr>
          <w:sz w:val="16"/>
          <w:szCs w:val="16"/>
          <w:lang w:val="es-CR"/>
        </w:rPr>
        <w:tab/>
      </w:r>
      <w:r w:rsidRPr="00E42101">
        <w:rPr>
          <w:rFonts w:cs="Times New Roman"/>
          <w:sz w:val="16"/>
          <w:szCs w:val="16"/>
          <w:lang w:val="es-CR"/>
        </w:rPr>
        <w:t>María Elena Morales Villafuerte, Brandon David Adalberto Gómez Morales, Anto</w:t>
      </w:r>
      <w:r>
        <w:rPr>
          <w:rFonts w:cs="Times New Roman"/>
          <w:sz w:val="16"/>
          <w:szCs w:val="16"/>
          <w:lang w:val="es-CR"/>
        </w:rPr>
        <w:t>nio Miranda Méndez, Nancy Beatrí</w:t>
      </w:r>
      <w:r w:rsidRPr="00E42101">
        <w:rPr>
          <w:rFonts w:cs="Times New Roman"/>
          <w:sz w:val="16"/>
          <w:szCs w:val="16"/>
          <w:lang w:val="es-CR"/>
        </w:rPr>
        <w:t xml:space="preserve">z Valdéz Pérez, Glendi Betsaida Valdéz Pérez, Mildred Odalis Valdéz Pérez, Zoila Argentina Valdéz Pérez, Jhony Francisco Valdéz Pérez, Nelson Gudiel Valdéz Pérez, Boni Kennedy Valdéz Pérez, </w:t>
      </w:r>
      <w:r>
        <w:rPr>
          <w:sz w:val="16"/>
          <w:szCs w:val="16"/>
        </w:rPr>
        <w:t>Candelaria Ordóñez Alvarez, Argentina Ordoñez A</w:t>
      </w:r>
      <w:r w:rsidRPr="00E42101">
        <w:rPr>
          <w:sz w:val="16"/>
          <w:szCs w:val="16"/>
        </w:rPr>
        <w:t>lvarez, Honoria Ord</w:t>
      </w:r>
      <w:r>
        <w:rPr>
          <w:sz w:val="16"/>
          <w:szCs w:val="16"/>
        </w:rPr>
        <w:t>o</w:t>
      </w:r>
      <w:r w:rsidRPr="00E42101">
        <w:rPr>
          <w:sz w:val="16"/>
          <w:szCs w:val="16"/>
        </w:rPr>
        <w:t xml:space="preserve">ñez </w:t>
      </w:r>
      <w:r>
        <w:rPr>
          <w:sz w:val="16"/>
          <w:szCs w:val="16"/>
        </w:rPr>
        <w:t>Alvarez, Cecilia Ordo</w:t>
      </w:r>
      <w:r w:rsidRPr="00E42101">
        <w:rPr>
          <w:sz w:val="16"/>
          <w:szCs w:val="16"/>
        </w:rPr>
        <w:t>ñez Alvarez,</w:t>
      </w:r>
      <w:r>
        <w:rPr>
          <w:sz w:val="16"/>
          <w:szCs w:val="16"/>
        </w:rPr>
        <w:t xml:space="preserve"> Daria Ordoñez Alvarez, Juan Carlos Ordo</w:t>
      </w:r>
      <w:r w:rsidRPr="00E42101">
        <w:rPr>
          <w:sz w:val="16"/>
          <w:szCs w:val="16"/>
        </w:rPr>
        <w:t>ñez Alvarez, Edilma Evelina Barrios, Darlin Sureima Barrios, Kendi Liserli Barrios, Noret Adali Barrios, Sixto Mérida Mendoza, Hermina Rodríguez Coculista, Alejo Ranferi Maldonado Oxlaj, Ana Castillo López, Aracely Méndez Castillo y Carmen Mérida Coronado</w:t>
      </w:r>
      <w:r w:rsidRPr="00E42101">
        <w:rPr>
          <w:rFonts w:cs="Times New Roman"/>
          <w:sz w:val="16"/>
          <w:szCs w:val="16"/>
          <w:lang w:val="es-CR"/>
        </w:rPr>
        <w:t>.</w:t>
      </w:r>
    </w:p>
  </w:footnote>
  <w:footnote w:id="232">
    <w:p w14:paraId="28E53591" w14:textId="71A60034" w:rsidR="00604517" w:rsidRPr="00E42101" w:rsidRDefault="00604517" w:rsidP="00E47BD5">
      <w:pPr>
        <w:spacing w:after="120"/>
        <w:rPr>
          <w:rFonts w:cs="Times New Roman"/>
          <w:sz w:val="16"/>
          <w:szCs w:val="16"/>
          <w:lang w:val="es-CR"/>
        </w:rPr>
      </w:pPr>
      <w:r w:rsidRPr="00E42101">
        <w:rPr>
          <w:rStyle w:val="Refdenotaalpie"/>
          <w:sz w:val="16"/>
          <w:szCs w:val="16"/>
          <w:lang w:val="es-CR"/>
        </w:rPr>
        <w:footnoteRef/>
      </w:r>
      <w:r w:rsidRPr="00E42101">
        <w:rPr>
          <w:sz w:val="16"/>
          <w:szCs w:val="16"/>
          <w:lang w:val="es-CR"/>
        </w:rPr>
        <w:tab/>
      </w:r>
      <w:r>
        <w:rPr>
          <w:rFonts w:cs="Times New Roman"/>
          <w:sz w:val="16"/>
          <w:szCs w:val="16"/>
          <w:lang w:val="es-CR"/>
        </w:rPr>
        <w:t>Nancy Beatríz Valdéz Pérez, Glendi Betsaida Valdé</w:t>
      </w:r>
      <w:r w:rsidRPr="00E42101">
        <w:rPr>
          <w:rFonts w:cs="Times New Roman"/>
          <w:sz w:val="16"/>
          <w:szCs w:val="16"/>
          <w:lang w:val="es-CR"/>
        </w:rPr>
        <w:t>z Pérez, Mildred Odalis Vald</w:t>
      </w:r>
      <w:r>
        <w:rPr>
          <w:rFonts w:cs="Times New Roman"/>
          <w:sz w:val="16"/>
          <w:szCs w:val="16"/>
          <w:lang w:val="es-CR"/>
        </w:rPr>
        <w:t>éz Pérez, Zoila Argentina Valdéz Pérez, Jhony Francisco Valdéz Pérez, Nelson Gudiel Valdé</w:t>
      </w:r>
      <w:r w:rsidRPr="00E42101">
        <w:rPr>
          <w:rFonts w:cs="Times New Roman"/>
          <w:sz w:val="16"/>
          <w:szCs w:val="16"/>
          <w:lang w:val="es-CR"/>
        </w:rPr>
        <w:t xml:space="preserve">z Pérez y Boni Kennedy Valdez Pérez y </w:t>
      </w:r>
      <w:r>
        <w:rPr>
          <w:rFonts w:cs="Times New Roman"/>
          <w:sz w:val="16"/>
          <w:szCs w:val="16"/>
          <w:lang w:val="es-CR"/>
        </w:rPr>
        <w:t>Alejo Ranferi</w:t>
      </w:r>
      <w:r w:rsidRPr="00E42101">
        <w:rPr>
          <w:rFonts w:cs="Times New Roman"/>
          <w:sz w:val="16"/>
          <w:szCs w:val="16"/>
          <w:lang w:val="es-CR"/>
        </w:rPr>
        <w:t xml:space="preserve"> Maldonado Oxlaj. </w:t>
      </w:r>
    </w:p>
  </w:footnote>
  <w:footnote w:id="233">
    <w:p w14:paraId="7C44C76D" w14:textId="57704E9B" w:rsidR="00604517" w:rsidRPr="00E42101" w:rsidRDefault="00604517" w:rsidP="00E47BD5">
      <w:pPr>
        <w:pStyle w:val="Textonotapie"/>
        <w:spacing w:before="0"/>
        <w:rPr>
          <w:rFonts w:cstheme="minorBidi"/>
          <w:szCs w:val="16"/>
          <w:lang w:val="es-CR"/>
        </w:rPr>
      </w:pPr>
      <w:r w:rsidRPr="00E42101">
        <w:rPr>
          <w:rStyle w:val="Refdenotaalpie"/>
          <w:szCs w:val="16"/>
          <w:lang w:val="es-CR"/>
        </w:rPr>
        <w:footnoteRef/>
      </w:r>
      <w:r w:rsidRPr="00E42101">
        <w:rPr>
          <w:szCs w:val="16"/>
          <w:lang w:val="es-CR"/>
        </w:rPr>
        <w:tab/>
      </w:r>
      <w:proofErr w:type="spellStart"/>
      <w:r>
        <w:rPr>
          <w:rFonts w:cs="Times New Roman"/>
          <w:szCs w:val="16"/>
          <w:lang w:val="es-CR"/>
        </w:rPr>
        <w:t>Lexana</w:t>
      </w:r>
      <w:proofErr w:type="spellEnd"/>
      <w:r>
        <w:rPr>
          <w:rFonts w:cs="Times New Roman"/>
          <w:szCs w:val="16"/>
          <w:lang w:val="es-CR"/>
        </w:rPr>
        <w:t xml:space="preserve"> </w:t>
      </w:r>
      <w:proofErr w:type="spellStart"/>
      <w:r>
        <w:rPr>
          <w:rFonts w:cs="Times New Roman"/>
          <w:szCs w:val="16"/>
          <w:lang w:val="es-CR"/>
        </w:rPr>
        <w:t>Rosbetty</w:t>
      </w:r>
      <w:proofErr w:type="spellEnd"/>
      <w:r>
        <w:rPr>
          <w:rFonts w:cs="Times New Roman"/>
          <w:szCs w:val="16"/>
          <w:lang w:val="es-CR"/>
        </w:rPr>
        <w:t xml:space="preserve"> Pérez </w:t>
      </w:r>
      <w:proofErr w:type="spellStart"/>
      <w:r>
        <w:rPr>
          <w:rFonts w:cs="Times New Roman"/>
          <w:szCs w:val="16"/>
          <w:lang w:val="es-CR"/>
        </w:rPr>
        <w:t>Vaí</w:t>
      </w:r>
      <w:r w:rsidRPr="00E42101">
        <w:rPr>
          <w:rFonts w:cs="Times New Roman"/>
          <w:szCs w:val="16"/>
          <w:lang w:val="es-CR"/>
        </w:rPr>
        <w:t>l</w:t>
      </w:r>
      <w:proofErr w:type="spellEnd"/>
      <w:r w:rsidRPr="00E42101">
        <w:rPr>
          <w:rFonts w:cs="Times New Roman"/>
          <w:szCs w:val="16"/>
          <w:lang w:val="es-CR"/>
        </w:rPr>
        <w:t xml:space="preserve">, L.A.L., Rocael Gómez Felipe, Jaime Gómez Felipe, Miguel Gómez Felipe, Carlos Gómez Felipe, Francisco Gómez Felipe, Margarita Gómez Felipe, Ana Patricia Gómez Felipe, Karla de Jesús Coronado Mérida, Benita del Rosario Soto Mérida, Erick Alexander Maldonado Mérida, </w:t>
      </w:r>
      <w:r w:rsidRPr="00E42101">
        <w:rPr>
          <w:szCs w:val="16"/>
          <w:lang w:val="es-CR"/>
        </w:rPr>
        <w:t xml:space="preserve">Luis Alberto Hernández Estrada, Estuardo Edison Hernández Estrada, Osma Vinicio Hernández Estrada, Karen Herlinda Hernández Estrada, Miriam Lisbeth Hernández Estrada, </w:t>
      </w:r>
      <w:r w:rsidRPr="00E42101">
        <w:rPr>
          <w:szCs w:val="16"/>
        </w:rPr>
        <w:t xml:space="preserve">Nidya Roxana </w:t>
      </w:r>
      <w:proofErr w:type="spellStart"/>
      <w:r w:rsidRPr="00E42101">
        <w:rPr>
          <w:szCs w:val="16"/>
        </w:rPr>
        <w:t>Zapet</w:t>
      </w:r>
      <w:proofErr w:type="spellEnd"/>
      <w:r w:rsidRPr="00E42101">
        <w:rPr>
          <w:szCs w:val="16"/>
        </w:rPr>
        <w:t xml:space="preserve"> Gómez y </w:t>
      </w:r>
      <w:proofErr w:type="spellStart"/>
      <w:r w:rsidRPr="00E42101">
        <w:rPr>
          <w:szCs w:val="16"/>
        </w:rPr>
        <w:t>Mardo</w:t>
      </w:r>
      <w:proofErr w:type="spellEnd"/>
      <w:r w:rsidRPr="00E42101">
        <w:rPr>
          <w:szCs w:val="16"/>
        </w:rPr>
        <w:t xml:space="preserve"> Kleiber Hernández </w:t>
      </w:r>
      <w:proofErr w:type="spellStart"/>
      <w:r w:rsidRPr="00E42101">
        <w:rPr>
          <w:szCs w:val="16"/>
        </w:rPr>
        <w:t>Zapet</w:t>
      </w:r>
      <w:proofErr w:type="spellEnd"/>
      <w:r w:rsidRPr="00E42101">
        <w:rPr>
          <w:szCs w:val="16"/>
          <w:lang w:val="es-CR"/>
        </w:rPr>
        <w:t>.</w:t>
      </w:r>
    </w:p>
  </w:footnote>
  <w:footnote w:id="234">
    <w:p w14:paraId="3876F673" w14:textId="7777777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rFonts w:cs="Times New Roman"/>
          <w:szCs w:val="16"/>
          <w:lang w:val="es-CR"/>
        </w:rPr>
        <w:t>María Elena Morales Villafuerte, Brandon David Adalberto Gómez Morales y Cruz García Ramos.</w:t>
      </w:r>
    </w:p>
  </w:footnote>
  <w:footnote w:id="235">
    <w:p w14:paraId="5F0843E8" w14:textId="0A847D7C" w:rsidR="00604517" w:rsidRPr="00461BB6" w:rsidRDefault="00604517" w:rsidP="00E47BD5">
      <w:pPr>
        <w:pStyle w:val="Textonotapie"/>
        <w:rPr>
          <w:szCs w:val="16"/>
          <w:lang w:val="en-US"/>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 xml:space="preserve">Cfr. </w:t>
      </w:r>
      <w:r w:rsidRPr="00E42101">
        <w:rPr>
          <w:rStyle w:val="Textoennegrita"/>
          <w:b w:val="0"/>
          <w:i/>
          <w:color w:val="000000"/>
          <w:szCs w:val="16"/>
          <w:shd w:val="clear" w:color="auto" w:fill="FFFFFF"/>
        </w:rPr>
        <w:t>Caso Servellón García y otros Vs. Honduras.</w:t>
      </w:r>
      <w:r w:rsidRPr="00E42101">
        <w:rPr>
          <w:rStyle w:val="Textoennegrita"/>
          <w:b w:val="0"/>
          <w:color w:val="000000"/>
          <w:szCs w:val="16"/>
          <w:shd w:val="clear" w:color="auto" w:fill="FFFFFF"/>
        </w:rPr>
        <w:t xml:space="preserve"> Sentencia de 21 de septiembre de 2006. </w:t>
      </w:r>
      <w:r w:rsidRPr="00461BB6">
        <w:rPr>
          <w:rStyle w:val="Textoennegrita"/>
          <w:b w:val="0"/>
          <w:color w:val="000000"/>
          <w:szCs w:val="16"/>
          <w:shd w:val="clear" w:color="auto" w:fill="FFFFFF"/>
          <w:lang w:val="en-US"/>
        </w:rPr>
        <w:t xml:space="preserve">Serie C No. 152., </w:t>
      </w:r>
      <w:proofErr w:type="spellStart"/>
      <w:r w:rsidRPr="00461BB6">
        <w:rPr>
          <w:rStyle w:val="Textoennegrita"/>
          <w:b w:val="0"/>
          <w:color w:val="000000"/>
          <w:szCs w:val="16"/>
          <w:shd w:val="clear" w:color="auto" w:fill="FFFFFF"/>
          <w:lang w:val="en-US"/>
        </w:rPr>
        <w:t>párr</w:t>
      </w:r>
      <w:r>
        <w:rPr>
          <w:rStyle w:val="Textoennegrita"/>
          <w:b w:val="0"/>
          <w:color w:val="000000"/>
          <w:szCs w:val="16"/>
          <w:shd w:val="clear" w:color="auto" w:fill="FFFFFF"/>
          <w:lang w:val="en-US"/>
        </w:rPr>
        <w:t>s</w:t>
      </w:r>
      <w:proofErr w:type="spellEnd"/>
      <w:r w:rsidRPr="00461BB6">
        <w:rPr>
          <w:rStyle w:val="Textoennegrita"/>
          <w:b w:val="0"/>
          <w:color w:val="000000"/>
          <w:szCs w:val="16"/>
          <w:shd w:val="clear" w:color="auto" w:fill="FFFFFF"/>
          <w:lang w:val="en-US"/>
        </w:rPr>
        <w:t>. 137 y 138.</w:t>
      </w:r>
    </w:p>
  </w:footnote>
  <w:footnote w:id="236">
    <w:p w14:paraId="2F9DE087" w14:textId="6124DE1F" w:rsidR="00604517" w:rsidRPr="002E43DD" w:rsidRDefault="00604517" w:rsidP="00E47BD5">
      <w:pPr>
        <w:pStyle w:val="Textonotapie"/>
        <w:rPr>
          <w:szCs w:val="16"/>
          <w:lang w:val="es-CR"/>
        </w:rPr>
      </w:pPr>
      <w:r w:rsidRPr="007C6F6F">
        <w:rPr>
          <w:rStyle w:val="Refdenotaalpie"/>
          <w:szCs w:val="16"/>
          <w:lang w:val="es-CR"/>
        </w:rPr>
        <w:footnoteRef/>
      </w:r>
      <w:r w:rsidRPr="007C6F6F">
        <w:rPr>
          <w:szCs w:val="16"/>
          <w:lang w:val="en-US"/>
        </w:rPr>
        <w:t xml:space="preserve"> </w:t>
      </w:r>
      <w:r w:rsidRPr="007C6F6F">
        <w:rPr>
          <w:szCs w:val="16"/>
          <w:lang w:val="en-US"/>
        </w:rPr>
        <w:tab/>
        <w:t>W</w:t>
      </w:r>
      <w:r>
        <w:rPr>
          <w:szCs w:val="16"/>
          <w:lang w:val="en-US"/>
        </w:rPr>
        <w:t xml:space="preserve">orld </w:t>
      </w:r>
      <w:r w:rsidRPr="007C6F6F">
        <w:rPr>
          <w:szCs w:val="16"/>
          <w:lang w:val="en-US"/>
        </w:rPr>
        <w:t>H</w:t>
      </w:r>
      <w:r>
        <w:rPr>
          <w:szCs w:val="16"/>
          <w:lang w:val="en-US"/>
        </w:rPr>
        <w:t xml:space="preserve">ealth </w:t>
      </w:r>
      <w:r w:rsidRPr="007C6F6F">
        <w:rPr>
          <w:szCs w:val="16"/>
          <w:lang w:val="en-US"/>
        </w:rPr>
        <w:t>O</w:t>
      </w:r>
      <w:r>
        <w:rPr>
          <w:szCs w:val="16"/>
          <w:lang w:val="en-US"/>
        </w:rPr>
        <w:t>rganization</w:t>
      </w:r>
      <w:r w:rsidRPr="007C6F6F">
        <w:rPr>
          <w:szCs w:val="16"/>
          <w:lang w:val="en-US"/>
        </w:rPr>
        <w:t>, What is</w:t>
      </w:r>
      <w:r>
        <w:rPr>
          <w:szCs w:val="16"/>
          <w:lang w:val="en-US"/>
        </w:rPr>
        <w:t xml:space="preserve"> the impact of HIV on </w:t>
      </w:r>
      <w:proofErr w:type="gramStart"/>
      <w:r>
        <w:rPr>
          <w:szCs w:val="16"/>
          <w:lang w:val="en-US"/>
        </w:rPr>
        <w:t>families?,</w:t>
      </w:r>
      <w:proofErr w:type="gramEnd"/>
      <w:r>
        <w:rPr>
          <w:szCs w:val="16"/>
          <w:lang w:val="en-US"/>
        </w:rPr>
        <w:t xml:space="preserve"> 2005, </w:t>
      </w:r>
      <w:proofErr w:type="spellStart"/>
      <w:r>
        <w:rPr>
          <w:szCs w:val="16"/>
          <w:lang w:val="en-US"/>
        </w:rPr>
        <w:t>pág</w:t>
      </w:r>
      <w:proofErr w:type="spellEnd"/>
      <w:r>
        <w:rPr>
          <w:szCs w:val="16"/>
          <w:lang w:val="en-US"/>
        </w:rPr>
        <w:t>.</w:t>
      </w:r>
      <w:r w:rsidRPr="007C6F6F">
        <w:rPr>
          <w:szCs w:val="16"/>
          <w:lang w:val="en-US"/>
        </w:rPr>
        <w:t xml:space="preserve"> 13.</w:t>
      </w:r>
      <w:r>
        <w:rPr>
          <w:szCs w:val="16"/>
          <w:lang w:val="en-US"/>
        </w:rPr>
        <w:t xml:space="preserve"> </w:t>
      </w:r>
      <w:r w:rsidRPr="002E43DD">
        <w:rPr>
          <w:szCs w:val="16"/>
          <w:lang w:val="es-CR"/>
        </w:rPr>
        <w:t xml:space="preserve">Disponible en: </w:t>
      </w:r>
      <w:hyperlink r:id="rId4" w:history="1">
        <w:r w:rsidRPr="00551CFF">
          <w:rPr>
            <w:rStyle w:val="Hipervnculo"/>
            <w:color w:val="auto"/>
            <w:szCs w:val="16"/>
            <w:u w:val="none"/>
            <w:lang w:val="es-CR"/>
          </w:rPr>
          <w:t>http://www.euro.who.int/__data/assets/pdf_file/0009/74664/E87762.pdf</w:t>
        </w:r>
      </w:hyperlink>
      <w:r>
        <w:rPr>
          <w:szCs w:val="16"/>
          <w:lang w:val="es-CR"/>
        </w:rPr>
        <w:t xml:space="preserve"> </w:t>
      </w:r>
    </w:p>
  </w:footnote>
  <w:footnote w:id="237">
    <w:p w14:paraId="63607817" w14:textId="13A7DD38" w:rsidR="00604517" w:rsidRPr="00E42101" w:rsidRDefault="00604517" w:rsidP="00E47BD5">
      <w:pPr>
        <w:pStyle w:val="2Footnotes"/>
        <w:spacing w:before="0"/>
        <w:rPr>
          <w:szCs w:val="16"/>
          <w:lang w:val="es-CR"/>
        </w:rPr>
      </w:pPr>
      <w:r w:rsidRPr="00E42101">
        <w:rPr>
          <w:rStyle w:val="Refdenotaalpie"/>
          <w:rFonts w:eastAsia="Batang"/>
          <w:szCs w:val="16"/>
          <w:lang w:val="es-CR"/>
        </w:rPr>
        <w:footnoteRef/>
      </w:r>
      <w:r w:rsidRPr="00E42101">
        <w:rPr>
          <w:szCs w:val="16"/>
          <w:lang w:val="es-CR"/>
        </w:rPr>
        <w:tab/>
        <w:t>El artículo 63.1 de la Convención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38">
    <w:p w14:paraId="44D1DBA6" w14:textId="13FF7709" w:rsidR="00604517" w:rsidRPr="00E42101" w:rsidRDefault="00604517" w:rsidP="00E47BD5">
      <w:pPr>
        <w:pStyle w:val="2Footnotes"/>
        <w:spacing w:before="0"/>
        <w:rPr>
          <w:szCs w:val="16"/>
          <w:lang w:val="es-CR"/>
        </w:rPr>
      </w:pPr>
      <w:r w:rsidRPr="00E42101">
        <w:rPr>
          <w:rStyle w:val="Refdenotaalpie"/>
          <w:rFonts w:eastAsia="Batang"/>
          <w:szCs w:val="16"/>
          <w:lang w:val="es-CR"/>
        </w:rPr>
        <w:footnoteRef/>
      </w:r>
      <w:r w:rsidRPr="00E42101">
        <w:rPr>
          <w:szCs w:val="16"/>
          <w:lang w:val="es-CR"/>
        </w:rPr>
        <w:tab/>
      </w:r>
      <w:r w:rsidRPr="00E42101">
        <w:rPr>
          <w:i/>
          <w:szCs w:val="16"/>
          <w:lang w:val="es-CR" w:bidi="en-US"/>
        </w:rPr>
        <w:t xml:space="preserve">Cfr. </w:t>
      </w:r>
      <w:r w:rsidRPr="00E42101">
        <w:rPr>
          <w:rFonts w:cs="Verdana"/>
          <w:i/>
          <w:szCs w:val="16"/>
          <w:lang w:val="es-CR" w:bidi="en-US"/>
        </w:rPr>
        <w:t>Caso Velásquez Rodríguez Vs. Honduras.</w:t>
      </w:r>
      <w:r w:rsidRPr="00E42101">
        <w:rPr>
          <w:rFonts w:cs="Verdana"/>
          <w:szCs w:val="16"/>
          <w:lang w:val="es-CR" w:bidi="en-US"/>
        </w:rPr>
        <w:t xml:space="preserve"> </w:t>
      </w:r>
      <w:r w:rsidRPr="00E42101">
        <w:rPr>
          <w:rFonts w:cs="Verdana"/>
          <w:i/>
          <w:szCs w:val="16"/>
          <w:lang w:val="es-CR" w:bidi="en-US"/>
        </w:rPr>
        <w:t>Reparaciones y Costas</w:t>
      </w:r>
      <w:r w:rsidRPr="00E42101">
        <w:rPr>
          <w:rFonts w:cs="Verdana"/>
          <w:szCs w:val="16"/>
          <w:lang w:val="es-CR" w:bidi="en-US"/>
        </w:rPr>
        <w:t>. Sentencia de 21 de julio de 1989. Serie C No. 7</w:t>
      </w:r>
      <w:r w:rsidRPr="00E42101">
        <w:rPr>
          <w:rFonts w:cs="Verdana"/>
          <w:i/>
          <w:szCs w:val="16"/>
          <w:lang w:val="es-CR" w:bidi="en-US"/>
        </w:rPr>
        <w:t xml:space="preserve">, </w:t>
      </w:r>
      <w:r w:rsidRPr="00E42101">
        <w:rPr>
          <w:rFonts w:cs="Verdana"/>
          <w:szCs w:val="16"/>
          <w:lang w:val="es-CR" w:bidi="en-US"/>
        </w:rPr>
        <w:t xml:space="preserve">párr. 25,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466.</w:t>
      </w:r>
    </w:p>
  </w:footnote>
  <w:footnote w:id="239">
    <w:p w14:paraId="2763CCE0" w14:textId="28585387"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bidi="en-US"/>
        </w:rPr>
        <w:t xml:space="preserve">Cfr. </w:t>
      </w:r>
      <w:r w:rsidRPr="00E42101">
        <w:rPr>
          <w:rFonts w:cs="Verdana"/>
          <w:i/>
          <w:szCs w:val="16"/>
          <w:lang w:val="es-CR" w:bidi="en-US"/>
        </w:rPr>
        <w:t>Caso Velásquez Rodríguez Vs. Honduras.</w:t>
      </w:r>
      <w:r w:rsidRPr="00E42101">
        <w:rPr>
          <w:rFonts w:cs="Verdana"/>
          <w:szCs w:val="16"/>
          <w:lang w:val="es-CR" w:bidi="en-US"/>
        </w:rPr>
        <w:t xml:space="preserve"> </w:t>
      </w:r>
      <w:r w:rsidRPr="00E42101">
        <w:rPr>
          <w:rFonts w:cs="Verdana"/>
          <w:i/>
          <w:szCs w:val="16"/>
          <w:lang w:val="es-CR" w:bidi="en-US"/>
        </w:rPr>
        <w:t>Reparaciones y Costas</w:t>
      </w:r>
      <w:r w:rsidRPr="00E42101">
        <w:rPr>
          <w:rFonts w:cs="Verdana"/>
          <w:szCs w:val="16"/>
          <w:lang w:val="es-CR" w:bidi="en-US"/>
        </w:rPr>
        <w:t>. Sentencia de 21 de julio de 1989. Serie C No. 7, párr. 24</w:t>
      </w:r>
      <w:r w:rsidRPr="00E42101">
        <w:rPr>
          <w:rFonts w:cs="Verdana"/>
          <w:i/>
          <w:szCs w:val="16"/>
          <w:lang w:val="es-CR" w:bidi="en-US"/>
        </w:rPr>
        <w:t xml:space="preserve">, </w:t>
      </w:r>
      <w:r w:rsidRPr="00E42101">
        <w:rPr>
          <w:rFonts w:cs="Verdana"/>
          <w:szCs w:val="16"/>
          <w:lang w:val="es-CR" w:bidi="en-US"/>
        </w:rPr>
        <w:t xml:space="preserve">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xml:space="preserve">. Sentencia de 25 de abril de 2018. Serie C No. 354, párr. 466. </w:t>
      </w:r>
    </w:p>
  </w:footnote>
  <w:footnote w:id="240">
    <w:p w14:paraId="3AB76DAA" w14:textId="0AAE98FB"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Velásquez Rodríguez Vs. Honduras. Reparaciones y Costas</w:t>
      </w:r>
      <w:r w:rsidRPr="00E42101">
        <w:rPr>
          <w:szCs w:val="16"/>
          <w:lang w:val="es-CR"/>
        </w:rPr>
        <w:t xml:space="preserve">. </w:t>
      </w:r>
      <w:r w:rsidRPr="00E42101">
        <w:rPr>
          <w:rFonts w:cs="Verdana"/>
          <w:szCs w:val="16"/>
          <w:lang w:val="es-CR" w:bidi="en-US"/>
        </w:rPr>
        <w:t xml:space="preserve">Sentencia de 21 de julio de 1989. Serie C No. 7, </w:t>
      </w:r>
      <w:r w:rsidRPr="00E42101">
        <w:rPr>
          <w:szCs w:val="16"/>
          <w:lang w:val="es-CR"/>
        </w:rPr>
        <w:t xml:space="preserve">párr. 26,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467.</w:t>
      </w:r>
    </w:p>
  </w:footnote>
  <w:footnote w:id="241">
    <w:p w14:paraId="29F6E6C1" w14:textId="5112AE80" w:rsidR="00604517" w:rsidRPr="00E42101" w:rsidRDefault="00604517" w:rsidP="00E47BD5">
      <w:pPr>
        <w:pStyle w:val="Textonotapie"/>
        <w:spacing w:before="0"/>
        <w:rPr>
          <w:b/>
          <w:szCs w:val="16"/>
          <w:lang w:val="es-CR"/>
        </w:rPr>
      </w:pPr>
      <w:r w:rsidRPr="00E42101">
        <w:rPr>
          <w:rStyle w:val="Refdenotaalpie"/>
          <w:szCs w:val="16"/>
          <w:lang w:val="es-CR"/>
        </w:rPr>
        <w:footnoteRef/>
      </w:r>
      <w:r w:rsidRPr="00E42101">
        <w:rPr>
          <w:szCs w:val="16"/>
          <w:lang w:val="es-CR"/>
        </w:rPr>
        <w:tab/>
      </w:r>
      <w:r w:rsidRPr="00E42101">
        <w:rPr>
          <w:i/>
          <w:iCs/>
          <w:szCs w:val="16"/>
          <w:lang w:val="es-CR"/>
        </w:rPr>
        <w:t xml:space="preserve">Cfr. Caso de la Masacre de Las Dos Erres Vs. Guatemala. Excepción Preliminar, Fondo, Reparaciones y Costas. </w:t>
      </w:r>
      <w:r w:rsidRPr="00E42101">
        <w:rPr>
          <w:iCs/>
          <w:szCs w:val="16"/>
          <w:lang w:val="es-CR"/>
        </w:rPr>
        <w:t>Sentencia de 24 de noviembre de 2009. Serie C No. 211,</w:t>
      </w:r>
      <w:r w:rsidRPr="00E42101">
        <w:rPr>
          <w:rFonts w:cs="Arial"/>
          <w:iCs/>
          <w:szCs w:val="16"/>
          <w:lang w:val="es-CR"/>
        </w:rPr>
        <w:t xml:space="preserve"> </w:t>
      </w:r>
      <w:r w:rsidRPr="00E42101">
        <w:rPr>
          <w:iCs/>
          <w:szCs w:val="16"/>
          <w:lang w:val="es-CR"/>
        </w:rPr>
        <w:t xml:space="preserve">párr. 226, </w:t>
      </w:r>
      <w:r w:rsidRPr="00E42101">
        <w:rPr>
          <w:rFonts w:cs="Calibri"/>
          <w:szCs w:val="16"/>
          <w:lang w:val="es-CR"/>
        </w:rPr>
        <w:t xml:space="preserve">y </w:t>
      </w:r>
      <w:r w:rsidRPr="00E42101">
        <w:rPr>
          <w:rStyle w:val="Textoennegrita"/>
          <w:b w:val="0"/>
          <w:i/>
          <w:color w:val="000000"/>
          <w:szCs w:val="16"/>
          <w:shd w:val="clear" w:color="auto" w:fill="FFFFFF"/>
        </w:rPr>
        <w:t>Caso Ramírez Escobar y otros Vs. Guatemala. Fondo, Reparaciones y Costas</w:t>
      </w:r>
      <w:r w:rsidRPr="00E42101">
        <w:rPr>
          <w:rStyle w:val="Textoennegrita"/>
          <w:b w:val="0"/>
          <w:color w:val="000000"/>
          <w:szCs w:val="16"/>
          <w:shd w:val="clear" w:color="auto" w:fill="FFFFFF"/>
        </w:rPr>
        <w:t>. Sentencia de 9 de marzo de 2018. Serie C No. 351, párr. 266.</w:t>
      </w:r>
    </w:p>
  </w:footnote>
  <w:footnote w:id="242">
    <w:p w14:paraId="7FFF4556" w14:textId="6D991580" w:rsidR="00604517" w:rsidRPr="00E42101" w:rsidRDefault="00604517" w:rsidP="00E47BD5">
      <w:pPr>
        <w:pStyle w:val="2Footnotes"/>
        <w:spacing w:before="0"/>
        <w:rPr>
          <w:szCs w:val="16"/>
          <w:lang w:val="es-CR"/>
        </w:rPr>
      </w:pPr>
      <w:r w:rsidRPr="00E42101">
        <w:rPr>
          <w:rStyle w:val="Refdenotaalpie"/>
          <w:rFonts w:eastAsia="Batang"/>
          <w:szCs w:val="16"/>
          <w:lang w:val="es-CR"/>
        </w:rPr>
        <w:footnoteRef/>
      </w:r>
      <w:r w:rsidRPr="00E42101">
        <w:rPr>
          <w:szCs w:val="16"/>
          <w:lang w:val="es-CR"/>
        </w:rPr>
        <w:tab/>
      </w:r>
      <w:r w:rsidRPr="00E42101">
        <w:rPr>
          <w:i/>
          <w:szCs w:val="16"/>
          <w:lang w:val="es-CR"/>
        </w:rPr>
        <w:t>Cfr. Caso Ticona Estrada y otros Vs. Bolivia</w:t>
      </w:r>
      <w:r w:rsidRPr="00E42101">
        <w:rPr>
          <w:szCs w:val="16"/>
          <w:lang w:val="es-CR"/>
        </w:rPr>
        <w:t xml:space="preserve">. </w:t>
      </w:r>
      <w:r w:rsidRPr="00E42101">
        <w:rPr>
          <w:i/>
          <w:szCs w:val="16"/>
          <w:lang w:val="es-CR"/>
        </w:rPr>
        <w:t xml:space="preserve">Fondo, Reparaciones y Costas. </w:t>
      </w:r>
      <w:r w:rsidRPr="00E42101">
        <w:rPr>
          <w:szCs w:val="16"/>
          <w:lang w:val="es-CR"/>
        </w:rPr>
        <w:t xml:space="preserve">Sentencia de 27 de noviembre de 2008. Serie C No. 191, párr. 110, </w:t>
      </w:r>
      <w:r w:rsidRPr="00E42101">
        <w:rPr>
          <w:rFonts w:cs="Verdana"/>
          <w:szCs w:val="16"/>
          <w:lang w:val="es-CR" w:bidi="en-US"/>
        </w:rPr>
        <w:t>y</w:t>
      </w:r>
      <w:r w:rsidRPr="00E42101">
        <w:rPr>
          <w:rFonts w:cs="Verdana"/>
          <w:i/>
          <w:szCs w:val="16"/>
          <w:lang w:val="es-CR" w:bidi="en-US"/>
        </w:rPr>
        <w:t xml:space="preserve">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468.</w:t>
      </w:r>
    </w:p>
  </w:footnote>
  <w:footnote w:id="243">
    <w:p w14:paraId="7F140287" w14:textId="4F991AB6"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r>
      <w:r w:rsidRPr="00E42101">
        <w:rPr>
          <w:i/>
          <w:iCs/>
          <w:szCs w:val="16"/>
          <w:lang w:val="es-CR"/>
        </w:rPr>
        <w:t xml:space="preserve">Cfr. </w:t>
      </w:r>
      <w:r w:rsidRPr="00E42101">
        <w:rPr>
          <w:i/>
          <w:szCs w:val="16"/>
          <w:lang w:val="es-CR"/>
        </w:rPr>
        <w:t xml:space="preserve">Caso Andrade Salmón Vs. Bolivia. Fondo, Reparaciones y Costas. </w:t>
      </w:r>
      <w:r w:rsidRPr="00E42101">
        <w:rPr>
          <w:szCs w:val="16"/>
          <w:lang w:val="es-CR"/>
        </w:rPr>
        <w:t xml:space="preserve">Sentencia de 1 de diciembre de 2016. Serie C No. 330, párr. 189,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469.</w:t>
      </w:r>
    </w:p>
  </w:footnote>
  <w:footnote w:id="244">
    <w:p w14:paraId="3DB1F2D9" w14:textId="534E694E" w:rsidR="00604517" w:rsidRPr="00E42101" w:rsidRDefault="00604517" w:rsidP="00E47BD5">
      <w:pPr>
        <w:pStyle w:val="Textonotapie"/>
        <w:tabs>
          <w:tab w:val="left" w:pos="426"/>
        </w:tabs>
        <w:spacing w:before="0"/>
        <w:rPr>
          <w:szCs w:val="16"/>
          <w:lang w:val="es-CR"/>
        </w:rPr>
      </w:pPr>
      <w:r w:rsidRPr="00E42101">
        <w:rPr>
          <w:rStyle w:val="Refdenotaalpie"/>
          <w:rFonts w:eastAsia="Calibri"/>
          <w:szCs w:val="16"/>
          <w:lang w:val="es-CR"/>
        </w:rPr>
        <w:footnoteRef/>
      </w:r>
      <w:r w:rsidRPr="00E42101">
        <w:rPr>
          <w:szCs w:val="16"/>
          <w:lang w:val="es-CR"/>
        </w:rPr>
        <w:t xml:space="preserve"> </w:t>
      </w:r>
      <w:r w:rsidRPr="00E42101">
        <w:rPr>
          <w:szCs w:val="16"/>
          <w:lang w:val="es-CR"/>
        </w:rPr>
        <w:tab/>
      </w:r>
      <w:r w:rsidRPr="00E42101">
        <w:rPr>
          <w:szCs w:val="16"/>
          <w:lang w:val="es-CR"/>
        </w:rPr>
        <w:tab/>
      </w:r>
      <w:r w:rsidRPr="00E42101">
        <w:rPr>
          <w:i/>
          <w:iCs/>
          <w:szCs w:val="16"/>
          <w:lang w:val="es-CR"/>
        </w:rPr>
        <w:t>Cfr. Caso Neira Alegría y otros Vs. Perú. Reparaciones y Costas</w:t>
      </w:r>
      <w:r w:rsidRPr="00E42101">
        <w:rPr>
          <w:szCs w:val="16"/>
          <w:lang w:val="es-CR"/>
        </w:rPr>
        <w:t xml:space="preserve">. Sentencia de 19 de septiembre de 1996. Serie C No. 29, párr. 56,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474.</w:t>
      </w:r>
    </w:p>
  </w:footnote>
  <w:footnote w:id="245">
    <w:p w14:paraId="6EBE47C5" w14:textId="2365E09C"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r>
      <w:r w:rsidRPr="00E42101">
        <w:rPr>
          <w:i/>
          <w:szCs w:val="16"/>
          <w:lang w:val="es-CR"/>
        </w:rPr>
        <w:t>Cfr.</w:t>
      </w:r>
      <w:r w:rsidRPr="00E42101">
        <w:rPr>
          <w:b/>
          <w:i/>
          <w:szCs w:val="16"/>
          <w:lang w:val="es-CR"/>
        </w:rPr>
        <w:t xml:space="preserve"> </w:t>
      </w:r>
      <w:r w:rsidRPr="00E42101">
        <w:rPr>
          <w:rStyle w:val="Textoennegrita"/>
          <w:b w:val="0"/>
          <w:i/>
          <w:color w:val="000000"/>
          <w:szCs w:val="16"/>
          <w:shd w:val="clear" w:color="auto" w:fill="FFFFFF"/>
        </w:rPr>
        <w:t xml:space="preserve">Caso Gonzales </w:t>
      </w:r>
      <w:proofErr w:type="spellStart"/>
      <w:r w:rsidRPr="00E42101">
        <w:rPr>
          <w:rStyle w:val="Textoennegrita"/>
          <w:b w:val="0"/>
          <w:i/>
          <w:color w:val="000000"/>
          <w:szCs w:val="16"/>
          <w:shd w:val="clear" w:color="auto" w:fill="FFFFFF"/>
        </w:rPr>
        <w:t>Lluy</w:t>
      </w:r>
      <w:proofErr w:type="spellEnd"/>
      <w:r w:rsidRPr="00E42101">
        <w:rPr>
          <w:rStyle w:val="Textoennegrita"/>
          <w:b w:val="0"/>
          <w:i/>
          <w:color w:val="000000"/>
          <w:szCs w:val="16"/>
          <w:shd w:val="clear" w:color="auto" w:fill="FFFFFF"/>
        </w:rPr>
        <w:t xml:space="preserve"> y otros Vs. Ecuador. Excepciones Preliminares, Fondo, Reparaciones y Costas. </w:t>
      </w:r>
      <w:r w:rsidRPr="00E42101">
        <w:rPr>
          <w:rStyle w:val="Textoennegrita"/>
          <w:b w:val="0"/>
          <w:color w:val="000000"/>
          <w:szCs w:val="16"/>
          <w:shd w:val="clear" w:color="auto" w:fill="FFFFFF"/>
        </w:rPr>
        <w:t>Sentencia de 1 de septiembre de 2015. Serie C No. 298, párr. 233</w:t>
      </w:r>
      <w:r w:rsidRPr="00E42101">
        <w:rPr>
          <w:rStyle w:val="Textoennegrita"/>
          <w:b w:val="0"/>
          <w:i/>
          <w:color w:val="000000"/>
          <w:szCs w:val="16"/>
          <w:shd w:val="clear" w:color="auto" w:fill="FFFFFF"/>
        </w:rPr>
        <w:t>, y</w:t>
      </w:r>
      <w:r w:rsidRPr="00E42101">
        <w:rPr>
          <w:rStyle w:val="Textoennegrita"/>
          <w:color w:val="000000"/>
          <w:szCs w:val="16"/>
          <w:shd w:val="clear" w:color="auto" w:fill="FFFFFF"/>
        </w:rPr>
        <w:t xml:space="preserve">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470.</w:t>
      </w:r>
    </w:p>
  </w:footnote>
  <w:footnote w:id="246">
    <w:p w14:paraId="2DE9A162" w14:textId="723A647E"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 xml:space="preserve"> </w:t>
      </w:r>
      <w:r w:rsidRPr="00E42101">
        <w:rPr>
          <w:szCs w:val="16"/>
          <w:lang w:val="es-CR"/>
        </w:rPr>
        <w:tab/>
        <w:t>Tanto las víctimas directas como sus familiares se encuentran mencionadas en el Anexo 2 de la Sentencia.</w:t>
      </w:r>
    </w:p>
  </w:footnote>
  <w:footnote w:id="247">
    <w:p w14:paraId="76E10444" w14:textId="59B8576D"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 xml:space="preserve">En tal sentido, solicitaron que esta medida incluya la realización de pruebas de CD4, Carga Viral, Genotipo y cualquier otra prueba necesaria, así como otras tecnologías relacionadas para la atención del VIH, de las infecciones oportunistas y de otras enfermedades (expediente de fondo, folio 1837). </w:t>
      </w:r>
    </w:p>
  </w:footnote>
  <w:footnote w:id="248">
    <w:p w14:paraId="09107A3F" w14:textId="316CEF65"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rFonts w:eastAsia="Times" w:cs="Times New Roman"/>
          <w:i/>
          <w:iCs/>
          <w:szCs w:val="16"/>
          <w:lang w:val="es-CR" w:bidi="en-US"/>
        </w:rPr>
        <w:t>Cfr</w:t>
      </w:r>
      <w:r w:rsidRPr="00E42101">
        <w:rPr>
          <w:rFonts w:eastAsia="Times" w:cs="Times New Roman"/>
          <w:i/>
          <w:szCs w:val="16"/>
          <w:lang w:val="es-CR" w:bidi="en-US"/>
        </w:rPr>
        <w:t xml:space="preserve">. </w:t>
      </w:r>
      <w:r w:rsidRPr="00E42101">
        <w:rPr>
          <w:rFonts w:eastAsia="Times" w:cs="Times New Roman"/>
          <w:bCs/>
          <w:i/>
          <w:szCs w:val="16"/>
          <w:lang w:val="es-CR" w:eastAsia="ar-SA"/>
        </w:rPr>
        <w:t xml:space="preserve">Caso Radilla Pacheco Vs. México. </w:t>
      </w:r>
      <w:r w:rsidRPr="00E42101">
        <w:rPr>
          <w:rFonts w:eastAsia="Times" w:cs="Times New Roman"/>
          <w:i/>
          <w:szCs w:val="16"/>
          <w:lang w:val="es-CR" w:eastAsia="ar-SA"/>
        </w:rPr>
        <w:t>Excepciones Preliminares, Fondo, Reparaciones y Costas</w:t>
      </w:r>
      <w:r w:rsidRPr="00E42101">
        <w:rPr>
          <w:rFonts w:eastAsia="Times" w:cs="Times New Roman"/>
          <w:szCs w:val="16"/>
          <w:lang w:val="es-CR" w:eastAsia="ar-SA"/>
        </w:rPr>
        <w:t xml:space="preserve">. Sentencia de 23 de noviembre de 2009. Serie C No. 209, párr. 353, y </w:t>
      </w:r>
      <w:r w:rsidRPr="00E42101">
        <w:rPr>
          <w:rStyle w:val="Textoennegrita"/>
          <w:b w:val="0"/>
          <w:i/>
          <w:color w:val="000000"/>
          <w:szCs w:val="16"/>
          <w:shd w:val="clear" w:color="auto" w:fill="FFFFFF"/>
        </w:rPr>
        <w:t>Caso Herzog y otros Vs. Brasil. Excepciones Preliminares, Fondo, Reparaciones y Costas</w:t>
      </w:r>
      <w:r w:rsidRPr="00E42101">
        <w:rPr>
          <w:rStyle w:val="Textoennegrita"/>
          <w:b w:val="0"/>
          <w:color w:val="000000"/>
          <w:szCs w:val="16"/>
          <w:shd w:val="clear" w:color="auto" w:fill="FFFFFF"/>
        </w:rPr>
        <w:t>. Sentencia de 15 de marzo de 2018. Serie C No. 353, párr. 380.</w:t>
      </w:r>
    </w:p>
  </w:footnote>
  <w:footnote w:id="249">
    <w:p w14:paraId="316D9279" w14:textId="00BEF485" w:rsidR="00604517" w:rsidRPr="00E42101" w:rsidRDefault="00604517" w:rsidP="00E47BD5">
      <w:pPr>
        <w:tabs>
          <w:tab w:val="left" w:pos="426"/>
        </w:tabs>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iCs/>
          <w:sz w:val="16"/>
          <w:szCs w:val="16"/>
          <w:lang w:val="es-CR"/>
        </w:rPr>
        <w:t>Cfr. Caso Neira Alegría y otros Vs. Perú. Reparaciones y Costas</w:t>
      </w:r>
      <w:r w:rsidRPr="00E42101">
        <w:rPr>
          <w:sz w:val="16"/>
          <w:szCs w:val="16"/>
          <w:lang w:val="es-CR"/>
        </w:rPr>
        <w:t xml:space="preserve">. Sentencia de 19 de septiembre de 1996. Serie C No. 29, párr. 56, y </w:t>
      </w:r>
      <w:r w:rsidRPr="00E42101">
        <w:rPr>
          <w:rStyle w:val="Textoennegrita"/>
          <w:b w:val="0"/>
          <w:i/>
          <w:color w:val="000000"/>
          <w:sz w:val="16"/>
          <w:szCs w:val="16"/>
          <w:shd w:val="clear" w:color="auto" w:fill="FFFFFF"/>
        </w:rPr>
        <w:t>Caso Amrhein y otros vs. Costa Rica. Excepciones Preliminares, Fondo, Reparaciones y Costas</w:t>
      </w:r>
      <w:r w:rsidRPr="00E42101">
        <w:rPr>
          <w:rStyle w:val="Textoennegrita"/>
          <w:b w:val="0"/>
          <w:color w:val="000000"/>
          <w:sz w:val="16"/>
          <w:szCs w:val="16"/>
          <w:shd w:val="clear" w:color="auto" w:fill="FFFFFF"/>
        </w:rPr>
        <w:t>. Sentencia de 25 de abril de 2018. Serie C No. 354, párr. 474.</w:t>
      </w:r>
    </w:p>
  </w:footnote>
  <w:footnote w:id="250">
    <w:p w14:paraId="539909D7" w14:textId="1D15DF54" w:rsidR="00604517" w:rsidRPr="00E42101" w:rsidRDefault="00604517" w:rsidP="00E47BD5">
      <w:pPr>
        <w:tabs>
          <w:tab w:val="left" w:pos="426"/>
        </w:tabs>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sz w:val="16"/>
          <w:szCs w:val="16"/>
          <w:lang w:val="es-CR"/>
        </w:rPr>
        <w:t>Cfr., inter alia, Caso Cantoral Benavides Vs. Perú. Reparaciones y Costas</w:t>
      </w:r>
      <w:r w:rsidRPr="00E42101">
        <w:rPr>
          <w:sz w:val="16"/>
          <w:szCs w:val="16"/>
          <w:lang w:val="es-CR"/>
        </w:rPr>
        <w:t xml:space="preserve">. Sentencia de 3 diciembre de 2001. Serie C No. 88, párr. 79, y </w:t>
      </w:r>
      <w:r w:rsidRPr="00E42101">
        <w:rPr>
          <w:rStyle w:val="Textoennegrita"/>
          <w:b w:val="0"/>
          <w:i/>
          <w:color w:val="000000"/>
          <w:sz w:val="16"/>
          <w:szCs w:val="16"/>
          <w:shd w:val="clear" w:color="auto" w:fill="FFFFFF"/>
        </w:rPr>
        <w:t>Caso Herzog y otros Vs. Brasil. Excepciones Preliminares, Fondo, Reparaciones y Costas</w:t>
      </w:r>
      <w:r w:rsidRPr="00E42101">
        <w:rPr>
          <w:rStyle w:val="Textoennegrita"/>
          <w:b w:val="0"/>
          <w:color w:val="000000"/>
          <w:sz w:val="16"/>
          <w:szCs w:val="16"/>
          <w:shd w:val="clear" w:color="auto" w:fill="FFFFFF"/>
        </w:rPr>
        <w:t>. Sentencia de 15 de marzo de 2018. Serie C No. 353, párr. 383.</w:t>
      </w:r>
    </w:p>
  </w:footnote>
  <w:footnote w:id="251">
    <w:p w14:paraId="4E5A9A27" w14:textId="7AFF0D0B" w:rsidR="00604517" w:rsidRPr="00E42101" w:rsidRDefault="00604517" w:rsidP="00E47BD5">
      <w:pPr>
        <w:pStyle w:val="Textonotapie"/>
        <w:rPr>
          <w:szCs w:val="16"/>
          <w:lang w:val="es-CR"/>
        </w:rPr>
      </w:pPr>
      <w:r w:rsidRPr="00E42101">
        <w:rPr>
          <w:rStyle w:val="Refdenotaalpie"/>
          <w:szCs w:val="16"/>
          <w:lang w:val="es-CR"/>
        </w:rPr>
        <w:footnoteRef/>
      </w:r>
      <w:r w:rsidRPr="00E42101">
        <w:rPr>
          <w:szCs w:val="16"/>
          <w:lang w:val="es-CR"/>
        </w:rPr>
        <w:tab/>
      </w:r>
      <w:r w:rsidRPr="00E42101">
        <w:rPr>
          <w:i/>
          <w:szCs w:val="16"/>
          <w:lang w:val="es-CR"/>
        </w:rPr>
        <w:t>Cfr. Caso Rosendo Cantú y otra Vs. México. Excepción Preliminar, Fondo, Reparaciones y Costas.</w:t>
      </w:r>
      <w:r w:rsidRPr="00E42101">
        <w:rPr>
          <w:szCs w:val="16"/>
          <w:lang w:val="es-CR"/>
        </w:rPr>
        <w:t xml:space="preserve"> Sentencia de 31 de agosto de 2010. Serie C No. 216, párr. 257, </w:t>
      </w:r>
      <w:r w:rsidRPr="00E42101">
        <w:rPr>
          <w:i/>
          <w:szCs w:val="16"/>
          <w:lang w:val="es-CR"/>
        </w:rPr>
        <w:t>y Caso V.R.P., V.P.C. y otros Vs. Nicaragua. Excepciones Preliminares, Fondo, Reparaciones y Costas.</w:t>
      </w:r>
      <w:r w:rsidRPr="00E42101">
        <w:rPr>
          <w:szCs w:val="16"/>
          <w:lang w:val="es-CR"/>
        </w:rPr>
        <w:t xml:space="preserve"> Sentencia de 8 de marzo de 2018. Serie C No. 350, párr. 427.</w:t>
      </w:r>
    </w:p>
  </w:footnote>
  <w:footnote w:id="252">
    <w:p w14:paraId="0E263B66" w14:textId="110E4005" w:rsidR="00604517" w:rsidRPr="005F1895" w:rsidRDefault="00604517" w:rsidP="001B63C4">
      <w:pPr>
        <w:pStyle w:val="Textonotapie"/>
        <w:rPr>
          <w:lang w:val="es-MX"/>
        </w:rPr>
      </w:pPr>
      <w:r w:rsidRPr="005F1895">
        <w:rPr>
          <w:rStyle w:val="Refdenotaalpie"/>
          <w:szCs w:val="16"/>
        </w:rPr>
        <w:footnoteRef/>
      </w:r>
      <w:r w:rsidRPr="005F1895">
        <w:rPr>
          <w:szCs w:val="16"/>
        </w:rPr>
        <w:t xml:space="preserve"> </w:t>
      </w:r>
      <w:r>
        <w:rPr>
          <w:rFonts w:cs="Vrinda"/>
        </w:rPr>
        <w:tab/>
      </w:r>
      <w:r w:rsidRPr="00FA40F4">
        <w:rPr>
          <w:rFonts w:cs="Vrinda"/>
          <w:szCs w:val="16"/>
        </w:rPr>
        <w:t>L</w:t>
      </w:r>
      <w:r w:rsidRPr="00FA40F4">
        <w:rPr>
          <w:rFonts w:eastAsia="Times New Roman" w:cs="Arial"/>
          <w:szCs w:val="16"/>
          <w:shd w:val="clear" w:color="auto" w:fill="FFFFFF"/>
        </w:rPr>
        <w:t>a Corte advierte que en la Agenda 2030</w:t>
      </w:r>
      <w:r>
        <w:rPr>
          <w:rFonts w:eastAsia="Times New Roman" w:cs="Arial"/>
          <w:szCs w:val="16"/>
          <w:shd w:val="clear" w:color="auto" w:fill="FFFFFF"/>
        </w:rPr>
        <w:t>,</w:t>
      </w:r>
      <w:r w:rsidRPr="00FA40F4">
        <w:rPr>
          <w:rFonts w:eastAsia="Times New Roman" w:cs="Arial"/>
          <w:szCs w:val="16"/>
          <w:shd w:val="clear" w:color="auto" w:fill="FFFFFF"/>
        </w:rPr>
        <w:t xml:space="preserve"> la Asamblea General de la ONU adoptó un plan de acción con objetivos y metas a especificar por cada Estado miembro, a fin de combatir las desigualdades entre los países y hacer realidad los derechos humanos de todos los seres humanos del planeta de forma más rápida. Para ello, se </w:t>
      </w:r>
      <w:proofErr w:type="spellStart"/>
      <w:r w:rsidRPr="00FA40F4">
        <w:rPr>
          <w:rFonts w:eastAsia="Times New Roman" w:cs="Arial"/>
          <w:szCs w:val="16"/>
          <w:shd w:val="clear" w:color="auto" w:fill="FFFFFF"/>
        </w:rPr>
        <w:t>planteo</w:t>
      </w:r>
      <w:proofErr w:type="spellEnd"/>
      <w:r w:rsidRPr="00FA40F4">
        <w:rPr>
          <w:rFonts w:eastAsia="Times New Roman" w:cs="Arial"/>
          <w:szCs w:val="16"/>
          <w:shd w:val="clear" w:color="auto" w:fill="FFFFFF"/>
        </w:rPr>
        <w:t xml:space="preserve"> que es fundamental garantizar una vida sana y promover el bienestar universal de las personas en todas las edades. Asimismo, que para el logro de los objetivos deben considerarse los diferentes niveles de desarrollo y capacidad de los Estados, así como el establecimiento de acciones y medidas eficaces para empoderar a las personas vulnerables, incluidas aquellas que viven con enfermedades como el VIH/SIDA, aunado al compromiso de poner fin a estas enfermedades para el año 2030. </w:t>
      </w:r>
      <w:r w:rsidRPr="00FA40F4">
        <w:rPr>
          <w:szCs w:val="16"/>
          <w:lang w:val="es-CR"/>
        </w:rPr>
        <w:t>ONU,</w:t>
      </w:r>
      <w:r w:rsidRPr="00FA40F4">
        <w:rPr>
          <w:i/>
          <w:szCs w:val="16"/>
          <w:lang w:val="es-CR"/>
        </w:rPr>
        <w:t xml:space="preserve"> </w:t>
      </w:r>
      <w:r w:rsidRPr="00FA40F4">
        <w:rPr>
          <w:szCs w:val="16"/>
          <w:lang w:val="es-CR"/>
        </w:rPr>
        <w:t xml:space="preserve">Resolución de la Asamblea General “Transformar nuestro mundo: la Agenda 2030 para el Desarrollo Sostenible” A/70/L.1 aprobada el 25 de </w:t>
      </w:r>
      <w:r w:rsidRPr="00FA40F4">
        <w:rPr>
          <w:rFonts w:eastAsia="Times New Roman" w:cs="Arial"/>
          <w:szCs w:val="16"/>
          <w:shd w:val="clear" w:color="auto" w:fill="FFFFFF"/>
          <w:lang w:val="es-CR"/>
        </w:rPr>
        <w:t xml:space="preserve">septiembre de 2015, preámbulo, </w:t>
      </w:r>
      <w:proofErr w:type="spellStart"/>
      <w:r w:rsidRPr="00FA40F4">
        <w:rPr>
          <w:rFonts w:eastAsia="Times New Roman" w:cs="Arial"/>
          <w:szCs w:val="16"/>
          <w:shd w:val="clear" w:color="auto" w:fill="FFFFFF"/>
          <w:lang w:val="es-CR"/>
        </w:rPr>
        <w:t>párrs</w:t>
      </w:r>
      <w:proofErr w:type="spellEnd"/>
      <w:r w:rsidRPr="00FA40F4">
        <w:rPr>
          <w:rFonts w:eastAsia="Times New Roman" w:cs="Arial"/>
          <w:szCs w:val="16"/>
          <w:shd w:val="clear" w:color="auto" w:fill="FFFFFF"/>
          <w:lang w:val="es-CR"/>
        </w:rPr>
        <w:t>. 3, 23, 26, 55 y 66, objetivo 3, 3.3 y 3.8. disponible en https://undocs.org/es/A/RES/70/1</w:t>
      </w:r>
    </w:p>
  </w:footnote>
  <w:footnote w:id="253">
    <w:p w14:paraId="311B6DCD" w14:textId="0DB378E4" w:rsidR="00604517" w:rsidRPr="00E42101" w:rsidRDefault="00604517" w:rsidP="00E47BD5">
      <w:pPr>
        <w:pStyle w:val="Textonotapie"/>
        <w:spacing w:before="0"/>
        <w:rPr>
          <w:szCs w:val="16"/>
          <w:lang w:val="es-CR"/>
        </w:rPr>
      </w:pPr>
      <w:r w:rsidRPr="00E42101">
        <w:rPr>
          <w:rStyle w:val="Refdenotaalpie"/>
          <w:szCs w:val="16"/>
          <w:lang w:val="es-CR"/>
        </w:rPr>
        <w:footnoteRef/>
      </w:r>
      <w:r w:rsidRPr="00E42101">
        <w:rPr>
          <w:szCs w:val="16"/>
          <w:lang w:val="es-CR"/>
        </w:rPr>
        <w:tab/>
        <w:t xml:space="preserve">En tal sentido, los representantes alegaron que, a partir de la falta de atención integral a la salud de las víctimas, estas han tenido que asumir gastos económicos extra. En particular, señalaron que estas </w:t>
      </w:r>
      <w:r w:rsidRPr="00E42101">
        <w:rPr>
          <w:rFonts w:cs="Vrinda"/>
          <w:szCs w:val="16"/>
          <w:lang w:val="es-CR"/>
        </w:rPr>
        <w:t xml:space="preserve">debieron realizar </w:t>
      </w:r>
      <w:r w:rsidRPr="00E42101">
        <w:rPr>
          <w:rFonts w:eastAsia="Arial" w:cs="Vrinda"/>
          <w:szCs w:val="16"/>
          <w:lang w:val="es-CR"/>
        </w:rPr>
        <w:t>c</w:t>
      </w:r>
      <w:r w:rsidRPr="00E42101">
        <w:rPr>
          <w:rFonts w:eastAsia="Arial" w:cs="Vrinda"/>
          <w:spacing w:val="1"/>
          <w:szCs w:val="16"/>
          <w:lang w:val="es-CR"/>
        </w:rPr>
        <w:t>on</w:t>
      </w:r>
      <w:r w:rsidRPr="00E42101">
        <w:rPr>
          <w:rFonts w:eastAsia="Arial" w:cs="Vrinda"/>
          <w:szCs w:val="16"/>
          <w:lang w:val="es-CR"/>
        </w:rPr>
        <w:t>trib</w:t>
      </w:r>
      <w:r w:rsidRPr="00E42101">
        <w:rPr>
          <w:rFonts w:eastAsia="Arial" w:cs="Vrinda"/>
          <w:spacing w:val="1"/>
          <w:szCs w:val="16"/>
          <w:lang w:val="es-CR"/>
        </w:rPr>
        <w:t>u</w:t>
      </w:r>
      <w:r w:rsidRPr="00E42101">
        <w:rPr>
          <w:rFonts w:eastAsia="Arial" w:cs="Vrinda"/>
          <w:szCs w:val="16"/>
          <w:lang w:val="es-CR"/>
        </w:rPr>
        <w:t>ci</w:t>
      </w:r>
      <w:r w:rsidRPr="00E42101">
        <w:rPr>
          <w:rFonts w:eastAsia="Arial" w:cs="Vrinda"/>
          <w:spacing w:val="-2"/>
          <w:szCs w:val="16"/>
          <w:lang w:val="es-CR"/>
        </w:rPr>
        <w:t>o</w:t>
      </w:r>
      <w:r w:rsidRPr="00E42101">
        <w:rPr>
          <w:rFonts w:eastAsia="Arial" w:cs="Vrinda"/>
          <w:spacing w:val="1"/>
          <w:szCs w:val="16"/>
          <w:lang w:val="es-CR"/>
        </w:rPr>
        <w:t>ne</w:t>
      </w:r>
      <w:r w:rsidRPr="00E42101">
        <w:rPr>
          <w:rFonts w:eastAsia="Arial" w:cs="Vrinda"/>
          <w:szCs w:val="16"/>
          <w:lang w:val="es-CR"/>
        </w:rPr>
        <w:t xml:space="preserve">s </w:t>
      </w:r>
      <w:r w:rsidRPr="00E42101">
        <w:rPr>
          <w:rFonts w:eastAsia="Arial" w:cs="Vrinda"/>
          <w:spacing w:val="1"/>
          <w:szCs w:val="16"/>
          <w:lang w:val="es-CR"/>
        </w:rPr>
        <w:t>e</w:t>
      </w:r>
      <w:r w:rsidRPr="00E42101">
        <w:rPr>
          <w:rFonts w:eastAsia="Arial" w:cs="Vrinda"/>
          <w:szCs w:val="16"/>
          <w:lang w:val="es-CR"/>
        </w:rPr>
        <w:t>c</w:t>
      </w:r>
      <w:r w:rsidRPr="00E42101">
        <w:rPr>
          <w:rFonts w:eastAsia="Arial" w:cs="Vrinda"/>
          <w:spacing w:val="1"/>
          <w:szCs w:val="16"/>
          <w:lang w:val="es-CR"/>
        </w:rPr>
        <w:t>o</w:t>
      </w:r>
      <w:r w:rsidRPr="00E42101">
        <w:rPr>
          <w:rFonts w:eastAsia="Arial" w:cs="Vrinda"/>
          <w:spacing w:val="-1"/>
          <w:szCs w:val="16"/>
          <w:lang w:val="es-CR"/>
        </w:rPr>
        <w:t>nó</w:t>
      </w:r>
      <w:r w:rsidRPr="00E42101">
        <w:rPr>
          <w:rFonts w:eastAsia="Arial" w:cs="Vrinda"/>
          <w:spacing w:val="1"/>
          <w:szCs w:val="16"/>
          <w:lang w:val="es-CR"/>
        </w:rPr>
        <w:t>m</w:t>
      </w:r>
      <w:r w:rsidRPr="00E42101">
        <w:rPr>
          <w:rFonts w:eastAsia="Arial" w:cs="Vrinda"/>
          <w:szCs w:val="16"/>
          <w:lang w:val="es-CR"/>
        </w:rPr>
        <w:t>icas</w:t>
      </w:r>
      <w:r w:rsidRPr="00E42101">
        <w:rPr>
          <w:rFonts w:eastAsia="Arial" w:cs="Vrinda"/>
          <w:spacing w:val="3"/>
          <w:szCs w:val="16"/>
          <w:lang w:val="es-CR"/>
        </w:rPr>
        <w:t xml:space="preserve"> </w:t>
      </w:r>
      <w:r w:rsidRPr="00E42101">
        <w:rPr>
          <w:rFonts w:eastAsia="Arial" w:cs="Vrinda"/>
          <w:spacing w:val="-1"/>
          <w:szCs w:val="16"/>
          <w:lang w:val="es-CR"/>
        </w:rPr>
        <w:t>p</w:t>
      </w:r>
      <w:r w:rsidRPr="00E42101">
        <w:rPr>
          <w:rFonts w:eastAsia="Arial" w:cs="Vrinda"/>
          <w:spacing w:val="1"/>
          <w:szCs w:val="16"/>
          <w:lang w:val="es-CR"/>
        </w:rPr>
        <w:t>a</w:t>
      </w:r>
      <w:r w:rsidRPr="00E42101">
        <w:rPr>
          <w:rFonts w:eastAsia="Arial" w:cs="Vrinda"/>
          <w:szCs w:val="16"/>
          <w:lang w:val="es-CR"/>
        </w:rPr>
        <w:t>ra</w:t>
      </w:r>
      <w:r w:rsidRPr="00E42101">
        <w:rPr>
          <w:rFonts w:eastAsia="Arial" w:cs="Vrinda"/>
          <w:spacing w:val="3"/>
          <w:szCs w:val="16"/>
          <w:lang w:val="es-CR"/>
        </w:rPr>
        <w:t xml:space="preserve"> </w:t>
      </w:r>
      <w:r w:rsidRPr="00E42101">
        <w:rPr>
          <w:rFonts w:eastAsia="Arial" w:cs="Vrinda"/>
          <w:spacing w:val="-2"/>
          <w:szCs w:val="16"/>
          <w:lang w:val="es-CR"/>
        </w:rPr>
        <w:t>c</w:t>
      </w:r>
      <w:r w:rsidRPr="00E42101">
        <w:rPr>
          <w:rFonts w:eastAsia="Arial" w:cs="Vrinda"/>
          <w:spacing w:val="1"/>
          <w:szCs w:val="16"/>
          <w:lang w:val="es-CR"/>
        </w:rPr>
        <w:t>o</w:t>
      </w:r>
      <w:r w:rsidRPr="00E42101">
        <w:rPr>
          <w:rFonts w:eastAsia="Arial" w:cs="Vrinda"/>
          <w:spacing w:val="-1"/>
          <w:szCs w:val="16"/>
          <w:lang w:val="es-CR"/>
        </w:rPr>
        <w:t>m</w:t>
      </w:r>
      <w:r w:rsidRPr="00E42101">
        <w:rPr>
          <w:rFonts w:eastAsia="Arial" w:cs="Vrinda"/>
          <w:spacing w:val="1"/>
          <w:szCs w:val="16"/>
          <w:lang w:val="es-CR"/>
        </w:rPr>
        <w:t>p</w:t>
      </w:r>
      <w:r w:rsidRPr="00E42101">
        <w:rPr>
          <w:rFonts w:eastAsia="Arial" w:cs="Vrinda"/>
          <w:szCs w:val="16"/>
          <w:lang w:val="es-CR"/>
        </w:rPr>
        <w:t>rar</w:t>
      </w:r>
      <w:r w:rsidRPr="00E42101">
        <w:rPr>
          <w:rFonts w:eastAsia="Arial" w:cs="Vrinda"/>
          <w:spacing w:val="2"/>
          <w:szCs w:val="16"/>
          <w:lang w:val="es-CR"/>
        </w:rPr>
        <w:t xml:space="preserve"> </w:t>
      </w:r>
      <w:r w:rsidRPr="00E42101">
        <w:rPr>
          <w:rFonts w:eastAsia="Arial" w:cs="Vrinda"/>
          <w:szCs w:val="16"/>
          <w:lang w:val="es-CR"/>
        </w:rPr>
        <w:t>l</w:t>
      </w:r>
      <w:r w:rsidRPr="00E42101">
        <w:rPr>
          <w:rFonts w:eastAsia="Arial" w:cs="Vrinda"/>
          <w:spacing w:val="-2"/>
          <w:szCs w:val="16"/>
          <w:lang w:val="es-CR"/>
        </w:rPr>
        <w:t>o</w:t>
      </w:r>
      <w:r w:rsidRPr="00E42101">
        <w:rPr>
          <w:rFonts w:eastAsia="Arial" w:cs="Vrinda"/>
          <w:szCs w:val="16"/>
          <w:lang w:val="es-CR"/>
        </w:rPr>
        <w:t>s</w:t>
      </w:r>
      <w:r w:rsidRPr="00E42101">
        <w:rPr>
          <w:rFonts w:eastAsia="Arial" w:cs="Vrinda"/>
          <w:spacing w:val="2"/>
          <w:szCs w:val="16"/>
          <w:lang w:val="es-CR"/>
        </w:rPr>
        <w:t xml:space="preserve"> </w:t>
      </w:r>
      <w:r w:rsidRPr="00E42101">
        <w:rPr>
          <w:rFonts w:eastAsia="Arial" w:cs="Vrinda"/>
          <w:szCs w:val="16"/>
          <w:lang w:val="es-CR"/>
        </w:rPr>
        <w:t>ins</w:t>
      </w:r>
      <w:r w:rsidRPr="00E42101">
        <w:rPr>
          <w:rFonts w:eastAsia="Arial" w:cs="Vrinda"/>
          <w:spacing w:val="1"/>
          <w:szCs w:val="16"/>
          <w:lang w:val="es-CR"/>
        </w:rPr>
        <w:t>u</w:t>
      </w:r>
      <w:r w:rsidRPr="00E42101">
        <w:rPr>
          <w:rFonts w:eastAsia="Arial" w:cs="Vrinda"/>
          <w:spacing w:val="-1"/>
          <w:szCs w:val="16"/>
          <w:lang w:val="es-CR"/>
        </w:rPr>
        <w:t>m</w:t>
      </w:r>
      <w:r w:rsidRPr="00E42101">
        <w:rPr>
          <w:rFonts w:eastAsia="Arial" w:cs="Vrinda"/>
          <w:spacing w:val="1"/>
          <w:szCs w:val="16"/>
          <w:lang w:val="es-CR"/>
        </w:rPr>
        <w:t>o</w:t>
      </w:r>
      <w:r w:rsidRPr="00E42101">
        <w:rPr>
          <w:rFonts w:eastAsia="Arial" w:cs="Vrinda"/>
          <w:szCs w:val="16"/>
          <w:lang w:val="es-CR"/>
        </w:rPr>
        <w:t>s</w:t>
      </w:r>
      <w:r w:rsidRPr="00E42101">
        <w:rPr>
          <w:rFonts w:eastAsia="Arial" w:cs="Vrinda"/>
          <w:spacing w:val="2"/>
          <w:szCs w:val="16"/>
          <w:lang w:val="es-CR"/>
        </w:rPr>
        <w:t xml:space="preserve"> </w:t>
      </w:r>
      <w:r w:rsidRPr="00E42101">
        <w:rPr>
          <w:rFonts w:eastAsia="Arial" w:cs="Vrinda"/>
          <w:spacing w:val="-1"/>
          <w:szCs w:val="16"/>
          <w:lang w:val="es-CR"/>
        </w:rPr>
        <w:t>n</w:t>
      </w:r>
      <w:r w:rsidRPr="00E42101">
        <w:rPr>
          <w:rFonts w:eastAsia="Arial" w:cs="Vrinda"/>
          <w:spacing w:val="1"/>
          <w:szCs w:val="16"/>
          <w:lang w:val="es-CR"/>
        </w:rPr>
        <w:t>e</w:t>
      </w:r>
      <w:r w:rsidRPr="00E42101">
        <w:rPr>
          <w:rFonts w:eastAsia="Arial" w:cs="Vrinda"/>
          <w:szCs w:val="16"/>
          <w:lang w:val="es-CR"/>
        </w:rPr>
        <w:t>c</w:t>
      </w:r>
      <w:r w:rsidRPr="00E42101">
        <w:rPr>
          <w:rFonts w:eastAsia="Arial" w:cs="Vrinda"/>
          <w:spacing w:val="1"/>
          <w:szCs w:val="16"/>
          <w:lang w:val="es-CR"/>
        </w:rPr>
        <w:t>e</w:t>
      </w:r>
      <w:r w:rsidRPr="00E42101">
        <w:rPr>
          <w:rFonts w:eastAsia="Arial" w:cs="Vrinda"/>
          <w:spacing w:val="-2"/>
          <w:szCs w:val="16"/>
          <w:lang w:val="es-CR"/>
        </w:rPr>
        <w:t>s</w:t>
      </w:r>
      <w:r w:rsidRPr="00E42101">
        <w:rPr>
          <w:rFonts w:eastAsia="Arial" w:cs="Vrinda"/>
          <w:spacing w:val="1"/>
          <w:szCs w:val="16"/>
          <w:lang w:val="es-CR"/>
        </w:rPr>
        <w:t>a</w:t>
      </w:r>
      <w:r w:rsidRPr="00E42101">
        <w:rPr>
          <w:rFonts w:eastAsia="Arial" w:cs="Vrinda"/>
          <w:szCs w:val="16"/>
          <w:lang w:val="es-CR"/>
        </w:rPr>
        <w:t>r</w:t>
      </w:r>
      <w:r w:rsidRPr="00E42101">
        <w:rPr>
          <w:rFonts w:eastAsia="Arial" w:cs="Vrinda"/>
          <w:spacing w:val="-1"/>
          <w:szCs w:val="16"/>
          <w:lang w:val="es-CR"/>
        </w:rPr>
        <w:t>i</w:t>
      </w:r>
      <w:r w:rsidRPr="00E42101">
        <w:rPr>
          <w:rFonts w:eastAsia="Arial" w:cs="Vrinda"/>
          <w:spacing w:val="1"/>
          <w:szCs w:val="16"/>
          <w:lang w:val="es-CR"/>
        </w:rPr>
        <w:t>o</w:t>
      </w:r>
      <w:r w:rsidRPr="00E42101">
        <w:rPr>
          <w:rFonts w:eastAsia="Arial" w:cs="Vrinda"/>
          <w:szCs w:val="16"/>
          <w:lang w:val="es-CR"/>
        </w:rPr>
        <w:t xml:space="preserve">s </w:t>
      </w:r>
      <w:r w:rsidRPr="00E42101">
        <w:rPr>
          <w:rFonts w:eastAsia="Arial" w:cs="Vrinda"/>
          <w:spacing w:val="1"/>
          <w:szCs w:val="16"/>
          <w:lang w:val="es-CR"/>
        </w:rPr>
        <w:t>a fin de</w:t>
      </w:r>
      <w:r w:rsidRPr="00E42101">
        <w:rPr>
          <w:rFonts w:eastAsia="Arial" w:cs="Vrinda"/>
          <w:spacing w:val="3"/>
          <w:szCs w:val="16"/>
          <w:lang w:val="es-CR"/>
        </w:rPr>
        <w:t xml:space="preserve"> </w:t>
      </w:r>
      <w:r w:rsidRPr="00E42101">
        <w:rPr>
          <w:rFonts w:eastAsia="Arial" w:cs="Vrinda"/>
          <w:szCs w:val="16"/>
          <w:lang w:val="es-CR"/>
        </w:rPr>
        <w:t>r</w:t>
      </w:r>
      <w:r w:rsidRPr="00E42101">
        <w:rPr>
          <w:rFonts w:eastAsia="Arial" w:cs="Vrinda"/>
          <w:spacing w:val="-2"/>
          <w:szCs w:val="16"/>
          <w:lang w:val="es-CR"/>
        </w:rPr>
        <w:t>e</w:t>
      </w:r>
      <w:r w:rsidRPr="00E42101">
        <w:rPr>
          <w:rFonts w:eastAsia="Arial" w:cs="Vrinda"/>
          <w:spacing w:val="1"/>
          <w:szCs w:val="16"/>
          <w:lang w:val="es-CR"/>
        </w:rPr>
        <w:t>a</w:t>
      </w:r>
      <w:r w:rsidRPr="00E42101">
        <w:rPr>
          <w:rFonts w:eastAsia="Arial" w:cs="Vrinda"/>
          <w:szCs w:val="16"/>
          <w:lang w:val="es-CR"/>
        </w:rPr>
        <w:t>l</w:t>
      </w:r>
      <w:r w:rsidRPr="00E42101">
        <w:rPr>
          <w:rFonts w:eastAsia="Arial" w:cs="Vrinda"/>
          <w:spacing w:val="-1"/>
          <w:szCs w:val="16"/>
          <w:lang w:val="es-CR"/>
        </w:rPr>
        <w:t>i</w:t>
      </w:r>
      <w:r w:rsidRPr="00E42101">
        <w:rPr>
          <w:rFonts w:eastAsia="Arial" w:cs="Vrinda"/>
          <w:spacing w:val="-2"/>
          <w:szCs w:val="16"/>
          <w:lang w:val="es-CR"/>
        </w:rPr>
        <w:t>z</w:t>
      </w:r>
      <w:r w:rsidRPr="00E42101">
        <w:rPr>
          <w:rFonts w:eastAsia="Arial" w:cs="Vrinda"/>
          <w:spacing w:val="1"/>
          <w:szCs w:val="16"/>
          <w:lang w:val="es-CR"/>
        </w:rPr>
        <w:t>a</w:t>
      </w:r>
      <w:r w:rsidRPr="00E42101">
        <w:rPr>
          <w:rFonts w:eastAsia="Arial" w:cs="Vrinda"/>
          <w:szCs w:val="16"/>
          <w:lang w:val="es-CR"/>
        </w:rPr>
        <w:t>r los</w:t>
      </w:r>
      <w:r w:rsidRPr="00E42101">
        <w:rPr>
          <w:rFonts w:eastAsia="Arial" w:cs="Vrinda"/>
          <w:spacing w:val="4"/>
          <w:szCs w:val="16"/>
          <w:lang w:val="es-CR"/>
        </w:rPr>
        <w:t xml:space="preserve"> </w:t>
      </w:r>
      <w:r w:rsidRPr="00E42101">
        <w:rPr>
          <w:rFonts w:eastAsia="Arial" w:cs="Vrinda"/>
          <w:spacing w:val="1"/>
          <w:szCs w:val="16"/>
          <w:lang w:val="es-CR"/>
        </w:rPr>
        <w:t>e</w:t>
      </w:r>
      <w:r w:rsidRPr="00E42101">
        <w:rPr>
          <w:rFonts w:eastAsia="Arial" w:cs="Vrinda"/>
          <w:spacing w:val="-2"/>
          <w:szCs w:val="16"/>
          <w:lang w:val="es-CR"/>
        </w:rPr>
        <w:t>x</w:t>
      </w:r>
      <w:r w:rsidRPr="00E42101">
        <w:rPr>
          <w:rFonts w:eastAsia="Arial" w:cs="Vrinda"/>
          <w:spacing w:val="1"/>
          <w:szCs w:val="16"/>
          <w:lang w:val="es-CR"/>
        </w:rPr>
        <w:t>áme</w:t>
      </w:r>
      <w:r w:rsidRPr="00E42101">
        <w:rPr>
          <w:rFonts w:eastAsia="Arial" w:cs="Vrinda"/>
          <w:spacing w:val="-1"/>
          <w:szCs w:val="16"/>
          <w:lang w:val="es-CR"/>
        </w:rPr>
        <w:t>n</w:t>
      </w:r>
      <w:r w:rsidRPr="00E42101">
        <w:rPr>
          <w:rFonts w:eastAsia="Arial" w:cs="Vrinda"/>
          <w:spacing w:val="1"/>
          <w:szCs w:val="16"/>
          <w:lang w:val="es-CR"/>
        </w:rPr>
        <w:t>e</w:t>
      </w:r>
      <w:r w:rsidRPr="00E42101">
        <w:rPr>
          <w:rFonts w:eastAsia="Arial" w:cs="Vrinda"/>
          <w:szCs w:val="16"/>
          <w:lang w:val="es-CR"/>
        </w:rPr>
        <w:t>s</w:t>
      </w:r>
      <w:r w:rsidRPr="00E42101">
        <w:rPr>
          <w:rFonts w:eastAsia="Arial" w:cs="Vrinda"/>
          <w:spacing w:val="3"/>
          <w:szCs w:val="16"/>
          <w:lang w:val="es-CR"/>
        </w:rPr>
        <w:t xml:space="preserve">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4"/>
          <w:szCs w:val="16"/>
          <w:lang w:val="es-CR"/>
        </w:rPr>
        <w:t xml:space="preserve"> </w:t>
      </w:r>
      <w:r w:rsidRPr="00E42101">
        <w:rPr>
          <w:rFonts w:eastAsia="Arial" w:cs="Vrinda"/>
          <w:szCs w:val="16"/>
          <w:lang w:val="es-CR"/>
        </w:rPr>
        <w:t>C</w:t>
      </w:r>
      <w:r w:rsidRPr="00E42101">
        <w:rPr>
          <w:rFonts w:eastAsia="Arial" w:cs="Vrinda"/>
          <w:spacing w:val="-1"/>
          <w:szCs w:val="16"/>
          <w:lang w:val="es-CR"/>
        </w:rPr>
        <w:t>D4</w:t>
      </w:r>
      <w:r w:rsidRPr="00E42101">
        <w:rPr>
          <w:rFonts w:eastAsia="Arial" w:cs="Vrinda"/>
          <w:szCs w:val="16"/>
          <w:lang w:val="es-CR"/>
        </w:rPr>
        <w:t>,</w:t>
      </w:r>
      <w:r w:rsidRPr="00E42101">
        <w:rPr>
          <w:rFonts w:eastAsia="Arial" w:cs="Vrinda"/>
          <w:spacing w:val="3"/>
          <w:szCs w:val="16"/>
          <w:lang w:val="es-CR"/>
        </w:rPr>
        <w:t xml:space="preserve"> </w:t>
      </w:r>
      <w:r w:rsidRPr="00E42101">
        <w:rPr>
          <w:rFonts w:eastAsia="Arial" w:cs="Vrinda"/>
          <w:szCs w:val="16"/>
          <w:lang w:val="es-CR"/>
        </w:rPr>
        <w:t>c</w:t>
      </w:r>
      <w:r w:rsidRPr="00E42101">
        <w:rPr>
          <w:rFonts w:eastAsia="Arial" w:cs="Vrinda"/>
          <w:spacing w:val="1"/>
          <w:szCs w:val="16"/>
          <w:lang w:val="es-CR"/>
        </w:rPr>
        <w:t>a</w:t>
      </w:r>
      <w:r w:rsidRPr="00E42101">
        <w:rPr>
          <w:rFonts w:eastAsia="Arial" w:cs="Vrinda"/>
          <w:szCs w:val="16"/>
          <w:lang w:val="es-CR"/>
        </w:rPr>
        <w:t>r</w:t>
      </w:r>
      <w:r w:rsidRPr="00E42101">
        <w:rPr>
          <w:rFonts w:eastAsia="Arial" w:cs="Vrinda"/>
          <w:spacing w:val="-2"/>
          <w:szCs w:val="16"/>
          <w:lang w:val="es-CR"/>
        </w:rPr>
        <w:t>g</w:t>
      </w:r>
      <w:r w:rsidRPr="00E42101">
        <w:rPr>
          <w:rFonts w:eastAsia="Arial" w:cs="Vrinda"/>
          <w:szCs w:val="16"/>
          <w:lang w:val="es-CR"/>
        </w:rPr>
        <w:t>a</w:t>
      </w:r>
      <w:r w:rsidRPr="00E42101">
        <w:rPr>
          <w:rFonts w:eastAsia="Arial" w:cs="Vrinda"/>
          <w:spacing w:val="4"/>
          <w:szCs w:val="16"/>
          <w:lang w:val="es-CR"/>
        </w:rPr>
        <w:t xml:space="preserve"> </w:t>
      </w:r>
      <w:r w:rsidRPr="00E42101">
        <w:rPr>
          <w:rFonts w:eastAsia="Arial" w:cs="Vrinda"/>
          <w:spacing w:val="-2"/>
          <w:szCs w:val="16"/>
          <w:lang w:val="es-CR"/>
        </w:rPr>
        <w:t>v</w:t>
      </w:r>
      <w:r w:rsidRPr="00E42101">
        <w:rPr>
          <w:rFonts w:eastAsia="Arial" w:cs="Vrinda"/>
          <w:spacing w:val="2"/>
          <w:szCs w:val="16"/>
          <w:lang w:val="es-CR"/>
        </w:rPr>
        <w:t>i</w:t>
      </w:r>
      <w:r w:rsidRPr="00E42101">
        <w:rPr>
          <w:rFonts w:eastAsia="Arial" w:cs="Vrinda"/>
          <w:szCs w:val="16"/>
          <w:lang w:val="es-CR"/>
        </w:rPr>
        <w:t>ral</w:t>
      </w:r>
      <w:r w:rsidRPr="00E42101">
        <w:rPr>
          <w:rFonts w:eastAsia="Arial" w:cs="Vrinda"/>
          <w:spacing w:val="5"/>
          <w:szCs w:val="16"/>
          <w:lang w:val="es-CR"/>
        </w:rPr>
        <w:t xml:space="preserve"> </w:t>
      </w:r>
      <w:r w:rsidRPr="00E42101">
        <w:rPr>
          <w:rFonts w:eastAsia="Arial" w:cs="Vrinda"/>
          <w:szCs w:val="16"/>
          <w:lang w:val="es-CR"/>
        </w:rPr>
        <w:t>y</w:t>
      </w:r>
      <w:r w:rsidRPr="00E42101">
        <w:rPr>
          <w:rFonts w:eastAsia="Arial" w:cs="Vrinda"/>
          <w:spacing w:val="1"/>
          <w:szCs w:val="16"/>
          <w:lang w:val="es-CR"/>
        </w:rPr>
        <w:t xml:space="preserve"> </w:t>
      </w:r>
      <w:r w:rsidRPr="00E42101">
        <w:rPr>
          <w:rFonts w:eastAsia="Arial" w:cs="Vrinda"/>
          <w:spacing w:val="-1"/>
          <w:szCs w:val="16"/>
          <w:lang w:val="es-CR"/>
        </w:rPr>
        <w:t>g</w:t>
      </w:r>
      <w:r w:rsidRPr="00E42101">
        <w:rPr>
          <w:rFonts w:eastAsia="Arial" w:cs="Vrinda"/>
          <w:spacing w:val="1"/>
          <w:szCs w:val="16"/>
          <w:lang w:val="es-CR"/>
        </w:rPr>
        <w:t>e</w:t>
      </w:r>
      <w:r w:rsidRPr="00E42101">
        <w:rPr>
          <w:rFonts w:eastAsia="Arial" w:cs="Vrinda"/>
          <w:spacing w:val="6"/>
          <w:szCs w:val="16"/>
          <w:lang w:val="es-CR"/>
        </w:rPr>
        <w:t>n</w:t>
      </w:r>
      <w:r w:rsidRPr="00E42101">
        <w:rPr>
          <w:rFonts w:eastAsia="Arial" w:cs="Vrinda"/>
          <w:spacing w:val="1"/>
          <w:szCs w:val="16"/>
          <w:lang w:val="es-CR"/>
        </w:rPr>
        <w:t>o</w:t>
      </w:r>
      <w:r w:rsidRPr="00E42101">
        <w:rPr>
          <w:rFonts w:eastAsia="Arial" w:cs="Vrinda"/>
          <w:szCs w:val="16"/>
          <w:lang w:val="es-CR"/>
        </w:rPr>
        <w:t>ti</w:t>
      </w:r>
      <w:r w:rsidRPr="00E42101">
        <w:rPr>
          <w:rFonts w:eastAsia="Arial" w:cs="Vrinda"/>
          <w:spacing w:val="1"/>
          <w:szCs w:val="16"/>
          <w:lang w:val="es-CR"/>
        </w:rPr>
        <w:t>po</w:t>
      </w:r>
      <w:r w:rsidRPr="00E42101">
        <w:rPr>
          <w:rFonts w:eastAsia="Arial" w:cs="Vrinda"/>
          <w:szCs w:val="16"/>
          <w:lang w:val="es-CR"/>
        </w:rPr>
        <w:t>,</w:t>
      </w:r>
      <w:r w:rsidRPr="00E42101">
        <w:rPr>
          <w:rFonts w:eastAsia="Arial" w:cs="Vrinda"/>
          <w:spacing w:val="3"/>
          <w:szCs w:val="16"/>
          <w:lang w:val="es-CR"/>
        </w:rPr>
        <w:t xml:space="preserve"> </w:t>
      </w:r>
      <w:r w:rsidRPr="00E42101">
        <w:rPr>
          <w:rFonts w:eastAsia="Arial" w:cs="Vrinda"/>
          <w:szCs w:val="16"/>
          <w:lang w:val="es-CR"/>
        </w:rPr>
        <w:t>o</w:t>
      </w:r>
      <w:r w:rsidRPr="00E42101">
        <w:rPr>
          <w:rFonts w:eastAsia="Arial" w:cs="Vrinda"/>
          <w:spacing w:val="4"/>
          <w:szCs w:val="16"/>
          <w:lang w:val="es-CR"/>
        </w:rPr>
        <w:t xml:space="preserve"> </w:t>
      </w:r>
      <w:r w:rsidRPr="00E42101">
        <w:rPr>
          <w:rFonts w:eastAsia="Arial" w:cs="Vrinda"/>
          <w:spacing w:val="-1"/>
          <w:szCs w:val="16"/>
          <w:lang w:val="es-CR"/>
        </w:rPr>
        <w:t>a</w:t>
      </w:r>
      <w:r w:rsidRPr="00E42101">
        <w:rPr>
          <w:rFonts w:eastAsia="Arial" w:cs="Vrinda"/>
          <w:spacing w:val="1"/>
          <w:szCs w:val="16"/>
          <w:lang w:val="es-CR"/>
        </w:rPr>
        <w:t>d</w:t>
      </w:r>
      <w:r w:rsidRPr="00E42101">
        <w:rPr>
          <w:rFonts w:eastAsia="Arial" w:cs="Vrinda"/>
          <w:spacing w:val="-1"/>
          <w:szCs w:val="16"/>
          <w:lang w:val="es-CR"/>
        </w:rPr>
        <w:t>q</w:t>
      </w:r>
      <w:r w:rsidRPr="00E42101">
        <w:rPr>
          <w:rFonts w:eastAsia="Arial" w:cs="Vrinda"/>
          <w:spacing w:val="1"/>
          <w:szCs w:val="16"/>
          <w:lang w:val="es-CR"/>
        </w:rPr>
        <w:t>u</w:t>
      </w:r>
      <w:r w:rsidRPr="00E42101">
        <w:rPr>
          <w:rFonts w:eastAsia="Arial" w:cs="Vrinda"/>
          <w:szCs w:val="16"/>
          <w:lang w:val="es-CR"/>
        </w:rPr>
        <w:t>i</w:t>
      </w:r>
      <w:r w:rsidRPr="00E42101">
        <w:rPr>
          <w:rFonts w:eastAsia="Arial" w:cs="Vrinda"/>
          <w:spacing w:val="-1"/>
          <w:szCs w:val="16"/>
          <w:lang w:val="es-CR"/>
        </w:rPr>
        <w:t>r</w:t>
      </w:r>
      <w:r w:rsidRPr="00E42101">
        <w:rPr>
          <w:rFonts w:eastAsia="Arial" w:cs="Vrinda"/>
          <w:szCs w:val="16"/>
          <w:lang w:val="es-CR"/>
        </w:rPr>
        <w:t>ir</w:t>
      </w:r>
      <w:r w:rsidRPr="00E42101">
        <w:rPr>
          <w:rFonts w:eastAsia="Arial" w:cs="Vrinda"/>
          <w:spacing w:val="2"/>
          <w:szCs w:val="16"/>
          <w:lang w:val="es-CR"/>
        </w:rPr>
        <w:t xml:space="preserve"> </w:t>
      </w:r>
      <w:r w:rsidRPr="00E42101">
        <w:rPr>
          <w:rFonts w:eastAsia="Arial" w:cs="Vrinda"/>
          <w:spacing w:val="1"/>
          <w:szCs w:val="16"/>
          <w:lang w:val="es-CR"/>
        </w:rPr>
        <w:t>po</w:t>
      </w:r>
      <w:r w:rsidRPr="00E42101">
        <w:rPr>
          <w:rFonts w:eastAsia="Arial" w:cs="Vrinda"/>
          <w:szCs w:val="16"/>
          <w:lang w:val="es-CR"/>
        </w:rPr>
        <w:t>r</w:t>
      </w:r>
      <w:r w:rsidRPr="00E42101">
        <w:rPr>
          <w:rFonts w:eastAsia="Arial" w:cs="Vrinda"/>
          <w:spacing w:val="3"/>
          <w:szCs w:val="16"/>
          <w:lang w:val="es-CR"/>
        </w:rPr>
        <w:t xml:space="preserve"> </w:t>
      </w:r>
      <w:r w:rsidRPr="00E42101">
        <w:rPr>
          <w:rFonts w:eastAsia="Arial" w:cs="Vrinda"/>
          <w:szCs w:val="16"/>
          <w:lang w:val="es-CR"/>
        </w:rPr>
        <w:t>su</w:t>
      </w:r>
      <w:r w:rsidRPr="00E42101">
        <w:rPr>
          <w:rFonts w:eastAsia="Arial" w:cs="Vrinda"/>
          <w:spacing w:val="4"/>
          <w:szCs w:val="16"/>
          <w:lang w:val="es-CR"/>
        </w:rPr>
        <w:t xml:space="preserve"> </w:t>
      </w:r>
      <w:r w:rsidRPr="00E42101">
        <w:rPr>
          <w:rFonts w:eastAsia="Arial" w:cs="Vrinda"/>
          <w:szCs w:val="16"/>
          <w:lang w:val="es-CR"/>
        </w:rPr>
        <w:t>c</w:t>
      </w:r>
      <w:r w:rsidRPr="00E42101">
        <w:rPr>
          <w:rFonts w:eastAsia="Arial" w:cs="Vrinda"/>
          <w:spacing w:val="1"/>
          <w:szCs w:val="16"/>
          <w:lang w:val="es-CR"/>
        </w:rPr>
        <w:t>uen</w:t>
      </w:r>
      <w:r w:rsidRPr="00E42101">
        <w:rPr>
          <w:rFonts w:eastAsia="Arial" w:cs="Vrinda"/>
          <w:szCs w:val="16"/>
          <w:lang w:val="es-CR"/>
        </w:rPr>
        <w:t xml:space="preserve">ta </w:t>
      </w:r>
      <w:r w:rsidRPr="00E42101">
        <w:rPr>
          <w:rFonts w:eastAsia="Arial" w:cs="Vrinda"/>
          <w:spacing w:val="1"/>
          <w:szCs w:val="16"/>
          <w:lang w:val="es-CR"/>
        </w:rPr>
        <w:t>a</w:t>
      </w:r>
      <w:r w:rsidRPr="00E42101">
        <w:rPr>
          <w:rFonts w:eastAsia="Arial" w:cs="Vrinda"/>
          <w:szCs w:val="16"/>
          <w:lang w:val="es-CR"/>
        </w:rPr>
        <w:t>l</w:t>
      </w:r>
      <w:r w:rsidRPr="00E42101">
        <w:rPr>
          <w:rFonts w:eastAsia="Arial" w:cs="Vrinda"/>
          <w:spacing w:val="-2"/>
          <w:szCs w:val="16"/>
          <w:lang w:val="es-CR"/>
        </w:rPr>
        <w:t>g</w:t>
      </w:r>
      <w:r w:rsidRPr="00E42101">
        <w:rPr>
          <w:rFonts w:eastAsia="Arial" w:cs="Vrinda"/>
          <w:spacing w:val="1"/>
          <w:szCs w:val="16"/>
          <w:lang w:val="es-CR"/>
        </w:rPr>
        <w:t>un</w:t>
      </w:r>
      <w:r w:rsidRPr="00E42101">
        <w:rPr>
          <w:rFonts w:eastAsia="Arial" w:cs="Vrinda"/>
          <w:spacing w:val="-1"/>
          <w:szCs w:val="16"/>
          <w:lang w:val="es-CR"/>
        </w:rPr>
        <w:t>o</w:t>
      </w:r>
      <w:r w:rsidRPr="00E42101">
        <w:rPr>
          <w:rFonts w:eastAsia="Arial" w:cs="Vrinda"/>
          <w:szCs w:val="16"/>
          <w:lang w:val="es-CR"/>
        </w:rPr>
        <w:t xml:space="preserve">s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3"/>
          <w:szCs w:val="16"/>
          <w:lang w:val="es-CR"/>
        </w:rPr>
        <w:t xml:space="preserve"> </w:t>
      </w:r>
      <w:r w:rsidRPr="00E42101">
        <w:rPr>
          <w:rFonts w:eastAsia="Arial" w:cs="Vrinda"/>
          <w:szCs w:val="16"/>
          <w:lang w:val="es-CR"/>
        </w:rPr>
        <w:t>los</w:t>
      </w:r>
      <w:r w:rsidRPr="00E42101">
        <w:rPr>
          <w:rFonts w:eastAsia="Arial" w:cs="Vrinda"/>
          <w:spacing w:val="3"/>
          <w:szCs w:val="16"/>
          <w:lang w:val="es-CR"/>
        </w:rPr>
        <w:t xml:space="preserve"> </w:t>
      </w:r>
      <w:r w:rsidRPr="00E42101">
        <w:rPr>
          <w:rFonts w:eastAsia="Arial" w:cs="Vrinda"/>
          <w:spacing w:val="1"/>
          <w:szCs w:val="16"/>
          <w:lang w:val="es-CR"/>
        </w:rPr>
        <w:t>m</w:t>
      </w:r>
      <w:r w:rsidRPr="00E42101">
        <w:rPr>
          <w:rFonts w:eastAsia="Arial" w:cs="Vrinda"/>
          <w:spacing w:val="-1"/>
          <w:szCs w:val="16"/>
          <w:lang w:val="es-CR"/>
        </w:rPr>
        <w:t>e</w:t>
      </w:r>
      <w:r w:rsidRPr="00E42101">
        <w:rPr>
          <w:rFonts w:eastAsia="Arial" w:cs="Vrinda"/>
          <w:spacing w:val="1"/>
          <w:szCs w:val="16"/>
          <w:lang w:val="es-CR"/>
        </w:rPr>
        <w:t>d</w:t>
      </w:r>
      <w:r w:rsidRPr="00E42101">
        <w:rPr>
          <w:rFonts w:eastAsia="Arial" w:cs="Vrinda"/>
          <w:szCs w:val="16"/>
          <w:lang w:val="es-CR"/>
        </w:rPr>
        <w:t>ic</w:t>
      </w:r>
      <w:r w:rsidRPr="00E42101">
        <w:rPr>
          <w:rFonts w:eastAsia="Arial" w:cs="Vrinda"/>
          <w:spacing w:val="-2"/>
          <w:szCs w:val="16"/>
          <w:lang w:val="es-CR"/>
        </w:rPr>
        <w:t>a</w:t>
      </w:r>
      <w:r w:rsidRPr="00E42101">
        <w:rPr>
          <w:rFonts w:eastAsia="Arial" w:cs="Vrinda"/>
          <w:spacing w:val="1"/>
          <w:szCs w:val="16"/>
          <w:lang w:val="es-CR"/>
        </w:rPr>
        <w:t>men</w:t>
      </w:r>
      <w:r w:rsidRPr="00E42101">
        <w:rPr>
          <w:rFonts w:eastAsia="Arial" w:cs="Vrinda"/>
          <w:spacing w:val="-2"/>
          <w:szCs w:val="16"/>
          <w:lang w:val="es-CR"/>
        </w:rPr>
        <w:t>t</w:t>
      </w:r>
      <w:r w:rsidRPr="00E42101">
        <w:rPr>
          <w:rFonts w:eastAsia="Arial" w:cs="Vrinda"/>
          <w:spacing w:val="1"/>
          <w:szCs w:val="16"/>
          <w:lang w:val="es-CR"/>
        </w:rPr>
        <w:t>o</w:t>
      </w:r>
      <w:r w:rsidRPr="00E42101">
        <w:rPr>
          <w:rFonts w:eastAsia="Arial" w:cs="Vrinda"/>
          <w:szCs w:val="16"/>
          <w:lang w:val="es-CR"/>
        </w:rPr>
        <w:t>s</w:t>
      </w:r>
      <w:r w:rsidRPr="00E42101">
        <w:rPr>
          <w:rFonts w:eastAsia="Arial" w:cs="Vrinda"/>
          <w:spacing w:val="2"/>
          <w:szCs w:val="16"/>
          <w:lang w:val="es-CR"/>
        </w:rPr>
        <w:t xml:space="preserve"> </w:t>
      </w:r>
      <w:r w:rsidRPr="00E42101">
        <w:rPr>
          <w:rFonts w:eastAsia="Arial" w:cs="Vrinda"/>
          <w:spacing w:val="1"/>
          <w:szCs w:val="16"/>
          <w:lang w:val="es-CR"/>
        </w:rPr>
        <w:t>ne</w:t>
      </w:r>
      <w:r w:rsidRPr="00E42101">
        <w:rPr>
          <w:rFonts w:eastAsia="Arial" w:cs="Vrinda"/>
          <w:szCs w:val="16"/>
          <w:lang w:val="es-CR"/>
        </w:rPr>
        <w:t>c</w:t>
      </w:r>
      <w:r w:rsidRPr="00E42101">
        <w:rPr>
          <w:rFonts w:eastAsia="Arial" w:cs="Vrinda"/>
          <w:spacing w:val="1"/>
          <w:szCs w:val="16"/>
          <w:lang w:val="es-CR"/>
        </w:rPr>
        <w:t>e</w:t>
      </w:r>
      <w:r w:rsidRPr="00E42101">
        <w:rPr>
          <w:rFonts w:eastAsia="Arial" w:cs="Vrinda"/>
          <w:spacing w:val="-2"/>
          <w:szCs w:val="16"/>
          <w:lang w:val="es-CR"/>
        </w:rPr>
        <w:t>s</w:t>
      </w:r>
      <w:r w:rsidRPr="00E42101">
        <w:rPr>
          <w:rFonts w:eastAsia="Arial" w:cs="Vrinda"/>
          <w:spacing w:val="1"/>
          <w:szCs w:val="16"/>
          <w:lang w:val="es-CR"/>
        </w:rPr>
        <w:t>a</w:t>
      </w:r>
      <w:r w:rsidRPr="00E42101">
        <w:rPr>
          <w:rFonts w:eastAsia="Arial" w:cs="Vrinda"/>
          <w:szCs w:val="16"/>
          <w:lang w:val="es-CR"/>
        </w:rPr>
        <w:t>r</w:t>
      </w:r>
      <w:r w:rsidRPr="00E42101">
        <w:rPr>
          <w:rFonts w:eastAsia="Arial" w:cs="Vrinda"/>
          <w:spacing w:val="-1"/>
          <w:szCs w:val="16"/>
          <w:lang w:val="es-CR"/>
        </w:rPr>
        <w:t>i</w:t>
      </w:r>
      <w:r w:rsidRPr="00E42101">
        <w:rPr>
          <w:rFonts w:eastAsia="Arial" w:cs="Vrinda"/>
          <w:spacing w:val="1"/>
          <w:szCs w:val="16"/>
          <w:lang w:val="es-CR"/>
        </w:rPr>
        <w:t>o</w:t>
      </w:r>
      <w:r w:rsidRPr="00E42101">
        <w:rPr>
          <w:rFonts w:eastAsia="Arial" w:cs="Vrinda"/>
          <w:szCs w:val="16"/>
          <w:lang w:val="es-CR"/>
        </w:rPr>
        <w:t>s</w:t>
      </w:r>
      <w:r w:rsidRPr="00E42101">
        <w:rPr>
          <w:rFonts w:eastAsia="Arial" w:cs="Vrinda"/>
          <w:spacing w:val="3"/>
          <w:szCs w:val="16"/>
          <w:lang w:val="es-CR"/>
        </w:rPr>
        <w:t xml:space="preserve"> </w:t>
      </w:r>
      <w:r w:rsidRPr="00E42101">
        <w:rPr>
          <w:rFonts w:eastAsia="Arial" w:cs="Vrinda"/>
          <w:spacing w:val="1"/>
          <w:szCs w:val="16"/>
          <w:lang w:val="es-CR"/>
        </w:rPr>
        <w:t>pa</w:t>
      </w:r>
      <w:r w:rsidRPr="00E42101">
        <w:rPr>
          <w:rFonts w:eastAsia="Arial" w:cs="Vrinda"/>
          <w:szCs w:val="16"/>
          <w:lang w:val="es-CR"/>
        </w:rPr>
        <w:t>ra</w:t>
      </w:r>
      <w:r w:rsidRPr="00E42101">
        <w:rPr>
          <w:rFonts w:eastAsia="Arial" w:cs="Vrinda"/>
          <w:spacing w:val="3"/>
          <w:szCs w:val="16"/>
          <w:lang w:val="es-CR"/>
        </w:rPr>
        <w:t xml:space="preserve"> </w:t>
      </w:r>
      <w:r w:rsidRPr="00E42101">
        <w:rPr>
          <w:rFonts w:eastAsia="Arial" w:cs="Vrinda"/>
          <w:szCs w:val="16"/>
          <w:lang w:val="es-CR"/>
        </w:rPr>
        <w:t>su</w:t>
      </w:r>
      <w:r w:rsidRPr="00E42101">
        <w:rPr>
          <w:rFonts w:eastAsia="Arial" w:cs="Vrinda"/>
          <w:spacing w:val="3"/>
          <w:szCs w:val="16"/>
          <w:lang w:val="es-CR"/>
        </w:rPr>
        <w:t xml:space="preserve"> </w:t>
      </w:r>
      <w:r w:rsidRPr="00E42101">
        <w:rPr>
          <w:rFonts w:eastAsia="Arial" w:cs="Vrinda"/>
          <w:szCs w:val="16"/>
          <w:lang w:val="es-CR"/>
        </w:rPr>
        <w:t>tra</w:t>
      </w:r>
      <w:r w:rsidRPr="00E42101">
        <w:rPr>
          <w:rFonts w:eastAsia="Arial" w:cs="Vrinda"/>
          <w:spacing w:val="-1"/>
          <w:szCs w:val="16"/>
          <w:lang w:val="es-CR"/>
        </w:rPr>
        <w:t>t</w:t>
      </w:r>
      <w:r w:rsidRPr="00E42101">
        <w:rPr>
          <w:rFonts w:eastAsia="Arial" w:cs="Vrinda"/>
          <w:spacing w:val="1"/>
          <w:szCs w:val="16"/>
          <w:lang w:val="es-CR"/>
        </w:rPr>
        <w:t>am</w:t>
      </w:r>
      <w:r w:rsidRPr="00E42101">
        <w:rPr>
          <w:rFonts w:eastAsia="Arial" w:cs="Vrinda"/>
          <w:szCs w:val="16"/>
          <w:lang w:val="es-CR"/>
        </w:rPr>
        <w:t>i</w:t>
      </w:r>
      <w:r w:rsidRPr="00E42101">
        <w:rPr>
          <w:rFonts w:eastAsia="Arial" w:cs="Vrinda"/>
          <w:spacing w:val="-2"/>
          <w:szCs w:val="16"/>
          <w:lang w:val="es-CR"/>
        </w:rPr>
        <w:t>e</w:t>
      </w:r>
      <w:r w:rsidRPr="00E42101">
        <w:rPr>
          <w:rFonts w:eastAsia="Arial" w:cs="Vrinda"/>
          <w:spacing w:val="1"/>
          <w:szCs w:val="16"/>
          <w:lang w:val="es-CR"/>
        </w:rPr>
        <w:t>n</w:t>
      </w:r>
      <w:r w:rsidRPr="00E42101">
        <w:rPr>
          <w:rFonts w:eastAsia="Arial" w:cs="Vrinda"/>
          <w:szCs w:val="16"/>
          <w:lang w:val="es-CR"/>
        </w:rPr>
        <w:t>t</w:t>
      </w:r>
      <w:r w:rsidRPr="00E42101">
        <w:rPr>
          <w:rFonts w:eastAsia="Arial" w:cs="Vrinda"/>
          <w:spacing w:val="6"/>
          <w:szCs w:val="16"/>
          <w:lang w:val="es-CR"/>
        </w:rPr>
        <w:t>o</w:t>
      </w:r>
      <w:r w:rsidRPr="00E42101">
        <w:rPr>
          <w:rFonts w:eastAsia="Arial" w:cs="Vrinda"/>
          <w:szCs w:val="16"/>
          <w:lang w:val="es-CR"/>
        </w:rPr>
        <w:t>, siendo que</w:t>
      </w:r>
      <w:r w:rsidRPr="00E42101">
        <w:rPr>
          <w:rFonts w:eastAsia="Arial" w:cs="Vrinda"/>
          <w:spacing w:val="2"/>
          <w:szCs w:val="16"/>
          <w:lang w:val="es-CR"/>
        </w:rPr>
        <w:t xml:space="preserve"> </w:t>
      </w:r>
      <w:r w:rsidRPr="00E42101">
        <w:rPr>
          <w:rFonts w:eastAsia="Arial" w:cs="Vrinda"/>
          <w:spacing w:val="1"/>
          <w:szCs w:val="16"/>
          <w:lang w:val="es-CR"/>
        </w:rPr>
        <w:t>a</w:t>
      </w:r>
      <w:r w:rsidRPr="00E42101">
        <w:rPr>
          <w:rFonts w:eastAsia="Arial" w:cs="Vrinda"/>
          <w:szCs w:val="16"/>
          <w:lang w:val="es-CR"/>
        </w:rPr>
        <w:t>l</w:t>
      </w:r>
      <w:r w:rsidRPr="00E42101">
        <w:rPr>
          <w:rFonts w:eastAsia="Arial" w:cs="Vrinda"/>
          <w:spacing w:val="2"/>
          <w:szCs w:val="16"/>
          <w:lang w:val="es-CR"/>
        </w:rPr>
        <w:t xml:space="preserve"> </w:t>
      </w:r>
      <w:r w:rsidRPr="00E42101">
        <w:rPr>
          <w:rFonts w:eastAsia="Arial" w:cs="Vrinda"/>
          <w:spacing w:val="1"/>
          <w:szCs w:val="16"/>
          <w:lang w:val="es-CR"/>
        </w:rPr>
        <w:t>me</w:t>
      </w:r>
      <w:r w:rsidRPr="00E42101">
        <w:rPr>
          <w:rFonts w:eastAsia="Arial" w:cs="Vrinda"/>
          <w:spacing w:val="-1"/>
          <w:szCs w:val="16"/>
          <w:lang w:val="es-CR"/>
        </w:rPr>
        <w:t>n</w:t>
      </w:r>
      <w:r w:rsidRPr="00E42101">
        <w:rPr>
          <w:rFonts w:eastAsia="Arial" w:cs="Vrinda"/>
          <w:spacing w:val="1"/>
          <w:szCs w:val="16"/>
          <w:lang w:val="es-CR"/>
        </w:rPr>
        <w:t>o</w:t>
      </w:r>
      <w:r w:rsidRPr="00E42101">
        <w:rPr>
          <w:rFonts w:eastAsia="Arial" w:cs="Vrinda"/>
          <w:szCs w:val="16"/>
          <w:lang w:val="es-CR"/>
        </w:rPr>
        <w:t>s</w:t>
      </w:r>
      <w:r w:rsidRPr="00E42101">
        <w:rPr>
          <w:rFonts w:eastAsia="Arial" w:cs="Vrinda"/>
          <w:spacing w:val="2"/>
          <w:szCs w:val="16"/>
          <w:lang w:val="es-CR"/>
        </w:rPr>
        <w:t xml:space="preserve"> </w:t>
      </w:r>
      <w:r w:rsidRPr="00E42101">
        <w:rPr>
          <w:rFonts w:eastAsia="Arial" w:cs="Vrinda"/>
          <w:szCs w:val="16"/>
          <w:lang w:val="es-CR"/>
        </w:rPr>
        <w:t>7 de las víctimas t</w:t>
      </w:r>
      <w:r w:rsidRPr="00E42101">
        <w:rPr>
          <w:rFonts w:eastAsia="Arial" w:cs="Vrinda"/>
          <w:spacing w:val="1"/>
          <w:szCs w:val="16"/>
          <w:lang w:val="es-CR"/>
        </w:rPr>
        <w:t>u</w:t>
      </w:r>
      <w:r w:rsidRPr="00E42101">
        <w:rPr>
          <w:rFonts w:eastAsia="Arial" w:cs="Vrinda"/>
          <w:spacing w:val="-2"/>
          <w:szCs w:val="16"/>
          <w:lang w:val="es-CR"/>
        </w:rPr>
        <w:t>v</w:t>
      </w:r>
      <w:r w:rsidRPr="00E42101">
        <w:rPr>
          <w:rFonts w:eastAsia="Arial" w:cs="Vrinda"/>
          <w:szCs w:val="16"/>
          <w:lang w:val="es-CR"/>
        </w:rPr>
        <w:t>ieron</w:t>
      </w:r>
      <w:r w:rsidRPr="00E42101">
        <w:rPr>
          <w:rFonts w:eastAsia="Arial" w:cs="Vrinda"/>
          <w:spacing w:val="2"/>
          <w:szCs w:val="16"/>
          <w:lang w:val="es-CR"/>
        </w:rPr>
        <w:t xml:space="preserve"> </w:t>
      </w:r>
      <w:r w:rsidRPr="00E42101">
        <w:rPr>
          <w:rFonts w:eastAsia="Arial" w:cs="Vrinda"/>
          <w:spacing w:val="-1"/>
          <w:szCs w:val="16"/>
          <w:lang w:val="es-CR"/>
        </w:rPr>
        <w:t>q</w:t>
      </w:r>
      <w:r w:rsidRPr="00E42101">
        <w:rPr>
          <w:rFonts w:eastAsia="Arial" w:cs="Vrinda"/>
          <w:spacing w:val="1"/>
          <w:szCs w:val="16"/>
          <w:lang w:val="es-CR"/>
        </w:rPr>
        <w:t>u</w:t>
      </w:r>
      <w:r w:rsidRPr="00E42101">
        <w:rPr>
          <w:rFonts w:eastAsia="Arial" w:cs="Vrinda"/>
          <w:szCs w:val="16"/>
          <w:lang w:val="es-CR"/>
        </w:rPr>
        <w:t>e</w:t>
      </w:r>
      <w:r w:rsidRPr="00E42101">
        <w:rPr>
          <w:rFonts w:eastAsia="Arial" w:cs="Vrinda"/>
          <w:spacing w:val="3"/>
          <w:szCs w:val="16"/>
          <w:lang w:val="es-CR"/>
        </w:rPr>
        <w:t xml:space="preserve"> </w:t>
      </w:r>
      <w:r w:rsidRPr="00E42101">
        <w:rPr>
          <w:rFonts w:eastAsia="Arial" w:cs="Vrinda"/>
          <w:szCs w:val="16"/>
          <w:lang w:val="es-CR"/>
        </w:rPr>
        <w:t>c</w:t>
      </w:r>
      <w:r w:rsidRPr="00E42101">
        <w:rPr>
          <w:rFonts w:eastAsia="Arial" w:cs="Vrinda"/>
          <w:spacing w:val="1"/>
          <w:szCs w:val="16"/>
          <w:lang w:val="es-CR"/>
        </w:rPr>
        <w:t>o</w:t>
      </w:r>
      <w:r w:rsidRPr="00E42101">
        <w:rPr>
          <w:rFonts w:eastAsia="Arial" w:cs="Vrinda"/>
          <w:szCs w:val="16"/>
          <w:lang w:val="es-CR"/>
        </w:rPr>
        <w:t>st</w:t>
      </w:r>
      <w:r w:rsidRPr="00E42101">
        <w:rPr>
          <w:rFonts w:eastAsia="Arial" w:cs="Vrinda"/>
          <w:spacing w:val="1"/>
          <w:szCs w:val="16"/>
          <w:lang w:val="es-CR"/>
        </w:rPr>
        <w:t>ea</w:t>
      </w:r>
      <w:r w:rsidRPr="00E42101">
        <w:rPr>
          <w:rFonts w:eastAsia="Arial" w:cs="Vrinda"/>
          <w:szCs w:val="16"/>
          <w:lang w:val="es-CR"/>
        </w:rPr>
        <w:t>rse</w:t>
      </w:r>
      <w:r w:rsidRPr="00E42101">
        <w:rPr>
          <w:rFonts w:eastAsia="Arial" w:cs="Vrinda"/>
          <w:spacing w:val="-3"/>
          <w:szCs w:val="16"/>
          <w:lang w:val="es-CR"/>
        </w:rPr>
        <w:t xml:space="preserve"> </w:t>
      </w:r>
      <w:r w:rsidRPr="00E42101">
        <w:rPr>
          <w:rFonts w:eastAsia="Arial" w:cs="Vrinda"/>
          <w:szCs w:val="16"/>
          <w:lang w:val="es-CR"/>
        </w:rPr>
        <w:t>su</w:t>
      </w:r>
      <w:r w:rsidRPr="00E42101">
        <w:rPr>
          <w:rFonts w:eastAsia="Arial" w:cs="Vrinda"/>
          <w:spacing w:val="3"/>
          <w:szCs w:val="16"/>
          <w:lang w:val="es-CR"/>
        </w:rPr>
        <w:t xml:space="preserve"> </w:t>
      </w:r>
      <w:r w:rsidRPr="00E42101">
        <w:rPr>
          <w:rFonts w:eastAsia="Arial" w:cs="Vrinda"/>
          <w:spacing w:val="1"/>
          <w:szCs w:val="16"/>
          <w:lang w:val="es-CR"/>
        </w:rPr>
        <w:t>p</w:t>
      </w:r>
      <w:r w:rsidRPr="00E42101">
        <w:rPr>
          <w:rFonts w:eastAsia="Arial" w:cs="Vrinda"/>
          <w:szCs w:val="16"/>
          <w:lang w:val="es-CR"/>
        </w:rPr>
        <w:t>ro</w:t>
      </w:r>
      <w:r w:rsidRPr="00E42101">
        <w:rPr>
          <w:rFonts w:eastAsia="Arial" w:cs="Vrinda"/>
          <w:spacing w:val="1"/>
          <w:szCs w:val="16"/>
          <w:lang w:val="es-CR"/>
        </w:rPr>
        <w:t>p</w:t>
      </w:r>
      <w:r w:rsidRPr="00E42101">
        <w:rPr>
          <w:rFonts w:eastAsia="Arial" w:cs="Vrinda"/>
          <w:szCs w:val="16"/>
          <w:lang w:val="es-CR"/>
        </w:rPr>
        <w:t>io</w:t>
      </w:r>
      <w:r w:rsidRPr="00E42101">
        <w:rPr>
          <w:rFonts w:eastAsia="Arial" w:cs="Vrinda"/>
          <w:spacing w:val="3"/>
          <w:szCs w:val="16"/>
          <w:lang w:val="es-CR"/>
        </w:rPr>
        <w:t xml:space="preserve"> </w:t>
      </w:r>
      <w:r w:rsidRPr="00E42101">
        <w:rPr>
          <w:rFonts w:eastAsia="Arial" w:cs="Vrinda"/>
          <w:szCs w:val="16"/>
          <w:lang w:val="es-CR"/>
        </w:rPr>
        <w:t>tra</w:t>
      </w:r>
      <w:r w:rsidRPr="00E42101">
        <w:rPr>
          <w:rFonts w:eastAsia="Arial" w:cs="Vrinda"/>
          <w:spacing w:val="1"/>
          <w:szCs w:val="16"/>
          <w:lang w:val="es-CR"/>
        </w:rPr>
        <w:t>t</w:t>
      </w:r>
      <w:r w:rsidRPr="00E42101">
        <w:rPr>
          <w:rFonts w:eastAsia="Arial" w:cs="Vrinda"/>
          <w:spacing w:val="-1"/>
          <w:szCs w:val="16"/>
          <w:lang w:val="es-CR"/>
        </w:rPr>
        <w:t>a</w:t>
      </w:r>
      <w:r w:rsidRPr="00E42101">
        <w:rPr>
          <w:rFonts w:eastAsia="Arial" w:cs="Vrinda"/>
          <w:spacing w:val="1"/>
          <w:szCs w:val="16"/>
          <w:lang w:val="es-CR"/>
        </w:rPr>
        <w:t>m</w:t>
      </w:r>
      <w:r w:rsidRPr="00E42101">
        <w:rPr>
          <w:rFonts w:eastAsia="Arial" w:cs="Vrinda"/>
          <w:szCs w:val="16"/>
          <w:lang w:val="es-CR"/>
        </w:rPr>
        <w:t>i</w:t>
      </w:r>
      <w:r w:rsidRPr="00E42101">
        <w:rPr>
          <w:rFonts w:eastAsia="Arial" w:cs="Vrinda"/>
          <w:spacing w:val="-2"/>
          <w:szCs w:val="16"/>
          <w:lang w:val="es-CR"/>
        </w:rPr>
        <w:t>e</w:t>
      </w:r>
      <w:r w:rsidRPr="00E42101">
        <w:rPr>
          <w:rFonts w:eastAsia="Arial" w:cs="Vrinda"/>
          <w:spacing w:val="1"/>
          <w:szCs w:val="16"/>
          <w:lang w:val="es-CR"/>
        </w:rPr>
        <w:t>n</w:t>
      </w:r>
      <w:r w:rsidRPr="00E42101">
        <w:rPr>
          <w:rFonts w:eastAsia="Arial" w:cs="Vrinda"/>
          <w:szCs w:val="16"/>
          <w:lang w:val="es-CR"/>
        </w:rPr>
        <w:t>to</w:t>
      </w:r>
      <w:r w:rsidRPr="00E42101">
        <w:rPr>
          <w:rFonts w:eastAsia="Arial" w:cs="Vrinda"/>
          <w:spacing w:val="-4"/>
          <w:szCs w:val="16"/>
          <w:lang w:val="es-CR"/>
        </w:rPr>
        <w:t xml:space="preserve"> </w:t>
      </w:r>
      <w:r w:rsidRPr="00E42101">
        <w:rPr>
          <w:rFonts w:eastAsia="Arial" w:cs="Vrinda"/>
          <w:spacing w:val="1"/>
          <w:szCs w:val="16"/>
          <w:lang w:val="es-CR"/>
        </w:rPr>
        <w:t>pa</w:t>
      </w:r>
      <w:r w:rsidRPr="00E42101">
        <w:rPr>
          <w:rFonts w:eastAsia="Arial" w:cs="Vrinda"/>
          <w:szCs w:val="16"/>
          <w:lang w:val="es-CR"/>
        </w:rPr>
        <w:t>ra</w:t>
      </w:r>
      <w:r w:rsidRPr="00E42101">
        <w:rPr>
          <w:rFonts w:eastAsia="Arial" w:cs="Vrinda"/>
          <w:spacing w:val="3"/>
          <w:szCs w:val="16"/>
          <w:lang w:val="es-CR"/>
        </w:rPr>
        <w:t xml:space="preserve"> </w:t>
      </w:r>
      <w:r w:rsidRPr="00E42101">
        <w:rPr>
          <w:rFonts w:eastAsia="Arial" w:cs="Vrinda"/>
          <w:szCs w:val="16"/>
          <w:lang w:val="es-CR"/>
        </w:rPr>
        <w:t>las</w:t>
      </w:r>
      <w:r w:rsidRPr="00E42101">
        <w:rPr>
          <w:rFonts w:eastAsia="Arial" w:cs="Vrinda"/>
          <w:spacing w:val="3"/>
          <w:szCs w:val="16"/>
          <w:lang w:val="es-CR"/>
        </w:rPr>
        <w:t xml:space="preserve"> </w:t>
      </w:r>
      <w:r w:rsidRPr="00E42101">
        <w:rPr>
          <w:rFonts w:eastAsia="Arial" w:cs="Vrinda"/>
          <w:spacing w:val="1"/>
          <w:szCs w:val="16"/>
          <w:lang w:val="es-CR"/>
        </w:rPr>
        <w:t>e</w:t>
      </w:r>
      <w:r w:rsidRPr="00E42101">
        <w:rPr>
          <w:rFonts w:eastAsia="Arial" w:cs="Vrinda"/>
          <w:spacing w:val="-1"/>
          <w:szCs w:val="16"/>
          <w:lang w:val="es-CR"/>
        </w:rPr>
        <w:t>n</w:t>
      </w:r>
      <w:r w:rsidRPr="00E42101">
        <w:rPr>
          <w:rFonts w:eastAsia="Arial" w:cs="Vrinda"/>
          <w:szCs w:val="16"/>
          <w:lang w:val="es-CR"/>
        </w:rPr>
        <w:t>f</w:t>
      </w:r>
      <w:r w:rsidRPr="00E42101">
        <w:rPr>
          <w:rFonts w:eastAsia="Arial" w:cs="Vrinda"/>
          <w:spacing w:val="1"/>
          <w:szCs w:val="16"/>
          <w:lang w:val="es-CR"/>
        </w:rPr>
        <w:t>e</w:t>
      </w:r>
      <w:r w:rsidRPr="00E42101">
        <w:rPr>
          <w:rFonts w:eastAsia="Arial" w:cs="Vrinda"/>
          <w:szCs w:val="16"/>
          <w:lang w:val="es-CR"/>
        </w:rPr>
        <w:t>r</w:t>
      </w:r>
      <w:r w:rsidRPr="00E42101">
        <w:rPr>
          <w:rFonts w:eastAsia="Arial" w:cs="Vrinda"/>
          <w:spacing w:val="-1"/>
          <w:szCs w:val="16"/>
          <w:lang w:val="es-CR"/>
        </w:rPr>
        <w:t>m</w:t>
      </w:r>
      <w:r w:rsidRPr="00E42101">
        <w:rPr>
          <w:rFonts w:eastAsia="Arial" w:cs="Vrinda"/>
          <w:spacing w:val="1"/>
          <w:szCs w:val="16"/>
          <w:lang w:val="es-CR"/>
        </w:rPr>
        <w:t>ed</w:t>
      </w:r>
      <w:r w:rsidRPr="00E42101">
        <w:rPr>
          <w:rFonts w:eastAsia="Arial" w:cs="Vrinda"/>
          <w:spacing w:val="-1"/>
          <w:szCs w:val="16"/>
          <w:lang w:val="es-CR"/>
        </w:rPr>
        <w:t>a</w:t>
      </w:r>
      <w:r w:rsidRPr="00E42101">
        <w:rPr>
          <w:rFonts w:eastAsia="Arial" w:cs="Vrinda"/>
          <w:spacing w:val="1"/>
          <w:szCs w:val="16"/>
          <w:lang w:val="es-CR"/>
        </w:rPr>
        <w:t>d</w:t>
      </w:r>
      <w:r w:rsidRPr="00E42101">
        <w:rPr>
          <w:rFonts w:eastAsia="Arial" w:cs="Vrinda"/>
          <w:spacing w:val="-1"/>
          <w:szCs w:val="16"/>
          <w:lang w:val="es-CR"/>
        </w:rPr>
        <w:t>e</w:t>
      </w:r>
      <w:r w:rsidRPr="00E42101">
        <w:rPr>
          <w:rFonts w:eastAsia="Arial" w:cs="Vrinda"/>
          <w:szCs w:val="16"/>
          <w:lang w:val="es-CR"/>
        </w:rPr>
        <w:t>s</w:t>
      </w:r>
      <w:r w:rsidRPr="00E42101">
        <w:rPr>
          <w:rFonts w:eastAsia="Arial" w:cs="Vrinda"/>
          <w:spacing w:val="1"/>
          <w:szCs w:val="16"/>
          <w:lang w:val="es-CR"/>
        </w:rPr>
        <w:t xml:space="preserve"> </w:t>
      </w:r>
      <w:r w:rsidRPr="00E42101">
        <w:rPr>
          <w:rFonts w:eastAsia="Arial" w:cs="Vrinda"/>
          <w:szCs w:val="16"/>
          <w:lang w:val="es-CR"/>
        </w:rPr>
        <w:t>vinc</w:t>
      </w:r>
      <w:r w:rsidRPr="00E42101">
        <w:rPr>
          <w:rFonts w:eastAsia="Arial" w:cs="Vrinda"/>
          <w:spacing w:val="1"/>
          <w:szCs w:val="16"/>
          <w:lang w:val="es-CR"/>
        </w:rPr>
        <w:t>u</w:t>
      </w:r>
      <w:r w:rsidRPr="00E42101">
        <w:rPr>
          <w:rFonts w:eastAsia="Arial" w:cs="Vrinda"/>
          <w:szCs w:val="16"/>
          <w:lang w:val="es-CR"/>
        </w:rPr>
        <w:t>la</w:t>
      </w:r>
      <w:r w:rsidRPr="00E42101">
        <w:rPr>
          <w:rFonts w:eastAsia="Arial" w:cs="Vrinda"/>
          <w:spacing w:val="1"/>
          <w:szCs w:val="16"/>
          <w:lang w:val="es-CR"/>
        </w:rPr>
        <w:t>d</w:t>
      </w:r>
      <w:r w:rsidRPr="00E42101">
        <w:rPr>
          <w:rFonts w:eastAsia="Arial" w:cs="Vrinda"/>
          <w:spacing w:val="-1"/>
          <w:szCs w:val="16"/>
          <w:lang w:val="es-CR"/>
        </w:rPr>
        <w:t>a</w:t>
      </w:r>
      <w:r w:rsidRPr="00E42101">
        <w:rPr>
          <w:rFonts w:eastAsia="Arial" w:cs="Vrinda"/>
          <w:szCs w:val="16"/>
          <w:lang w:val="es-CR"/>
        </w:rPr>
        <w:t xml:space="preserve">s </w:t>
      </w:r>
      <w:r w:rsidRPr="00E42101">
        <w:rPr>
          <w:rFonts w:eastAsia="Arial" w:cs="Vrinda"/>
          <w:spacing w:val="1"/>
          <w:szCs w:val="16"/>
          <w:lang w:val="es-CR"/>
        </w:rPr>
        <w:t>a</w:t>
      </w:r>
      <w:r w:rsidRPr="00E42101">
        <w:rPr>
          <w:rFonts w:eastAsia="Arial" w:cs="Vrinda"/>
          <w:szCs w:val="16"/>
          <w:lang w:val="es-CR"/>
        </w:rPr>
        <w:t>l V</w:t>
      </w:r>
      <w:r w:rsidRPr="00E42101">
        <w:rPr>
          <w:rFonts w:eastAsia="Arial" w:cs="Vrinda"/>
          <w:spacing w:val="1"/>
          <w:szCs w:val="16"/>
          <w:lang w:val="es-CR"/>
        </w:rPr>
        <w:t>I</w:t>
      </w:r>
      <w:r w:rsidRPr="00E42101">
        <w:rPr>
          <w:rFonts w:eastAsia="Arial" w:cs="Vrinda"/>
          <w:szCs w:val="16"/>
          <w:lang w:val="es-CR"/>
        </w:rPr>
        <w:t>H/S</w:t>
      </w:r>
      <w:r w:rsidRPr="00E42101">
        <w:rPr>
          <w:rFonts w:eastAsia="Arial" w:cs="Vrinda"/>
          <w:spacing w:val="1"/>
          <w:szCs w:val="16"/>
          <w:lang w:val="es-CR"/>
        </w:rPr>
        <w:t>I</w:t>
      </w:r>
      <w:r w:rsidRPr="00E42101">
        <w:rPr>
          <w:rFonts w:eastAsia="Arial" w:cs="Vrinda"/>
          <w:szCs w:val="16"/>
          <w:lang w:val="es-CR"/>
        </w:rPr>
        <w:t>DA</w:t>
      </w:r>
      <w:r w:rsidRPr="00E42101">
        <w:rPr>
          <w:rFonts w:eastAsia="Arial" w:cs="Vrinda"/>
          <w:spacing w:val="-9"/>
          <w:szCs w:val="16"/>
          <w:lang w:val="es-CR"/>
        </w:rPr>
        <w:t xml:space="preserve"> </w:t>
      </w:r>
      <w:r w:rsidRPr="00E42101">
        <w:rPr>
          <w:rFonts w:eastAsia="Arial" w:cs="Vrinda"/>
          <w:spacing w:val="1"/>
          <w:szCs w:val="16"/>
          <w:lang w:val="es-CR"/>
        </w:rPr>
        <w:t>po</w:t>
      </w:r>
      <w:r w:rsidRPr="00E42101">
        <w:rPr>
          <w:rFonts w:eastAsia="Arial" w:cs="Vrinda"/>
          <w:szCs w:val="16"/>
          <w:lang w:val="es-CR"/>
        </w:rPr>
        <w:t xml:space="preserve">r </w:t>
      </w:r>
      <w:r w:rsidRPr="00E42101">
        <w:rPr>
          <w:rFonts w:eastAsia="Arial" w:cs="Vrinda"/>
          <w:spacing w:val="-3"/>
          <w:szCs w:val="16"/>
          <w:lang w:val="es-CR"/>
        </w:rPr>
        <w:t>l</w:t>
      </w:r>
      <w:r w:rsidRPr="00E42101">
        <w:rPr>
          <w:rFonts w:eastAsia="Arial" w:cs="Vrinda"/>
          <w:spacing w:val="1"/>
          <w:szCs w:val="16"/>
          <w:lang w:val="es-CR"/>
        </w:rPr>
        <w:t>a</w:t>
      </w:r>
      <w:r w:rsidRPr="00E42101">
        <w:rPr>
          <w:rFonts w:eastAsia="Arial" w:cs="Vrinda"/>
          <w:szCs w:val="16"/>
          <w:lang w:val="es-CR"/>
        </w:rPr>
        <w:t xml:space="preserve">s </w:t>
      </w:r>
      <w:r w:rsidRPr="00E42101">
        <w:rPr>
          <w:rFonts w:eastAsia="Arial" w:cs="Vrinda"/>
          <w:spacing w:val="-1"/>
          <w:szCs w:val="16"/>
          <w:lang w:val="es-CR"/>
        </w:rPr>
        <w:t>q</w:t>
      </w:r>
      <w:r w:rsidRPr="00E42101">
        <w:rPr>
          <w:rFonts w:eastAsia="Arial" w:cs="Vrinda"/>
          <w:spacing w:val="1"/>
          <w:szCs w:val="16"/>
          <w:lang w:val="es-CR"/>
        </w:rPr>
        <w:t>u</w:t>
      </w:r>
      <w:r w:rsidRPr="00E42101">
        <w:rPr>
          <w:rFonts w:eastAsia="Arial" w:cs="Vrinda"/>
          <w:szCs w:val="16"/>
          <w:lang w:val="es-CR"/>
        </w:rPr>
        <w:t>e</w:t>
      </w:r>
      <w:r w:rsidRPr="00E42101">
        <w:rPr>
          <w:rFonts w:eastAsia="Arial" w:cs="Vrinda"/>
          <w:spacing w:val="1"/>
          <w:szCs w:val="16"/>
          <w:lang w:val="es-CR"/>
        </w:rPr>
        <w:t xml:space="preserve"> </w:t>
      </w:r>
      <w:r w:rsidRPr="00E42101">
        <w:rPr>
          <w:rFonts w:eastAsia="Arial" w:cs="Vrinda"/>
          <w:szCs w:val="16"/>
          <w:lang w:val="es-CR"/>
        </w:rPr>
        <w:t>res</w:t>
      </w:r>
      <w:r w:rsidRPr="00E42101">
        <w:rPr>
          <w:rFonts w:eastAsia="Arial" w:cs="Vrinda"/>
          <w:spacing w:val="1"/>
          <w:szCs w:val="16"/>
          <w:lang w:val="es-CR"/>
        </w:rPr>
        <w:t>u</w:t>
      </w:r>
      <w:r w:rsidRPr="00E42101">
        <w:rPr>
          <w:rFonts w:eastAsia="Arial" w:cs="Vrinda"/>
          <w:szCs w:val="16"/>
          <w:lang w:val="es-CR"/>
        </w:rPr>
        <w:t>lt</w:t>
      </w:r>
      <w:r w:rsidRPr="00E42101">
        <w:rPr>
          <w:rFonts w:eastAsia="Arial" w:cs="Vrinda"/>
          <w:spacing w:val="1"/>
          <w:szCs w:val="16"/>
          <w:lang w:val="es-CR"/>
        </w:rPr>
        <w:t>a</w:t>
      </w:r>
      <w:r w:rsidRPr="00E42101">
        <w:rPr>
          <w:rFonts w:eastAsia="Arial" w:cs="Vrinda"/>
          <w:spacing w:val="-3"/>
          <w:szCs w:val="16"/>
          <w:lang w:val="es-CR"/>
        </w:rPr>
        <w:t>r</w:t>
      </w:r>
      <w:r w:rsidRPr="00E42101">
        <w:rPr>
          <w:rFonts w:eastAsia="Arial" w:cs="Vrinda"/>
          <w:spacing w:val="1"/>
          <w:szCs w:val="16"/>
          <w:lang w:val="es-CR"/>
        </w:rPr>
        <w:t>o</w:t>
      </w:r>
      <w:r w:rsidRPr="00E42101">
        <w:rPr>
          <w:rFonts w:eastAsia="Arial" w:cs="Vrinda"/>
          <w:szCs w:val="16"/>
          <w:lang w:val="es-CR"/>
        </w:rPr>
        <w:t>n</w:t>
      </w:r>
      <w:r w:rsidRPr="00E42101">
        <w:rPr>
          <w:rFonts w:eastAsia="Arial" w:cs="Vrinda"/>
          <w:spacing w:val="1"/>
          <w:szCs w:val="16"/>
          <w:lang w:val="es-CR"/>
        </w:rPr>
        <w:t xml:space="preserve"> </w:t>
      </w:r>
      <w:r w:rsidRPr="00E42101">
        <w:rPr>
          <w:rFonts w:eastAsia="Arial" w:cs="Vrinda"/>
          <w:spacing w:val="-1"/>
          <w:szCs w:val="16"/>
          <w:lang w:val="es-CR"/>
        </w:rPr>
        <w:t>a</w:t>
      </w:r>
      <w:r w:rsidRPr="00E42101">
        <w:rPr>
          <w:rFonts w:eastAsia="Arial" w:cs="Vrinda"/>
          <w:szCs w:val="16"/>
          <w:lang w:val="es-CR"/>
        </w:rPr>
        <w:t>f</w:t>
      </w:r>
      <w:r w:rsidRPr="00E42101">
        <w:rPr>
          <w:rFonts w:eastAsia="Arial" w:cs="Vrinda"/>
          <w:spacing w:val="1"/>
          <w:szCs w:val="16"/>
          <w:lang w:val="es-CR"/>
        </w:rPr>
        <w:t>e</w:t>
      </w:r>
      <w:r w:rsidRPr="00E42101">
        <w:rPr>
          <w:rFonts w:eastAsia="Arial" w:cs="Vrinda"/>
          <w:szCs w:val="16"/>
          <w:lang w:val="es-CR"/>
        </w:rPr>
        <w:t>c</w:t>
      </w:r>
      <w:r w:rsidRPr="00E42101">
        <w:rPr>
          <w:rFonts w:eastAsia="Arial" w:cs="Vrinda"/>
          <w:spacing w:val="-2"/>
          <w:szCs w:val="16"/>
          <w:lang w:val="es-CR"/>
        </w:rPr>
        <w:t>t</w:t>
      </w:r>
      <w:r w:rsidRPr="00E42101">
        <w:rPr>
          <w:rFonts w:eastAsia="Arial" w:cs="Vrinda"/>
          <w:spacing w:val="1"/>
          <w:szCs w:val="16"/>
          <w:lang w:val="es-CR"/>
        </w:rPr>
        <w:t>ado</w:t>
      </w:r>
      <w:r w:rsidRPr="00E42101">
        <w:rPr>
          <w:rFonts w:eastAsia="Arial" w:cs="Vrinda"/>
          <w:spacing w:val="2"/>
          <w:szCs w:val="16"/>
          <w:lang w:val="es-CR"/>
        </w:rPr>
        <w:t>s</w:t>
      </w:r>
      <w:r w:rsidRPr="00E42101">
        <w:rPr>
          <w:rFonts w:eastAsia="Arial" w:cs="Vrinda"/>
          <w:szCs w:val="16"/>
          <w:lang w:val="es-CR"/>
        </w:rPr>
        <w:t xml:space="preserve">. Además, manifestaron que, </w:t>
      </w:r>
      <w:r w:rsidRPr="00E42101">
        <w:rPr>
          <w:rFonts w:eastAsia="Arial" w:cs="Vrinda"/>
          <w:spacing w:val="1"/>
          <w:szCs w:val="16"/>
          <w:lang w:val="es-CR"/>
        </w:rPr>
        <w:t>deb</w:t>
      </w:r>
      <w:r w:rsidRPr="00E42101">
        <w:rPr>
          <w:rFonts w:eastAsia="Arial" w:cs="Vrinda"/>
          <w:spacing w:val="-3"/>
          <w:szCs w:val="16"/>
          <w:lang w:val="es-CR"/>
        </w:rPr>
        <w:t>i</w:t>
      </w:r>
      <w:r w:rsidRPr="00E42101">
        <w:rPr>
          <w:rFonts w:eastAsia="Arial" w:cs="Vrinda"/>
          <w:spacing w:val="1"/>
          <w:szCs w:val="16"/>
          <w:lang w:val="es-CR"/>
        </w:rPr>
        <w:t>d</w:t>
      </w:r>
      <w:r w:rsidRPr="00E42101">
        <w:rPr>
          <w:rFonts w:eastAsia="Arial" w:cs="Vrinda"/>
          <w:szCs w:val="16"/>
          <w:lang w:val="es-CR"/>
        </w:rPr>
        <w:t>o</w:t>
      </w:r>
      <w:r w:rsidRPr="00E42101">
        <w:rPr>
          <w:rFonts w:eastAsia="Arial" w:cs="Vrinda"/>
          <w:spacing w:val="-1"/>
          <w:szCs w:val="16"/>
          <w:lang w:val="es-CR"/>
        </w:rPr>
        <w:t xml:space="preserve"> </w:t>
      </w:r>
      <w:r w:rsidRPr="00E42101">
        <w:rPr>
          <w:rFonts w:eastAsia="Arial" w:cs="Vrinda"/>
          <w:szCs w:val="16"/>
          <w:lang w:val="es-CR"/>
        </w:rPr>
        <w:t>a</w:t>
      </w:r>
      <w:r w:rsidRPr="00E42101">
        <w:rPr>
          <w:rFonts w:eastAsia="Arial" w:cs="Vrinda"/>
          <w:spacing w:val="1"/>
          <w:szCs w:val="16"/>
          <w:lang w:val="es-CR"/>
        </w:rPr>
        <w:t xml:space="preserve"> </w:t>
      </w:r>
      <w:r w:rsidRPr="00E42101">
        <w:rPr>
          <w:rFonts w:eastAsia="Arial" w:cs="Vrinda"/>
          <w:szCs w:val="16"/>
          <w:lang w:val="es-CR"/>
        </w:rPr>
        <w:t xml:space="preserve">la </w:t>
      </w:r>
      <w:r w:rsidRPr="00E42101">
        <w:rPr>
          <w:rFonts w:eastAsia="Arial" w:cs="Vrinda"/>
          <w:spacing w:val="1"/>
          <w:szCs w:val="16"/>
          <w:lang w:val="es-CR"/>
        </w:rPr>
        <w:t>d</w:t>
      </w:r>
      <w:r w:rsidRPr="00E42101">
        <w:rPr>
          <w:rFonts w:eastAsia="Arial" w:cs="Vrinda"/>
          <w:szCs w:val="16"/>
          <w:lang w:val="es-CR"/>
        </w:rPr>
        <w:t>ist</w:t>
      </w:r>
      <w:r w:rsidRPr="00E42101">
        <w:rPr>
          <w:rFonts w:eastAsia="Arial" w:cs="Vrinda"/>
          <w:spacing w:val="1"/>
          <w:szCs w:val="16"/>
          <w:lang w:val="es-CR"/>
        </w:rPr>
        <w:t>an</w:t>
      </w:r>
      <w:r w:rsidRPr="00E42101">
        <w:rPr>
          <w:rFonts w:eastAsia="Arial" w:cs="Vrinda"/>
          <w:szCs w:val="16"/>
          <w:lang w:val="es-CR"/>
        </w:rPr>
        <w:t xml:space="preserve">cia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1"/>
          <w:szCs w:val="16"/>
          <w:lang w:val="es-CR"/>
        </w:rPr>
        <w:t xml:space="preserve"> </w:t>
      </w:r>
      <w:r w:rsidRPr="00E42101">
        <w:rPr>
          <w:rFonts w:eastAsia="Arial" w:cs="Vrinda"/>
          <w:szCs w:val="16"/>
          <w:lang w:val="es-CR"/>
        </w:rPr>
        <w:t>l</w:t>
      </w:r>
      <w:r w:rsidRPr="00E42101">
        <w:rPr>
          <w:rFonts w:eastAsia="Arial" w:cs="Vrinda"/>
          <w:spacing w:val="1"/>
          <w:szCs w:val="16"/>
          <w:lang w:val="es-CR"/>
        </w:rPr>
        <w:t>o</w:t>
      </w:r>
      <w:r w:rsidRPr="00E42101">
        <w:rPr>
          <w:rFonts w:eastAsia="Arial" w:cs="Vrinda"/>
          <w:szCs w:val="16"/>
          <w:lang w:val="es-CR"/>
        </w:rPr>
        <w:t>s c</w:t>
      </w:r>
      <w:r w:rsidRPr="00E42101">
        <w:rPr>
          <w:rFonts w:eastAsia="Arial" w:cs="Vrinda"/>
          <w:spacing w:val="1"/>
          <w:szCs w:val="16"/>
          <w:lang w:val="es-CR"/>
        </w:rPr>
        <w:t>en</w:t>
      </w:r>
      <w:r w:rsidRPr="00E42101">
        <w:rPr>
          <w:rFonts w:eastAsia="Arial" w:cs="Vrinda"/>
          <w:szCs w:val="16"/>
          <w:lang w:val="es-CR"/>
        </w:rPr>
        <w:t>tros</w:t>
      </w:r>
      <w:r w:rsidRPr="00E42101">
        <w:rPr>
          <w:rFonts w:eastAsia="Arial" w:cs="Vrinda"/>
          <w:spacing w:val="-3"/>
          <w:szCs w:val="16"/>
          <w:lang w:val="es-CR"/>
        </w:rPr>
        <w:t xml:space="preserve">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1"/>
          <w:szCs w:val="16"/>
          <w:lang w:val="es-CR"/>
        </w:rPr>
        <w:t xml:space="preserve"> a</w:t>
      </w:r>
      <w:r w:rsidRPr="00E42101">
        <w:rPr>
          <w:rFonts w:eastAsia="Arial" w:cs="Vrinda"/>
          <w:spacing w:val="-2"/>
          <w:szCs w:val="16"/>
          <w:lang w:val="es-CR"/>
        </w:rPr>
        <w:t>t</w:t>
      </w:r>
      <w:r w:rsidRPr="00E42101">
        <w:rPr>
          <w:rFonts w:eastAsia="Arial" w:cs="Vrinda"/>
          <w:spacing w:val="1"/>
          <w:szCs w:val="16"/>
          <w:lang w:val="es-CR"/>
        </w:rPr>
        <w:t>en</w:t>
      </w:r>
      <w:r w:rsidRPr="00E42101">
        <w:rPr>
          <w:rFonts w:eastAsia="Arial" w:cs="Vrinda"/>
          <w:szCs w:val="16"/>
          <w:lang w:val="es-CR"/>
        </w:rPr>
        <w:t>ci</w:t>
      </w:r>
      <w:r w:rsidRPr="00E42101">
        <w:rPr>
          <w:rFonts w:eastAsia="Arial" w:cs="Vrinda"/>
          <w:spacing w:val="-2"/>
          <w:szCs w:val="16"/>
          <w:lang w:val="es-CR"/>
        </w:rPr>
        <w:t>ó</w:t>
      </w:r>
      <w:r w:rsidRPr="00E42101">
        <w:rPr>
          <w:rFonts w:eastAsia="Arial" w:cs="Vrinda"/>
          <w:szCs w:val="16"/>
          <w:lang w:val="es-CR"/>
        </w:rPr>
        <w:t xml:space="preserve">n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1"/>
          <w:szCs w:val="16"/>
          <w:lang w:val="es-CR"/>
        </w:rPr>
        <w:t xml:space="preserve"> </w:t>
      </w:r>
      <w:r w:rsidRPr="00E42101">
        <w:rPr>
          <w:rFonts w:eastAsia="Arial" w:cs="Vrinda"/>
          <w:szCs w:val="16"/>
          <w:lang w:val="es-CR"/>
        </w:rPr>
        <w:t>l</w:t>
      </w:r>
      <w:r w:rsidRPr="00E42101">
        <w:rPr>
          <w:rFonts w:eastAsia="Arial" w:cs="Vrinda"/>
          <w:spacing w:val="-2"/>
          <w:szCs w:val="16"/>
          <w:lang w:val="es-CR"/>
        </w:rPr>
        <w:t>o</w:t>
      </w:r>
      <w:r w:rsidRPr="00E42101">
        <w:rPr>
          <w:rFonts w:eastAsia="Arial" w:cs="Vrinda"/>
          <w:szCs w:val="16"/>
          <w:lang w:val="es-CR"/>
        </w:rPr>
        <w:t xml:space="preserve">s </w:t>
      </w:r>
      <w:r w:rsidRPr="00E42101">
        <w:rPr>
          <w:rFonts w:eastAsia="Arial" w:cs="Vrinda"/>
          <w:spacing w:val="1"/>
          <w:szCs w:val="16"/>
          <w:lang w:val="es-CR"/>
        </w:rPr>
        <w:t>dom</w:t>
      </w:r>
      <w:r w:rsidRPr="00E42101">
        <w:rPr>
          <w:rFonts w:eastAsia="Arial" w:cs="Vrinda"/>
          <w:szCs w:val="16"/>
          <w:lang w:val="es-CR"/>
        </w:rPr>
        <w:t>ic</w:t>
      </w:r>
      <w:r w:rsidRPr="00E42101">
        <w:rPr>
          <w:rFonts w:eastAsia="Arial" w:cs="Vrinda"/>
          <w:spacing w:val="-1"/>
          <w:szCs w:val="16"/>
          <w:lang w:val="es-CR"/>
        </w:rPr>
        <w:t>i</w:t>
      </w:r>
      <w:r w:rsidRPr="00E42101">
        <w:rPr>
          <w:rFonts w:eastAsia="Arial" w:cs="Vrinda"/>
          <w:szCs w:val="16"/>
          <w:lang w:val="es-CR"/>
        </w:rPr>
        <w:t>l</w:t>
      </w:r>
      <w:r w:rsidRPr="00E42101">
        <w:rPr>
          <w:rFonts w:eastAsia="Arial" w:cs="Vrinda"/>
          <w:spacing w:val="-1"/>
          <w:szCs w:val="16"/>
          <w:lang w:val="es-CR"/>
        </w:rPr>
        <w:t>i</w:t>
      </w:r>
      <w:r w:rsidRPr="00E42101">
        <w:rPr>
          <w:rFonts w:eastAsia="Arial" w:cs="Vrinda"/>
          <w:spacing w:val="1"/>
          <w:szCs w:val="16"/>
          <w:lang w:val="es-CR"/>
        </w:rPr>
        <w:t>o</w:t>
      </w:r>
      <w:r w:rsidRPr="00E42101">
        <w:rPr>
          <w:rFonts w:eastAsia="Arial" w:cs="Vrinda"/>
          <w:szCs w:val="16"/>
          <w:lang w:val="es-CR"/>
        </w:rPr>
        <w:t xml:space="preserve">s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6"/>
          <w:szCs w:val="16"/>
          <w:lang w:val="es-CR"/>
        </w:rPr>
        <w:t xml:space="preserve"> </w:t>
      </w:r>
      <w:r w:rsidRPr="00E42101">
        <w:rPr>
          <w:rFonts w:eastAsia="Arial" w:cs="Vrinda"/>
          <w:szCs w:val="16"/>
          <w:lang w:val="es-CR"/>
        </w:rPr>
        <w:t>las</w:t>
      </w:r>
      <w:r w:rsidRPr="00E42101">
        <w:rPr>
          <w:rFonts w:eastAsia="Arial" w:cs="Vrinda"/>
          <w:spacing w:val="4"/>
          <w:szCs w:val="16"/>
          <w:lang w:val="es-CR"/>
        </w:rPr>
        <w:t xml:space="preserve"> </w:t>
      </w:r>
      <w:r w:rsidRPr="00E42101">
        <w:rPr>
          <w:rFonts w:eastAsia="Arial" w:cs="Vrinda"/>
          <w:spacing w:val="-2"/>
          <w:szCs w:val="16"/>
          <w:lang w:val="es-CR"/>
        </w:rPr>
        <w:t>ví</w:t>
      </w:r>
      <w:r w:rsidRPr="00E42101">
        <w:rPr>
          <w:rFonts w:eastAsia="Arial" w:cs="Vrinda"/>
          <w:szCs w:val="16"/>
          <w:lang w:val="es-CR"/>
        </w:rPr>
        <w:t>cti</w:t>
      </w:r>
      <w:r w:rsidRPr="00E42101">
        <w:rPr>
          <w:rFonts w:eastAsia="Arial" w:cs="Vrinda"/>
          <w:spacing w:val="1"/>
          <w:szCs w:val="16"/>
          <w:lang w:val="es-CR"/>
        </w:rPr>
        <w:t>ma</w:t>
      </w:r>
      <w:r w:rsidRPr="00E42101">
        <w:rPr>
          <w:rFonts w:eastAsia="Arial" w:cs="Vrinda"/>
          <w:szCs w:val="16"/>
          <w:lang w:val="es-CR"/>
        </w:rPr>
        <w:t>s,</w:t>
      </w:r>
      <w:r w:rsidRPr="00E42101">
        <w:rPr>
          <w:rFonts w:eastAsia="Arial" w:cs="Vrinda"/>
          <w:spacing w:val="4"/>
          <w:szCs w:val="16"/>
          <w:lang w:val="es-CR"/>
        </w:rPr>
        <w:t xml:space="preserve"> </w:t>
      </w:r>
      <w:r w:rsidRPr="00E42101">
        <w:rPr>
          <w:rFonts w:eastAsia="Arial" w:cs="Vrinda"/>
          <w:spacing w:val="1"/>
          <w:szCs w:val="16"/>
          <w:lang w:val="es-CR"/>
        </w:rPr>
        <w:t>a</w:t>
      </w:r>
      <w:r w:rsidRPr="00E42101">
        <w:rPr>
          <w:rFonts w:eastAsia="Arial" w:cs="Vrinda"/>
          <w:szCs w:val="16"/>
          <w:lang w:val="es-CR"/>
        </w:rPr>
        <w:t>l</w:t>
      </w:r>
      <w:r w:rsidRPr="00E42101">
        <w:rPr>
          <w:rFonts w:eastAsia="Arial" w:cs="Vrinda"/>
          <w:spacing w:val="3"/>
          <w:szCs w:val="16"/>
          <w:lang w:val="es-CR"/>
        </w:rPr>
        <w:t xml:space="preserve"> </w:t>
      </w:r>
      <w:r w:rsidRPr="00E42101">
        <w:rPr>
          <w:rFonts w:eastAsia="Arial" w:cs="Vrinda"/>
          <w:spacing w:val="-1"/>
          <w:szCs w:val="16"/>
          <w:lang w:val="es-CR"/>
        </w:rPr>
        <w:t>m</w:t>
      </w:r>
      <w:r w:rsidRPr="00E42101">
        <w:rPr>
          <w:rFonts w:eastAsia="Arial" w:cs="Vrinda"/>
          <w:spacing w:val="1"/>
          <w:szCs w:val="16"/>
          <w:lang w:val="es-CR"/>
        </w:rPr>
        <w:t>eno</w:t>
      </w:r>
      <w:r w:rsidRPr="00E42101">
        <w:rPr>
          <w:rFonts w:eastAsia="Arial" w:cs="Vrinda"/>
          <w:szCs w:val="16"/>
          <w:lang w:val="es-CR"/>
        </w:rPr>
        <w:t>s</w:t>
      </w:r>
      <w:r w:rsidRPr="00E42101">
        <w:rPr>
          <w:rFonts w:eastAsia="Arial" w:cs="Vrinda"/>
          <w:spacing w:val="3"/>
          <w:szCs w:val="16"/>
          <w:lang w:val="es-CR"/>
        </w:rPr>
        <w:t xml:space="preserve"> </w:t>
      </w:r>
      <w:r w:rsidRPr="00E42101">
        <w:rPr>
          <w:rFonts w:eastAsia="Arial" w:cs="Vrinda"/>
          <w:spacing w:val="1"/>
          <w:szCs w:val="16"/>
          <w:lang w:val="es-CR"/>
        </w:rPr>
        <w:t>u</w:t>
      </w:r>
      <w:r w:rsidRPr="00E42101">
        <w:rPr>
          <w:rFonts w:eastAsia="Arial" w:cs="Vrinda"/>
          <w:spacing w:val="-1"/>
          <w:szCs w:val="16"/>
          <w:lang w:val="es-CR"/>
        </w:rPr>
        <w:t>n</w:t>
      </w:r>
      <w:r w:rsidRPr="00E42101">
        <w:rPr>
          <w:rFonts w:eastAsia="Arial" w:cs="Vrinda"/>
          <w:szCs w:val="16"/>
          <w:lang w:val="es-CR"/>
        </w:rPr>
        <w:t>as</w:t>
      </w:r>
      <w:r w:rsidRPr="00E42101">
        <w:rPr>
          <w:rFonts w:eastAsia="Arial" w:cs="Vrinda"/>
          <w:spacing w:val="11"/>
          <w:szCs w:val="16"/>
          <w:lang w:val="es-CR"/>
        </w:rPr>
        <w:t xml:space="preserve"> </w:t>
      </w:r>
      <w:r w:rsidRPr="00E42101">
        <w:rPr>
          <w:rFonts w:eastAsia="Arial" w:cs="Vrinda"/>
          <w:spacing w:val="-1"/>
          <w:szCs w:val="16"/>
          <w:lang w:val="es-CR"/>
        </w:rPr>
        <w:t>2</w:t>
      </w:r>
      <w:r w:rsidRPr="00E42101">
        <w:rPr>
          <w:rFonts w:eastAsia="Arial" w:cs="Vrinda"/>
          <w:szCs w:val="16"/>
          <w:lang w:val="es-CR"/>
        </w:rPr>
        <w:t>0</w:t>
      </w:r>
      <w:r w:rsidRPr="00E42101">
        <w:rPr>
          <w:rFonts w:eastAsia="Arial" w:cs="Vrinda"/>
          <w:spacing w:val="7"/>
          <w:szCs w:val="16"/>
          <w:lang w:val="es-CR"/>
        </w:rPr>
        <w:t xml:space="preserve"> </w:t>
      </w:r>
      <w:r w:rsidRPr="00E42101">
        <w:rPr>
          <w:rFonts w:eastAsia="Arial" w:cs="Vrinda"/>
          <w:spacing w:val="-1"/>
          <w:szCs w:val="16"/>
          <w:lang w:val="es-CR"/>
        </w:rPr>
        <w:t>d</w:t>
      </w:r>
      <w:r w:rsidRPr="00E42101">
        <w:rPr>
          <w:rFonts w:eastAsia="Arial" w:cs="Vrinda"/>
          <w:szCs w:val="16"/>
          <w:lang w:val="es-CR"/>
        </w:rPr>
        <w:t>e</w:t>
      </w:r>
      <w:r w:rsidRPr="00E42101">
        <w:rPr>
          <w:rFonts w:eastAsia="Arial" w:cs="Vrinda"/>
          <w:spacing w:val="6"/>
          <w:szCs w:val="16"/>
          <w:lang w:val="es-CR"/>
        </w:rPr>
        <w:t xml:space="preserve"> </w:t>
      </w:r>
      <w:r w:rsidRPr="00E42101">
        <w:rPr>
          <w:rFonts w:eastAsia="Arial" w:cs="Vrinda"/>
          <w:szCs w:val="16"/>
          <w:lang w:val="es-CR"/>
        </w:rPr>
        <w:t xml:space="preserve">estas incurrieron </w:t>
      </w:r>
      <w:r w:rsidRPr="00E42101">
        <w:rPr>
          <w:rFonts w:eastAsia="Arial" w:cs="Vrinda"/>
          <w:spacing w:val="-1"/>
          <w:szCs w:val="16"/>
          <w:lang w:val="es-CR"/>
        </w:rPr>
        <w:t>e</w:t>
      </w:r>
      <w:r w:rsidRPr="00E42101">
        <w:rPr>
          <w:rFonts w:eastAsia="Arial" w:cs="Vrinda"/>
          <w:szCs w:val="16"/>
          <w:lang w:val="es-CR"/>
        </w:rPr>
        <w:t>n</w:t>
      </w:r>
      <w:r w:rsidRPr="00E42101">
        <w:rPr>
          <w:rFonts w:eastAsia="Arial" w:cs="Vrinda"/>
          <w:spacing w:val="6"/>
          <w:szCs w:val="16"/>
          <w:lang w:val="es-CR"/>
        </w:rPr>
        <w:t xml:space="preserve"> </w:t>
      </w:r>
      <w:r w:rsidRPr="00E42101">
        <w:rPr>
          <w:rFonts w:eastAsia="Arial" w:cs="Vrinda"/>
          <w:spacing w:val="-1"/>
          <w:szCs w:val="16"/>
          <w:lang w:val="es-CR"/>
        </w:rPr>
        <w:t>g</w:t>
      </w:r>
      <w:r w:rsidRPr="00E42101">
        <w:rPr>
          <w:rFonts w:eastAsia="Arial" w:cs="Vrinda"/>
          <w:spacing w:val="1"/>
          <w:szCs w:val="16"/>
          <w:lang w:val="es-CR"/>
        </w:rPr>
        <w:t>a</w:t>
      </w:r>
      <w:r w:rsidRPr="00E42101">
        <w:rPr>
          <w:rFonts w:eastAsia="Arial" w:cs="Vrinda"/>
          <w:szCs w:val="16"/>
          <w:lang w:val="es-CR"/>
        </w:rPr>
        <w:t>st</w:t>
      </w:r>
      <w:r w:rsidRPr="00E42101">
        <w:rPr>
          <w:rFonts w:eastAsia="Arial" w:cs="Vrinda"/>
          <w:spacing w:val="1"/>
          <w:szCs w:val="16"/>
          <w:lang w:val="es-CR"/>
        </w:rPr>
        <w:t>o</w:t>
      </w:r>
      <w:r w:rsidRPr="00E42101">
        <w:rPr>
          <w:rFonts w:eastAsia="Arial" w:cs="Vrinda"/>
          <w:szCs w:val="16"/>
          <w:lang w:val="es-CR"/>
        </w:rPr>
        <w:t xml:space="preserve">s </w:t>
      </w:r>
      <w:r w:rsidRPr="00E42101">
        <w:rPr>
          <w:rFonts w:eastAsia="Arial" w:cs="Vrinda"/>
          <w:spacing w:val="1"/>
          <w:szCs w:val="16"/>
          <w:lang w:val="es-CR"/>
        </w:rPr>
        <w:t>d</w:t>
      </w:r>
      <w:r w:rsidRPr="00E42101">
        <w:rPr>
          <w:rFonts w:eastAsia="Arial" w:cs="Vrinda"/>
          <w:szCs w:val="16"/>
          <w:lang w:val="es-CR"/>
        </w:rPr>
        <w:t>e tra</w:t>
      </w:r>
      <w:r w:rsidRPr="00E42101">
        <w:rPr>
          <w:rFonts w:eastAsia="Arial" w:cs="Vrinda"/>
          <w:spacing w:val="1"/>
          <w:szCs w:val="16"/>
          <w:lang w:val="es-CR"/>
        </w:rPr>
        <w:t>n</w:t>
      </w:r>
      <w:r w:rsidRPr="00E42101">
        <w:rPr>
          <w:rFonts w:eastAsia="Arial" w:cs="Vrinda"/>
          <w:szCs w:val="16"/>
          <w:lang w:val="es-CR"/>
        </w:rPr>
        <w:t>s</w:t>
      </w:r>
      <w:r w:rsidRPr="00E42101">
        <w:rPr>
          <w:rFonts w:eastAsia="Arial" w:cs="Vrinda"/>
          <w:spacing w:val="1"/>
          <w:szCs w:val="16"/>
          <w:lang w:val="es-CR"/>
        </w:rPr>
        <w:t>po</w:t>
      </w:r>
      <w:r w:rsidRPr="00E42101">
        <w:rPr>
          <w:rFonts w:eastAsia="Arial" w:cs="Vrinda"/>
          <w:szCs w:val="16"/>
          <w:lang w:val="es-CR"/>
        </w:rPr>
        <w:t>r</w:t>
      </w:r>
      <w:r w:rsidRPr="00E42101">
        <w:rPr>
          <w:rFonts w:eastAsia="Arial" w:cs="Vrinda"/>
          <w:spacing w:val="-3"/>
          <w:szCs w:val="16"/>
          <w:lang w:val="es-CR"/>
        </w:rPr>
        <w:t>t</w:t>
      </w:r>
      <w:r w:rsidRPr="00E42101">
        <w:rPr>
          <w:rFonts w:eastAsia="Arial" w:cs="Vrinda"/>
          <w:spacing w:val="-1"/>
          <w:szCs w:val="16"/>
          <w:lang w:val="es-CR"/>
        </w:rPr>
        <w:t>e (expediente de fondo, folio 740).</w:t>
      </w:r>
    </w:p>
  </w:footnote>
  <w:footnote w:id="254">
    <w:p w14:paraId="04500C25" w14:textId="343D16CA" w:rsidR="00604517" w:rsidRPr="00E42101" w:rsidRDefault="00604517" w:rsidP="00E47BD5">
      <w:pPr>
        <w:tabs>
          <w:tab w:val="left" w:pos="426"/>
        </w:tabs>
        <w:spacing w:after="120"/>
        <w:rPr>
          <w:sz w:val="16"/>
          <w:szCs w:val="16"/>
          <w:lang w:val="es-CR"/>
        </w:rPr>
      </w:pPr>
      <w:r w:rsidRPr="00E42101">
        <w:rPr>
          <w:rStyle w:val="Refdenotaalpie"/>
          <w:sz w:val="16"/>
          <w:szCs w:val="16"/>
          <w:lang w:val="es-CR"/>
        </w:rPr>
        <w:footnoteRef/>
      </w:r>
      <w:r w:rsidRPr="00E42101">
        <w:rPr>
          <w:sz w:val="16"/>
          <w:szCs w:val="16"/>
          <w:lang w:val="es-CR"/>
        </w:rPr>
        <w:tab/>
      </w:r>
      <w:r w:rsidRPr="00E42101">
        <w:rPr>
          <w:sz w:val="16"/>
          <w:szCs w:val="16"/>
          <w:lang w:val="es-CR"/>
        </w:rPr>
        <w:tab/>
      </w:r>
      <w:r w:rsidRPr="00E42101">
        <w:rPr>
          <w:i/>
          <w:sz w:val="16"/>
          <w:szCs w:val="16"/>
          <w:lang w:val="es-CR"/>
        </w:rPr>
        <w:t xml:space="preserve">Caso Bámaca Velásquez Vs. Guatemala. Reparaciones y Costas. </w:t>
      </w:r>
      <w:r w:rsidRPr="00E42101">
        <w:rPr>
          <w:sz w:val="16"/>
          <w:szCs w:val="16"/>
          <w:lang w:val="es-CR"/>
        </w:rPr>
        <w:t xml:space="preserve">Sentencia de 22 de febrero de 2002. Serie C No. 91, párr. 43, y </w:t>
      </w:r>
      <w:r w:rsidRPr="00E42101">
        <w:rPr>
          <w:rStyle w:val="Textoennegrita"/>
          <w:b w:val="0"/>
          <w:i/>
          <w:color w:val="000000"/>
          <w:sz w:val="16"/>
          <w:szCs w:val="16"/>
          <w:shd w:val="clear" w:color="auto" w:fill="FFFFFF"/>
        </w:rPr>
        <w:t>Caso Amrhein y otros vs. Costa Rica. Excepciones Preliminares, Fondo, Reparaciones y Costas</w:t>
      </w:r>
      <w:r w:rsidRPr="00E42101">
        <w:rPr>
          <w:rStyle w:val="Textoennegrita"/>
          <w:b w:val="0"/>
          <w:color w:val="000000"/>
          <w:sz w:val="16"/>
          <w:szCs w:val="16"/>
          <w:shd w:val="clear" w:color="auto" w:fill="FFFFFF"/>
        </w:rPr>
        <w:t>. Sentencia de 25 de abril de 2018. Serie C No. 354, párr. 487.</w:t>
      </w:r>
    </w:p>
  </w:footnote>
  <w:footnote w:id="255">
    <w:p w14:paraId="0DEEA38A" w14:textId="5C11CF7C" w:rsidR="00604517" w:rsidRPr="00E42101" w:rsidRDefault="00604517" w:rsidP="00E47BD5">
      <w:pPr>
        <w:pStyle w:val="Textonotapie"/>
        <w:tabs>
          <w:tab w:val="left" w:pos="426"/>
        </w:tabs>
        <w:spacing w:before="0"/>
        <w:rPr>
          <w:szCs w:val="16"/>
          <w:lang w:val="es-CR"/>
        </w:rPr>
      </w:pPr>
      <w:r w:rsidRPr="00E42101">
        <w:rPr>
          <w:rStyle w:val="Refdenotaalpie"/>
          <w:szCs w:val="16"/>
          <w:lang w:val="es-CR"/>
        </w:rPr>
        <w:footnoteRef/>
      </w:r>
      <w:r w:rsidRPr="00E42101">
        <w:rPr>
          <w:i/>
          <w:szCs w:val="16"/>
          <w:lang w:val="es-CR"/>
        </w:rPr>
        <w:tab/>
      </w:r>
      <w:r w:rsidRPr="00E42101">
        <w:rPr>
          <w:i/>
          <w:szCs w:val="16"/>
          <w:lang w:val="es-CR"/>
        </w:rPr>
        <w:tab/>
      </w:r>
      <w:r w:rsidRPr="00E42101">
        <w:rPr>
          <w:i/>
          <w:iCs/>
          <w:szCs w:val="16"/>
          <w:lang w:val="es-CR"/>
        </w:rPr>
        <w:t>Cfr. Caso Neira Alegría y otros Vs. Perú. Reparaciones y Costas</w:t>
      </w:r>
      <w:r w:rsidRPr="00E42101">
        <w:rPr>
          <w:szCs w:val="16"/>
          <w:lang w:val="es-CR"/>
        </w:rPr>
        <w:t xml:space="preserve">. Sentencia de 19 de septiembre de 1996. Serie C No. 29, párr. 56,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474.</w:t>
      </w:r>
    </w:p>
  </w:footnote>
  <w:footnote w:id="256">
    <w:p w14:paraId="17048C2C" w14:textId="4BA87CB1" w:rsidR="00604517" w:rsidRPr="00E42101" w:rsidRDefault="00604517" w:rsidP="00E47BD5">
      <w:pPr>
        <w:pStyle w:val="Textonotapie"/>
        <w:tabs>
          <w:tab w:val="left" w:pos="426"/>
        </w:tabs>
        <w:spacing w:before="0"/>
        <w:rPr>
          <w:szCs w:val="16"/>
          <w:lang w:val="es-CR"/>
        </w:rPr>
      </w:pPr>
      <w:r w:rsidRPr="00E42101">
        <w:rPr>
          <w:rStyle w:val="Refdenotaalpie"/>
          <w:rFonts w:eastAsiaTheme="majorEastAsia"/>
          <w:szCs w:val="16"/>
          <w:lang w:val="es-CR"/>
        </w:rPr>
        <w:footnoteRef/>
      </w:r>
      <w:r w:rsidRPr="00E42101">
        <w:rPr>
          <w:szCs w:val="16"/>
          <w:lang w:val="es-CR"/>
        </w:rPr>
        <w:tab/>
      </w:r>
      <w:r w:rsidRPr="00E42101">
        <w:rPr>
          <w:szCs w:val="16"/>
          <w:lang w:val="es-CR"/>
        </w:rPr>
        <w:tab/>
      </w:r>
      <w:r w:rsidRPr="00E42101">
        <w:rPr>
          <w:i/>
          <w:szCs w:val="16"/>
          <w:lang w:val="es-CR"/>
        </w:rPr>
        <w:t>Cfr.</w:t>
      </w:r>
      <w:r w:rsidRPr="00E42101">
        <w:rPr>
          <w:szCs w:val="16"/>
          <w:lang w:val="es-CR"/>
        </w:rPr>
        <w:t xml:space="preserve"> </w:t>
      </w:r>
      <w:r w:rsidRPr="00E42101">
        <w:rPr>
          <w:i/>
          <w:szCs w:val="16"/>
          <w:lang w:val="es-CR"/>
        </w:rPr>
        <w:t>Caso de los “Niños de la Calle” (Villagrán Morales y otros) Vs. Guatemala. Reparaciones y Costas</w:t>
      </w:r>
      <w:r w:rsidRPr="00E42101">
        <w:rPr>
          <w:b/>
          <w:szCs w:val="16"/>
          <w:lang w:val="es-CR"/>
        </w:rPr>
        <w:t xml:space="preserve">. </w:t>
      </w:r>
      <w:r w:rsidRPr="00E42101">
        <w:rPr>
          <w:rStyle w:val="Textoennegrita"/>
          <w:rFonts w:eastAsiaTheme="majorEastAsia"/>
          <w:b w:val="0"/>
          <w:szCs w:val="16"/>
          <w:shd w:val="clear" w:color="auto" w:fill="FFFFFF"/>
          <w:lang w:val="es-CR"/>
        </w:rPr>
        <w:t>Sentencia de 26 de mayo de 2001. Serie C No. 77</w:t>
      </w:r>
      <w:r w:rsidRPr="00E42101">
        <w:rPr>
          <w:rStyle w:val="Textoennegrita"/>
          <w:rFonts w:eastAsiaTheme="majorEastAsia"/>
          <w:szCs w:val="16"/>
          <w:shd w:val="clear" w:color="auto" w:fill="FFFFFF"/>
          <w:lang w:val="es-CR"/>
        </w:rPr>
        <w:t>,</w:t>
      </w:r>
      <w:r w:rsidRPr="00E42101">
        <w:rPr>
          <w:szCs w:val="16"/>
          <w:lang w:val="es-CR"/>
        </w:rPr>
        <w:t xml:space="preserve"> párr. 84, y </w:t>
      </w:r>
      <w:r w:rsidRPr="00E42101">
        <w:rPr>
          <w:rStyle w:val="Textoennegrita"/>
          <w:b w:val="0"/>
          <w:i/>
          <w:color w:val="000000"/>
          <w:szCs w:val="16"/>
          <w:shd w:val="clear" w:color="auto" w:fill="FFFFFF"/>
        </w:rPr>
        <w:t xml:space="preserve">Caso </w:t>
      </w:r>
      <w:proofErr w:type="spellStart"/>
      <w:r w:rsidRPr="00E42101">
        <w:rPr>
          <w:rStyle w:val="Textoennegrita"/>
          <w:b w:val="0"/>
          <w:i/>
          <w:color w:val="000000"/>
          <w:szCs w:val="16"/>
          <w:shd w:val="clear" w:color="auto" w:fill="FFFFFF"/>
        </w:rPr>
        <w:t>Amrhein</w:t>
      </w:r>
      <w:proofErr w:type="spellEnd"/>
      <w:r w:rsidRPr="00E42101">
        <w:rPr>
          <w:rStyle w:val="Textoennegrita"/>
          <w:b w:val="0"/>
          <w:i/>
          <w:color w:val="000000"/>
          <w:szCs w:val="16"/>
          <w:shd w:val="clear" w:color="auto" w:fill="FFFFFF"/>
        </w:rPr>
        <w:t xml:space="preserve"> y otros vs. Costa Rica. Excepciones Preliminares, Fondo, Reparaciones y Costas</w:t>
      </w:r>
      <w:r w:rsidRPr="00E42101">
        <w:rPr>
          <w:rStyle w:val="Textoennegrita"/>
          <w:b w:val="0"/>
          <w:color w:val="000000"/>
          <w:szCs w:val="16"/>
          <w:shd w:val="clear" w:color="auto" w:fill="FFFFFF"/>
        </w:rPr>
        <w:t>. Sentencia de 25 de abril de 2018. Serie C No. 354, párr. 482.</w:t>
      </w:r>
    </w:p>
  </w:footnote>
  <w:footnote w:id="257">
    <w:p w14:paraId="7A5B4DB5" w14:textId="77777777" w:rsidR="00604517" w:rsidRPr="00E42101" w:rsidRDefault="00604517" w:rsidP="00E47BD5">
      <w:pPr>
        <w:pStyle w:val="Footnotes"/>
        <w:tabs>
          <w:tab w:val="left" w:pos="426"/>
        </w:tabs>
        <w:spacing w:after="120"/>
        <w:rPr>
          <w:spacing w:val="0"/>
          <w:lang w:val="es-CR"/>
        </w:rPr>
      </w:pPr>
      <w:r w:rsidRPr="00E42101">
        <w:rPr>
          <w:rStyle w:val="Refdenotaalpie"/>
          <w:spacing w:val="0"/>
          <w:szCs w:val="16"/>
          <w:lang w:val="es-CR"/>
        </w:rPr>
        <w:footnoteRef/>
      </w:r>
      <w:r w:rsidRPr="00E42101">
        <w:rPr>
          <w:spacing w:val="0"/>
          <w:lang w:val="es-CR"/>
        </w:rPr>
        <w:tab/>
      </w:r>
      <w:r w:rsidRPr="00E42101">
        <w:rPr>
          <w:spacing w:val="0"/>
          <w:lang w:val="es-CR"/>
        </w:rPr>
        <w:tab/>
      </w:r>
      <w:r w:rsidRPr="00E42101">
        <w:rPr>
          <w:spacing w:val="0"/>
          <w:lang w:val="es-CR"/>
        </w:rPr>
        <w:tab/>
      </w:r>
      <w:r w:rsidRPr="00E42101">
        <w:rPr>
          <w:i/>
          <w:spacing w:val="0"/>
          <w:lang w:val="es-CR"/>
        </w:rPr>
        <w:t xml:space="preserve">Cfr. Caso Velásquez Rodríguez Vs. Honduras. Reparaciones y Costas. </w:t>
      </w:r>
      <w:r w:rsidRPr="00E42101">
        <w:rPr>
          <w:spacing w:val="0"/>
          <w:lang w:val="es-CR"/>
        </w:rPr>
        <w:t>Sentencia de 21 de julio de 1989. Serie C No. 7,</w:t>
      </w:r>
      <w:r w:rsidRPr="00E42101">
        <w:rPr>
          <w:i/>
          <w:spacing w:val="0"/>
          <w:lang w:val="es-CR"/>
        </w:rPr>
        <w:t xml:space="preserve"> </w:t>
      </w:r>
      <w:r w:rsidRPr="00E42101">
        <w:rPr>
          <w:spacing w:val="0"/>
          <w:lang w:val="es-CR"/>
        </w:rPr>
        <w:t xml:space="preserve">párr. 42, y </w:t>
      </w:r>
      <w:r w:rsidRPr="00E42101">
        <w:rPr>
          <w:rStyle w:val="Textoennegrita"/>
          <w:b w:val="0"/>
          <w:i/>
          <w:color w:val="000000"/>
          <w:shd w:val="clear" w:color="auto" w:fill="FFFFFF"/>
        </w:rPr>
        <w:t xml:space="preserve">Caso Herzog y otros Vs. Brasil. Excepciones Preliminares, Fondo, Reparaciones y Costas. </w:t>
      </w:r>
      <w:r w:rsidRPr="00E42101">
        <w:rPr>
          <w:rStyle w:val="Textoennegrita"/>
          <w:b w:val="0"/>
          <w:color w:val="000000"/>
          <w:shd w:val="clear" w:color="auto" w:fill="FFFFFF"/>
        </w:rPr>
        <w:t>Sentencia de 15 de marzo de 2018. Serie C No. 353, párr. 401.</w:t>
      </w:r>
    </w:p>
  </w:footnote>
  <w:footnote w:id="258">
    <w:p w14:paraId="1BC11E81" w14:textId="77777777" w:rsidR="00604517" w:rsidRPr="00E42101" w:rsidRDefault="00604517" w:rsidP="00E47BD5">
      <w:pPr>
        <w:pStyle w:val="Footnotes"/>
        <w:tabs>
          <w:tab w:val="left" w:pos="426"/>
        </w:tabs>
        <w:spacing w:after="120"/>
        <w:rPr>
          <w:spacing w:val="0"/>
          <w:lang w:val="es-CR"/>
        </w:rPr>
      </w:pPr>
      <w:r w:rsidRPr="00E42101">
        <w:rPr>
          <w:rStyle w:val="Refdenotaalpie"/>
          <w:spacing w:val="0"/>
          <w:szCs w:val="16"/>
          <w:lang w:val="es-CR"/>
        </w:rPr>
        <w:footnoteRef/>
      </w:r>
      <w:r w:rsidRPr="00E42101">
        <w:rPr>
          <w:spacing w:val="0"/>
          <w:lang w:val="es-CR"/>
        </w:rPr>
        <w:tab/>
      </w:r>
      <w:r w:rsidRPr="00E42101">
        <w:rPr>
          <w:spacing w:val="0"/>
          <w:lang w:val="es-CR"/>
        </w:rPr>
        <w:tab/>
      </w:r>
      <w:r w:rsidRPr="00E42101">
        <w:rPr>
          <w:spacing w:val="0"/>
          <w:lang w:val="es-CR"/>
        </w:rPr>
        <w:tab/>
      </w:r>
      <w:r w:rsidRPr="00E42101">
        <w:rPr>
          <w:i/>
          <w:spacing w:val="0"/>
          <w:lang w:val="es-CR"/>
        </w:rPr>
        <w:t>Cfr. Caso Garrido y Baigorria Vs. Argentina. Reparaciones y Costas</w:t>
      </w:r>
      <w:r w:rsidRPr="00E42101">
        <w:rPr>
          <w:spacing w:val="0"/>
          <w:lang w:val="es-CR"/>
        </w:rPr>
        <w:t xml:space="preserve">. Sentencia de 27 de agosto de 1998. Serie C No. 39, párr. 82, y </w:t>
      </w:r>
      <w:r w:rsidRPr="00E42101">
        <w:rPr>
          <w:rStyle w:val="Textoennegrita"/>
          <w:b w:val="0"/>
          <w:i/>
          <w:color w:val="000000"/>
          <w:shd w:val="clear" w:color="auto" w:fill="FFFFFF"/>
        </w:rPr>
        <w:t xml:space="preserve">Caso Herzog y otros Vs. Brasil. Excepciones Preliminares, Fondo, Reparaciones y Costas. </w:t>
      </w:r>
      <w:r w:rsidRPr="00E42101">
        <w:rPr>
          <w:rStyle w:val="Textoennegrita"/>
          <w:b w:val="0"/>
          <w:color w:val="000000"/>
          <w:shd w:val="clear" w:color="auto" w:fill="FFFFFF"/>
        </w:rPr>
        <w:t>Sentencia de 15 de marzo de 2018. Serie C No. 353, párr. 401.</w:t>
      </w:r>
    </w:p>
  </w:footnote>
  <w:footnote w:id="259">
    <w:p w14:paraId="6F469A6A" w14:textId="128D6F48" w:rsidR="00604517" w:rsidRPr="00E42101" w:rsidRDefault="00604517" w:rsidP="00E47BD5">
      <w:pPr>
        <w:pStyle w:val="Textonotapie"/>
        <w:rPr>
          <w:szCs w:val="16"/>
          <w:lang w:val="es-CR"/>
        </w:rPr>
      </w:pPr>
      <w:r w:rsidRPr="00E42101">
        <w:rPr>
          <w:rStyle w:val="Refdenotaalpie"/>
          <w:szCs w:val="16"/>
        </w:rPr>
        <w:footnoteRef/>
      </w:r>
      <w:r w:rsidRPr="00E42101">
        <w:rPr>
          <w:szCs w:val="16"/>
        </w:rPr>
        <w:t xml:space="preserve"> </w:t>
      </w:r>
      <w:r w:rsidRPr="00E42101">
        <w:rPr>
          <w:szCs w:val="16"/>
        </w:rPr>
        <w:tab/>
      </w:r>
      <w:r w:rsidRPr="00E42101">
        <w:rPr>
          <w:szCs w:val="16"/>
          <w:lang w:val="es-CR"/>
        </w:rPr>
        <w:t>Por solicitud expresa se mantiene en reserva el nombre de la presunta víctima, utilizándose las siglas L.A.L. para referirse a la misma.</w:t>
      </w:r>
    </w:p>
  </w:footnote>
  <w:footnote w:id="260">
    <w:p w14:paraId="1B8B5212" w14:textId="54CD92D1"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Notificación obligatoria de caso de sida</w:t>
      </w:r>
      <w:r>
        <w:rPr>
          <w:szCs w:val="16"/>
          <w:lang w:val="es-CR"/>
        </w:rPr>
        <w:t xml:space="preserve"> No. 005454 de 27 de febrero de 2003 suscrita por el Ministerio de Salud Pública y Asistencia Social, correspondiente a</w:t>
      </w:r>
      <w:r w:rsidRPr="00F3136E">
        <w:rPr>
          <w:szCs w:val="16"/>
          <w:lang w:val="es-CR"/>
        </w:rPr>
        <w:t xml:space="preserve"> Facundo Gómez Reyes (expedi</w:t>
      </w:r>
      <w:r>
        <w:rPr>
          <w:szCs w:val="16"/>
          <w:lang w:val="es-CR"/>
        </w:rPr>
        <w:t>ente de prueba, folio 112089); a</w:t>
      </w:r>
      <w:r w:rsidRPr="00F3136E">
        <w:rPr>
          <w:szCs w:val="16"/>
          <w:lang w:val="es-CR"/>
        </w:rPr>
        <w:t xml:space="preserve">cción de amparo </w:t>
      </w:r>
      <w:r>
        <w:rPr>
          <w:szCs w:val="16"/>
          <w:lang w:val="es-CR"/>
        </w:rPr>
        <w:t>de</w:t>
      </w:r>
      <w:r w:rsidRPr="00F3136E">
        <w:rPr>
          <w:szCs w:val="16"/>
          <w:lang w:val="es-CR"/>
        </w:rPr>
        <w:t xml:space="preserve"> 26 de julio de 2002 (ex</w:t>
      </w:r>
      <w:r>
        <w:rPr>
          <w:szCs w:val="16"/>
          <w:lang w:val="es-CR"/>
        </w:rPr>
        <w:t>pediente de prueba, folio 13); i</w:t>
      </w:r>
      <w:r w:rsidRPr="00F3136E">
        <w:rPr>
          <w:szCs w:val="16"/>
          <w:lang w:val="es-CR"/>
        </w:rPr>
        <w:t>nforme de</w:t>
      </w:r>
      <w:r>
        <w:rPr>
          <w:szCs w:val="16"/>
          <w:lang w:val="es-CR"/>
        </w:rPr>
        <w:t>l Estado de Guatemala a la CIDH de 26 de agosto de 2010</w:t>
      </w:r>
      <w:r w:rsidRPr="00F3136E">
        <w:rPr>
          <w:szCs w:val="16"/>
          <w:lang w:val="es-CR"/>
        </w:rPr>
        <w:t xml:space="preserve"> (expediente de prueba, folio 1461);</w:t>
      </w:r>
      <w:r>
        <w:rPr>
          <w:szCs w:val="16"/>
          <w:lang w:val="es-CR"/>
        </w:rPr>
        <w:t xml:space="preserve"> declaración rendida por </w:t>
      </w:r>
      <w:r w:rsidRPr="00F3136E">
        <w:rPr>
          <w:szCs w:val="16"/>
          <w:lang w:val="es-CR"/>
        </w:rPr>
        <w:t>M</w:t>
      </w:r>
      <w:r>
        <w:rPr>
          <w:szCs w:val="16"/>
          <w:lang w:val="es-CR"/>
        </w:rPr>
        <w:t xml:space="preserve">aría Elena Morales Villafuerte ante fedatario público </w:t>
      </w:r>
      <w:r w:rsidRPr="00F3136E">
        <w:rPr>
          <w:szCs w:val="16"/>
          <w:lang w:val="es-CR"/>
        </w:rPr>
        <w:t xml:space="preserve">de 17 de enero de 2017 (expediente de prueba, folios 11715 y 11716); </w:t>
      </w:r>
      <w:r>
        <w:rPr>
          <w:szCs w:val="16"/>
          <w:lang w:val="es-CR"/>
        </w:rPr>
        <w:t>p</w:t>
      </w:r>
      <w:r w:rsidRPr="00F3136E">
        <w:rPr>
          <w:szCs w:val="16"/>
          <w:lang w:val="es-CR"/>
        </w:rPr>
        <w:t>etición inicial de 14 de agosto de 2003 (exp</w:t>
      </w:r>
      <w:r>
        <w:rPr>
          <w:szCs w:val="16"/>
          <w:lang w:val="es-CR"/>
        </w:rPr>
        <w:t>ediente de prueba, folio 466); escrito de los peticionarios</w:t>
      </w:r>
      <w:r w:rsidRPr="00F3136E">
        <w:rPr>
          <w:szCs w:val="16"/>
          <w:lang w:val="es-CR"/>
        </w:rPr>
        <w:t xml:space="preserve"> de </w:t>
      </w:r>
      <w:r>
        <w:rPr>
          <w:szCs w:val="16"/>
          <w:lang w:val="es-CR"/>
        </w:rPr>
        <w:t xml:space="preserve">7 </w:t>
      </w:r>
      <w:r w:rsidRPr="00F3136E">
        <w:rPr>
          <w:szCs w:val="16"/>
          <w:lang w:val="es-CR"/>
        </w:rPr>
        <w:t>de agosto de 2009 (expediente</w:t>
      </w:r>
      <w:r>
        <w:rPr>
          <w:szCs w:val="16"/>
          <w:lang w:val="es-CR"/>
        </w:rPr>
        <w:t xml:space="preserve"> de prueba, folio 818), y escrito de los peticionarios </w:t>
      </w:r>
      <w:r w:rsidRPr="00F3136E">
        <w:rPr>
          <w:szCs w:val="16"/>
          <w:lang w:val="es-CR"/>
        </w:rPr>
        <w:t>de 10 de diciembre de 2010, en el que expusieron datos recabados por la Doctora Cristina Calderón (</w:t>
      </w:r>
      <w:proofErr w:type="spellStart"/>
      <w:r w:rsidRPr="00F3136E">
        <w:rPr>
          <w:szCs w:val="16"/>
          <w:lang w:val="es-CR"/>
        </w:rPr>
        <w:t>copeti</w:t>
      </w:r>
      <w:r>
        <w:rPr>
          <w:szCs w:val="16"/>
          <w:lang w:val="es-CR"/>
        </w:rPr>
        <w:t>cionaria</w:t>
      </w:r>
      <w:proofErr w:type="spellEnd"/>
      <w:r>
        <w:rPr>
          <w:szCs w:val="16"/>
          <w:lang w:val="es-CR"/>
        </w:rPr>
        <w:t>) derivados de fichas mé</w:t>
      </w:r>
      <w:r w:rsidRPr="00F3136E">
        <w:rPr>
          <w:szCs w:val="16"/>
          <w:lang w:val="es-CR"/>
        </w:rPr>
        <w:t xml:space="preserve">dicas de las presuntas víctimas y de entrevistas realizadas (expediente de prueba, folio 1399). </w:t>
      </w:r>
    </w:p>
  </w:footnote>
  <w:footnote w:id="261">
    <w:p w14:paraId="4AD84704" w14:textId="749457AC"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Declaración </w:t>
      </w:r>
      <w:r>
        <w:rPr>
          <w:szCs w:val="16"/>
          <w:lang w:val="es-CR"/>
        </w:rPr>
        <w:t>rendida por María Elena Morales Villafuerte ante fedatario público</w:t>
      </w:r>
      <w:r w:rsidRPr="00F3136E">
        <w:rPr>
          <w:szCs w:val="16"/>
          <w:lang w:val="es-CR"/>
        </w:rPr>
        <w:t xml:space="preserve"> de 10 de febrero de 2017 (expediente de prueba, folio</w:t>
      </w:r>
      <w:r>
        <w:rPr>
          <w:szCs w:val="16"/>
          <w:lang w:val="es-CR"/>
        </w:rPr>
        <w:t>s 11719 y 11721), y escrito de los peticionarios</w:t>
      </w:r>
      <w:r w:rsidRPr="00F3136E">
        <w:rPr>
          <w:szCs w:val="16"/>
          <w:lang w:val="es-CR"/>
        </w:rPr>
        <w:t xml:space="preserve"> de 30 de septiembre de 2011, que contiene un listado de los familiares </w:t>
      </w:r>
      <w:r>
        <w:rPr>
          <w:szCs w:val="16"/>
          <w:lang w:val="es-CR"/>
        </w:rPr>
        <w:t>o personas cercanas</w:t>
      </w:r>
      <w:r w:rsidRPr="00F3136E">
        <w:rPr>
          <w:szCs w:val="16"/>
          <w:lang w:val="es-CR"/>
        </w:rPr>
        <w:t xml:space="preserve"> de cada uno de ellos (exp</w:t>
      </w:r>
      <w:r>
        <w:rPr>
          <w:szCs w:val="16"/>
          <w:lang w:val="es-CR"/>
        </w:rPr>
        <w:t>ediente de prueba, folio 1360).</w:t>
      </w:r>
    </w:p>
  </w:footnote>
  <w:footnote w:id="262">
    <w:p w14:paraId="6629536B" w14:textId="50467ADB"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Hoja confidencial de datos de pacientes con VIH</w:t>
      </w:r>
      <w:r>
        <w:rPr>
          <w:szCs w:val="16"/>
          <w:lang w:val="es-CR"/>
        </w:rPr>
        <w:t xml:space="preserve"> de 22 de abril de 2002, suscrito por Proyecto Vida correspondiente a</w:t>
      </w:r>
      <w:r w:rsidRPr="00F3136E">
        <w:rPr>
          <w:szCs w:val="16"/>
          <w:lang w:val="es-CR"/>
        </w:rPr>
        <w:t xml:space="preserve"> Reina López Mujica (exp</w:t>
      </w:r>
      <w:r>
        <w:rPr>
          <w:szCs w:val="16"/>
          <w:lang w:val="es-CR"/>
        </w:rPr>
        <w:t>ediente de prueba, folio 11188); escrito de los peticionarios de 2 de abril de 2004, en el cual informan sobre el fallecimiento de la señora Reina López Mujica , y</w:t>
      </w:r>
      <w:r w:rsidRPr="00F3136E">
        <w:rPr>
          <w:szCs w:val="16"/>
          <w:lang w:val="es-CR"/>
        </w:rPr>
        <w:t xml:space="preserve"> </w:t>
      </w:r>
      <w:r>
        <w:rPr>
          <w:szCs w:val="16"/>
          <w:lang w:val="es-CR"/>
        </w:rPr>
        <w:t>escrito de los</w:t>
      </w:r>
      <w:r w:rsidRPr="00F3136E">
        <w:rPr>
          <w:szCs w:val="16"/>
          <w:lang w:val="es-CR"/>
        </w:rPr>
        <w:t xml:space="preserve"> peticionari</w:t>
      </w:r>
      <w:r>
        <w:rPr>
          <w:szCs w:val="16"/>
          <w:lang w:val="es-CR"/>
        </w:rPr>
        <w:t>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w:t>
      </w:r>
      <w:r>
        <w:rPr>
          <w:szCs w:val="16"/>
          <w:lang w:val="es-CR"/>
        </w:rPr>
        <w:t>cionaria</w:t>
      </w:r>
      <w:proofErr w:type="spellEnd"/>
      <w:r>
        <w:rPr>
          <w:szCs w:val="16"/>
          <w:lang w:val="es-CR"/>
        </w:rPr>
        <w:t>) derivados de fichas mé</w:t>
      </w:r>
      <w:r w:rsidRPr="00F3136E">
        <w:rPr>
          <w:szCs w:val="16"/>
          <w:lang w:val="es-CR"/>
        </w:rPr>
        <w:t>dicas de las presuntas víctimas y de entrevistas realizadas (expediente de prueba, folio 1399).</w:t>
      </w:r>
    </w:p>
  </w:footnote>
  <w:footnote w:id="263">
    <w:p w14:paraId="5A723072" w14:textId="7F0FCA80"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Declaración rendida por Marí</w:t>
      </w:r>
      <w:r w:rsidRPr="00F3136E">
        <w:rPr>
          <w:szCs w:val="16"/>
          <w:lang w:val="es-CR"/>
        </w:rPr>
        <w:t>a de Jesús Chajón De León</w:t>
      </w:r>
      <w:r>
        <w:rPr>
          <w:szCs w:val="16"/>
          <w:lang w:val="es-CR"/>
        </w:rPr>
        <w:t xml:space="preserve"> ante fedatario público</w:t>
      </w:r>
      <w:r w:rsidRPr="00F3136E">
        <w:rPr>
          <w:szCs w:val="16"/>
          <w:lang w:val="es-CR"/>
        </w:rPr>
        <w:t xml:space="preserve"> de 5 de enero de 2017 (expediente de prueba, folio 11712); </w:t>
      </w:r>
      <w:r>
        <w:rPr>
          <w:szCs w:val="16"/>
          <w:lang w:val="es-CR"/>
        </w:rPr>
        <w:t>escrito de los peticionarios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copeticionaria</w:t>
      </w:r>
      <w:proofErr w:type="spellEnd"/>
      <w:r w:rsidRPr="00F3136E">
        <w:rPr>
          <w:szCs w:val="16"/>
          <w:lang w:val="es-CR"/>
        </w:rPr>
        <w:t>) derivados de fichas medicas de las presuntas víctimas y de entrevistas realizadas (expe</w:t>
      </w:r>
      <w:r>
        <w:rPr>
          <w:szCs w:val="16"/>
          <w:lang w:val="es-CR"/>
        </w:rPr>
        <w:t>diente de prueba, folio 1401), y c</w:t>
      </w:r>
      <w:r w:rsidRPr="00F3136E">
        <w:rPr>
          <w:szCs w:val="16"/>
          <w:lang w:val="es-CR"/>
        </w:rPr>
        <w:t>ertificado de def</w:t>
      </w:r>
      <w:r>
        <w:rPr>
          <w:szCs w:val="16"/>
          <w:lang w:val="es-CR"/>
        </w:rPr>
        <w:t xml:space="preserve">unción de </w:t>
      </w:r>
      <w:proofErr w:type="spellStart"/>
      <w:r>
        <w:rPr>
          <w:szCs w:val="16"/>
          <w:lang w:val="es-CR"/>
        </w:rPr>
        <w:t>Ismar</w:t>
      </w:r>
      <w:proofErr w:type="spellEnd"/>
      <w:r>
        <w:rPr>
          <w:szCs w:val="16"/>
          <w:lang w:val="es-CR"/>
        </w:rPr>
        <w:t xml:space="preserve"> Ramírez Chajón de 15 de diciembre de 2003 </w:t>
      </w:r>
      <w:r w:rsidRPr="00F3136E">
        <w:rPr>
          <w:szCs w:val="16"/>
          <w:lang w:val="es-CR"/>
        </w:rPr>
        <w:t>(expediente de prueba, folio 12762).</w:t>
      </w:r>
    </w:p>
  </w:footnote>
  <w:footnote w:id="264">
    <w:p w14:paraId="69B979ED" w14:textId="4B541C88"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w:t>
      </w:r>
      <w:r>
        <w:rPr>
          <w:szCs w:val="16"/>
          <w:lang w:val="es-CR"/>
        </w:rPr>
        <w:t xml:space="preserve"> de los peticionarios</w:t>
      </w:r>
      <w:r w:rsidRPr="00F3136E">
        <w:rPr>
          <w:szCs w:val="16"/>
          <w:lang w:val="es-CR"/>
        </w:rPr>
        <w:t xml:space="preserve"> de 30 de septiembre de 2011</w:t>
      </w:r>
      <w:r>
        <w:rPr>
          <w:szCs w:val="16"/>
          <w:lang w:val="es-CR"/>
        </w:rPr>
        <w:t xml:space="preserve"> </w:t>
      </w:r>
      <w:r w:rsidRPr="00F3136E">
        <w:rPr>
          <w:szCs w:val="16"/>
          <w:lang w:val="es-CR"/>
        </w:rPr>
        <w:t>(expediente de prueba, folio 1360)</w:t>
      </w:r>
      <w:r>
        <w:rPr>
          <w:szCs w:val="16"/>
          <w:lang w:val="es-CR"/>
        </w:rPr>
        <w:t>, y</w:t>
      </w:r>
      <w:r w:rsidRPr="00F3136E">
        <w:rPr>
          <w:szCs w:val="16"/>
          <w:lang w:val="es-CR"/>
        </w:rPr>
        <w:t xml:space="preserve"> </w:t>
      </w:r>
      <w:r>
        <w:rPr>
          <w:szCs w:val="16"/>
          <w:lang w:val="es-CR"/>
        </w:rPr>
        <w:t>listado anexo al informe de fondo de la CIDH de 13 de abril de 2016</w:t>
      </w:r>
      <w:r w:rsidRPr="00F3136E">
        <w:rPr>
          <w:szCs w:val="16"/>
          <w:lang w:val="es-CR"/>
        </w:rPr>
        <w:t xml:space="preserve"> (expediente de prueba, folio 12766).</w:t>
      </w:r>
    </w:p>
  </w:footnote>
  <w:footnote w:id="265">
    <w:p w14:paraId="0B876440" w14:textId="799A59DB"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Aclaración realizada por los peticionarios </w:t>
      </w:r>
      <w:r>
        <w:rPr>
          <w:szCs w:val="16"/>
          <w:lang w:val="es-CR"/>
        </w:rPr>
        <w:t>en el</w:t>
      </w:r>
      <w:r w:rsidRPr="00F3136E">
        <w:rPr>
          <w:szCs w:val="16"/>
          <w:lang w:val="es-CR"/>
        </w:rPr>
        <w:t xml:space="preserve"> e</w:t>
      </w:r>
      <w:r>
        <w:rPr>
          <w:szCs w:val="16"/>
          <w:lang w:val="es-CR"/>
        </w:rPr>
        <w:t>scrito sobre medidas cautelares</w:t>
      </w:r>
      <w:r w:rsidRPr="00F3136E">
        <w:rPr>
          <w:szCs w:val="16"/>
          <w:lang w:val="es-CR"/>
        </w:rPr>
        <w:t xml:space="preserve"> de 16 de agosto de 2004 (exped</w:t>
      </w:r>
      <w:r>
        <w:rPr>
          <w:szCs w:val="16"/>
          <w:lang w:val="es-CR"/>
        </w:rPr>
        <w:t>iente de prueba, folio 11111), e i</w:t>
      </w:r>
      <w:r w:rsidRPr="00F3136E">
        <w:rPr>
          <w:szCs w:val="16"/>
          <w:lang w:val="es-CR"/>
        </w:rPr>
        <w:t xml:space="preserve">nforme estatal de 18 de junio de 2004 sobre la aclaración del nombre de </w:t>
      </w:r>
      <w:r>
        <w:rPr>
          <w:szCs w:val="16"/>
          <w:lang w:val="es-CR"/>
        </w:rPr>
        <w:t>la señora Petrona López Robledo</w:t>
      </w:r>
      <w:r w:rsidRPr="00F3136E">
        <w:rPr>
          <w:szCs w:val="16"/>
          <w:lang w:val="es-CR"/>
        </w:rPr>
        <w:t xml:space="preserve"> (expediente de prueba, folio 11134).</w:t>
      </w:r>
    </w:p>
  </w:footnote>
  <w:footnote w:id="266">
    <w:p w14:paraId="641D94FC" w14:textId="72223165"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Hoja confidencial de datos de pacientes c</w:t>
      </w:r>
      <w:r>
        <w:rPr>
          <w:szCs w:val="16"/>
          <w:lang w:val="es-CR"/>
        </w:rPr>
        <w:t>on VIH de 8 de marzo de 2001, suscrita por Proyecto Vida correspondiente a Petrona López Robledo</w:t>
      </w:r>
      <w:r w:rsidRPr="00F3136E">
        <w:rPr>
          <w:szCs w:val="16"/>
          <w:lang w:val="es-CR"/>
        </w:rPr>
        <w:t xml:space="preserve"> (exp</w:t>
      </w:r>
      <w:r>
        <w:rPr>
          <w:szCs w:val="16"/>
          <w:lang w:val="es-CR"/>
        </w:rPr>
        <w:t>ediente de prueba, folio 11189), y e</w:t>
      </w:r>
      <w:r w:rsidRPr="00F3136E">
        <w:rPr>
          <w:szCs w:val="16"/>
          <w:lang w:val="es-CR"/>
        </w:rPr>
        <w:t>scrito de l</w:t>
      </w:r>
      <w:r>
        <w:rPr>
          <w:szCs w:val="16"/>
          <w:lang w:val="es-CR"/>
        </w:rPr>
        <w:t>o</w:t>
      </w:r>
      <w:r w:rsidRPr="00F3136E">
        <w:rPr>
          <w:szCs w:val="16"/>
          <w:lang w:val="es-CR"/>
        </w:rPr>
        <w:t>s peticionari</w:t>
      </w:r>
      <w:r>
        <w:rPr>
          <w:szCs w:val="16"/>
          <w:lang w:val="es-CR"/>
        </w:rPr>
        <w:t>o</w:t>
      </w:r>
      <w:r w:rsidRPr="00F3136E">
        <w:rPr>
          <w:szCs w:val="16"/>
          <w:lang w:val="es-CR"/>
        </w:rPr>
        <w:t>s de 10 de diciembre de 2010, en el que expusieron datos recabados por la Doctora Cristina Calderón (</w:t>
      </w:r>
      <w:proofErr w:type="spellStart"/>
      <w:r w:rsidRPr="00F3136E">
        <w:rPr>
          <w:szCs w:val="16"/>
          <w:lang w:val="es-CR"/>
        </w:rPr>
        <w:t>copeticionaria</w:t>
      </w:r>
      <w:proofErr w:type="spellEnd"/>
      <w:r w:rsidRPr="00F3136E">
        <w:rPr>
          <w:szCs w:val="16"/>
          <w:lang w:val="es-CR"/>
        </w:rPr>
        <w:t>) derivados de fichas m</w:t>
      </w:r>
      <w:r>
        <w:rPr>
          <w:szCs w:val="16"/>
          <w:lang w:val="es-CR"/>
        </w:rPr>
        <w:t>é</w:t>
      </w:r>
      <w:r w:rsidRPr="00F3136E">
        <w:rPr>
          <w:szCs w:val="16"/>
          <w:lang w:val="es-CR"/>
        </w:rPr>
        <w:t>dicas de las presuntas víctimas y de entrevistas realizadas (expediente de prueba, folios 1400 y 1401).</w:t>
      </w:r>
    </w:p>
  </w:footnote>
  <w:footnote w:id="267">
    <w:p w14:paraId="5DE9680E" w14:textId="077E039B"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w:t>
      </w:r>
      <w:r>
        <w:rPr>
          <w:szCs w:val="16"/>
          <w:lang w:val="es-CR"/>
        </w:rPr>
        <w:t>ediente de prueba, folio 818); e</w:t>
      </w:r>
      <w:r w:rsidRPr="00F3136E">
        <w:rPr>
          <w:szCs w:val="16"/>
          <w:lang w:val="es-CR"/>
        </w:rPr>
        <w:t>scri</w:t>
      </w:r>
      <w:r>
        <w:rPr>
          <w:szCs w:val="16"/>
          <w:lang w:val="es-CR"/>
        </w:rPr>
        <w:t>to de los peticionarios de 30 de septiembre de 2011</w:t>
      </w:r>
      <w:r w:rsidRPr="00F3136E">
        <w:rPr>
          <w:szCs w:val="16"/>
          <w:lang w:val="es-CR"/>
        </w:rPr>
        <w:t xml:space="preserve"> (ex</w:t>
      </w:r>
      <w:r>
        <w:rPr>
          <w:szCs w:val="16"/>
          <w:lang w:val="es-CR"/>
        </w:rPr>
        <w:t>pediente de prueba, folio 1360), y listado anexo al informe de fondo de la CIDH de 13 de abril de 2016</w:t>
      </w:r>
      <w:r w:rsidRPr="00F3136E">
        <w:rPr>
          <w:szCs w:val="16"/>
          <w:lang w:val="es-CR"/>
        </w:rPr>
        <w:t xml:space="preserve"> (expediente de prueba, folio 12766).</w:t>
      </w:r>
    </w:p>
  </w:footnote>
  <w:footnote w:id="268">
    <w:p w14:paraId="5E49B920" w14:textId="09FA16FE"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Escrito de los peticionarios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w:t>
      </w:r>
      <w:r>
        <w:rPr>
          <w:szCs w:val="16"/>
          <w:lang w:val="es-CR"/>
        </w:rPr>
        <w:t>cionaria</w:t>
      </w:r>
      <w:proofErr w:type="spellEnd"/>
      <w:r>
        <w:rPr>
          <w:szCs w:val="16"/>
          <w:lang w:val="es-CR"/>
        </w:rPr>
        <w:t>) derivados de fichas mé</w:t>
      </w:r>
      <w:r w:rsidRPr="00F3136E">
        <w:rPr>
          <w:szCs w:val="16"/>
          <w:lang w:val="es-CR"/>
        </w:rPr>
        <w:t>dicas de las presuntas víctimas y de entrevistas realizadas (expediente d</w:t>
      </w:r>
      <w:r>
        <w:rPr>
          <w:szCs w:val="16"/>
          <w:lang w:val="es-CR"/>
        </w:rPr>
        <w:t>e prueba, folios 1401 y 1402); i</w:t>
      </w:r>
      <w:r w:rsidRPr="00F3136E">
        <w:rPr>
          <w:szCs w:val="16"/>
          <w:lang w:val="es-CR"/>
        </w:rPr>
        <w:t>nforme del Estado de Gu</w:t>
      </w:r>
      <w:r>
        <w:rPr>
          <w:szCs w:val="16"/>
          <w:lang w:val="es-CR"/>
        </w:rPr>
        <w:t>atemala</w:t>
      </w:r>
      <w:r w:rsidRPr="00F3136E">
        <w:rPr>
          <w:szCs w:val="16"/>
          <w:lang w:val="es-CR"/>
        </w:rPr>
        <w:t xml:space="preserve"> de 1 de octubre de 2010 (expe</w:t>
      </w:r>
      <w:r>
        <w:rPr>
          <w:szCs w:val="16"/>
          <w:lang w:val="es-CR"/>
        </w:rPr>
        <w:t>diente de prueba, folio 1433), y c</w:t>
      </w:r>
      <w:r w:rsidRPr="00F3136E">
        <w:rPr>
          <w:szCs w:val="16"/>
          <w:lang w:val="es-CR"/>
        </w:rPr>
        <w:t>u</w:t>
      </w:r>
      <w:r>
        <w:rPr>
          <w:szCs w:val="16"/>
          <w:lang w:val="es-CR"/>
        </w:rPr>
        <w:t>adro de información actualizada</w:t>
      </w:r>
      <w:r w:rsidRPr="00F3136E">
        <w:rPr>
          <w:szCs w:val="16"/>
          <w:lang w:val="es-CR"/>
        </w:rPr>
        <w:t xml:space="preserve"> recabada por la Doctora Cristina Calderón, como anexo </w:t>
      </w:r>
      <w:r>
        <w:rPr>
          <w:szCs w:val="16"/>
          <w:lang w:val="es-CR"/>
        </w:rPr>
        <w:t>al escrito de los peticionarios</w:t>
      </w:r>
      <w:r w:rsidRPr="00F3136E">
        <w:rPr>
          <w:szCs w:val="16"/>
          <w:lang w:val="es-CR"/>
        </w:rPr>
        <w:t xml:space="preserve"> de 27 de junio de 2008 (expediente de prueba, folio 12777)</w:t>
      </w:r>
      <w:r>
        <w:rPr>
          <w:szCs w:val="16"/>
          <w:lang w:val="es-CR"/>
        </w:rPr>
        <w:t>, y declaración rendida por Luz Imelda Lucas de León ante fedatario público de 21 de diciembre de 2016 (expediente de prueba, folio 22702).</w:t>
      </w:r>
    </w:p>
  </w:footnote>
  <w:footnote w:id="269">
    <w:p w14:paraId="4D4FEADF" w14:textId="71EF7750"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w:t>
      </w:r>
      <w:r>
        <w:rPr>
          <w:szCs w:val="16"/>
          <w:lang w:val="es-CR"/>
        </w:rPr>
        <w:t>to de los peticionarios de 30 de septiembre de 2011</w:t>
      </w:r>
      <w:r w:rsidRPr="00F3136E">
        <w:rPr>
          <w:szCs w:val="16"/>
          <w:lang w:val="es-CR"/>
        </w:rPr>
        <w:t xml:space="preserve"> (ex</w:t>
      </w:r>
      <w:r>
        <w:rPr>
          <w:szCs w:val="16"/>
          <w:lang w:val="es-CR"/>
        </w:rPr>
        <w:t>pediente de prueba, folio 1359), y listado anexo al informe de fondo de la CIDH de 13 de abril de 2016</w:t>
      </w:r>
      <w:r w:rsidRPr="00F3136E">
        <w:rPr>
          <w:szCs w:val="16"/>
          <w:lang w:val="es-CR"/>
        </w:rPr>
        <w:t xml:space="preserve"> (expediente de prueba, folio 12766).</w:t>
      </w:r>
    </w:p>
  </w:footnote>
  <w:footnote w:id="270">
    <w:p w14:paraId="25D6855D" w14:textId="436EBA9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Petición inicial de 14 de agosto de 2003 (exp</w:t>
      </w:r>
      <w:r>
        <w:rPr>
          <w:szCs w:val="16"/>
          <w:lang w:val="es-CR"/>
        </w:rPr>
        <w:t>ediente de prueba, folio 464);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en el que aportaron información de algunas de las víctimas (ex</w:t>
      </w:r>
      <w:r>
        <w:rPr>
          <w:szCs w:val="16"/>
          <w:lang w:val="es-CR"/>
        </w:rPr>
        <w:t>pediente de prueba, folio 818);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w:t>
      </w:r>
      <w:r>
        <w:rPr>
          <w:szCs w:val="16"/>
          <w:lang w:val="es-CR"/>
        </w:rPr>
        <w:t>cionaria</w:t>
      </w:r>
      <w:proofErr w:type="spellEnd"/>
      <w:r>
        <w:rPr>
          <w:szCs w:val="16"/>
          <w:lang w:val="es-CR"/>
        </w:rPr>
        <w:t>) derivados de fichas mé</w:t>
      </w:r>
      <w:r w:rsidRPr="00F3136E">
        <w:rPr>
          <w:szCs w:val="16"/>
          <w:lang w:val="es-CR"/>
        </w:rPr>
        <w:t>dicas de las presuntas víctimas y de entrevistas realizadas (expediente de prueba, folio 1399)</w:t>
      </w:r>
      <w:r>
        <w:rPr>
          <w:szCs w:val="16"/>
          <w:lang w:val="es-CR"/>
        </w:rPr>
        <w:t>.</w:t>
      </w:r>
    </w:p>
  </w:footnote>
  <w:footnote w:id="271">
    <w:p w14:paraId="31C71455" w14:textId="2E793E6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30 de septiembre de 2011 </w:t>
      </w:r>
      <w:r w:rsidRPr="00F3136E">
        <w:rPr>
          <w:szCs w:val="16"/>
          <w:lang w:val="es-CR"/>
        </w:rPr>
        <w:t xml:space="preserve">(expediente de prueba, folio 1360); </w:t>
      </w:r>
      <w:r>
        <w:rPr>
          <w:szCs w:val="16"/>
          <w:lang w:val="es-CR"/>
        </w:rPr>
        <w:t>listado anexo al informe de fondo de la CIDH de 13 de abril de 2016</w:t>
      </w:r>
      <w:r w:rsidRPr="00F3136E">
        <w:rPr>
          <w:szCs w:val="16"/>
          <w:lang w:val="es-CR"/>
        </w:rPr>
        <w:t xml:space="preserve">  (exp</w:t>
      </w:r>
      <w:r>
        <w:rPr>
          <w:szCs w:val="16"/>
          <w:lang w:val="es-CR"/>
        </w:rPr>
        <w:t>ediente de prueba, folio 12766), y e</w:t>
      </w:r>
      <w:r w:rsidRPr="00F3136E">
        <w:rPr>
          <w:szCs w:val="16"/>
          <w:lang w:val="es-CR"/>
        </w:rPr>
        <w:t>scrito de</w:t>
      </w:r>
      <w:r>
        <w:rPr>
          <w:szCs w:val="16"/>
          <w:lang w:val="es-CR"/>
        </w:rPr>
        <w:t xml:space="preserve"> los representantes de</w:t>
      </w:r>
      <w:r w:rsidRPr="00F3136E">
        <w:rPr>
          <w:szCs w:val="16"/>
          <w:lang w:val="es-CR"/>
        </w:rPr>
        <w:t xml:space="preserve"> 20 de octubre de 2011 (expediente de prueba, folio 1358).</w:t>
      </w:r>
    </w:p>
  </w:footnote>
  <w:footnote w:id="272">
    <w:p w14:paraId="3D63C8A9" w14:textId="1362AC2D"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Información</w:t>
      </w:r>
      <w:r>
        <w:rPr>
          <w:szCs w:val="16"/>
          <w:lang w:val="es-CR"/>
        </w:rPr>
        <w:t xml:space="preserve"> de 30 de mayo de 2003</w:t>
      </w:r>
      <w:r w:rsidRPr="00F3136E">
        <w:rPr>
          <w:szCs w:val="16"/>
          <w:lang w:val="es-CR"/>
        </w:rPr>
        <w:t xml:space="preserve"> proporcionada por Proyecto Vida, Coatepeque, sobre la actualización de datos de las personas que demandaron a Guatemala ante la Corte (expediente de prueba, folio 11218); </w:t>
      </w:r>
      <w:r>
        <w:rPr>
          <w:szCs w:val="16"/>
          <w:lang w:val="es-CR"/>
        </w:rPr>
        <w:t>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en el que aportaron información de algunas de las víctimas (e</w:t>
      </w:r>
      <w:r>
        <w:rPr>
          <w:szCs w:val="16"/>
          <w:lang w:val="es-CR"/>
        </w:rPr>
        <w:t>xpediente de prueba, folio 830), y</w:t>
      </w:r>
      <w:r w:rsidRPr="00F3136E">
        <w:rPr>
          <w:szCs w:val="16"/>
          <w:lang w:val="es-CR"/>
        </w:rPr>
        <w:t xml:space="preserve"> </w:t>
      </w:r>
      <w:r>
        <w:rPr>
          <w:szCs w:val="16"/>
          <w:lang w:val="es-CR"/>
        </w:rPr>
        <w:t>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copeticionaria</w:t>
      </w:r>
      <w:proofErr w:type="spellEnd"/>
      <w:r w:rsidRPr="00F3136E">
        <w:rPr>
          <w:szCs w:val="16"/>
          <w:lang w:val="es-CR"/>
        </w:rPr>
        <w:t>) derivados de fichas médicas de las presuntas víctimas y de entr</w:t>
      </w:r>
      <w:r>
        <w:rPr>
          <w:szCs w:val="16"/>
          <w:lang w:val="es-CR"/>
        </w:rPr>
        <w:t>evistas realizadas</w:t>
      </w:r>
      <w:r w:rsidRPr="00F3136E">
        <w:rPr>
          <w:szCs w:val="16"/>
          <w:lang w:val="es-CR"/>
        </w:rPr>
        <w:t xml:space="preserve"> (expediente de prueba, folio 1411).</w:t>
      </w:r>
    </w:p>
  </w:footnote>
  <w:footnote w:id="273">
    <w:p w14:paraId="3815D5AF" w14:textId="695BC673"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1360), y listado anexo al informe de fondo de la CIDH de 13 de abril de 2016</w:t>
      </w:r>
      <w:r w:rsidRPr="00F3136E">
        <w:rPr>
          <w:szCs w:val="16"/>
          <w:lang w:val="es-CR"/>
        </w:rPr>
        <w:t xml:space="preserve"> (expediente de prueba, folio 12766).</w:t>
      </w:r>
    </w:p>
  </w:footnote>
  <w:footnote w:id="274">
    <w:p w14:paraId="38B36FB2" w14:textId="4CEF721F"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r>
      <w:r>
        <w:rPr>
          <w:szCs w:val="16"/>
          <w:lang w:val="es-CR"/>
        </w:rPr>
        <w:t>Declaraciones rendidas por</w:t>
      </w:r>
      <w:r w:rsidRPr="00F3136E">
        <w:rPr>
          <w:szCs w:val="16"/>
          <w:lang w:val="es-CR"/>
        </w:rPr>
        <w:t xml:space="preserve"> </w:t>
      </w:r>
      <w:r>
        <w:rPr>
          <w:szCs w:val="16"/>
          <w:lang w:val="es-CR"/>
        </w:rPr>
        <w:t xml:space="preserve">Noelia Elizabeth </w:t>
      </w:r>
      <w:proofErr w:type="spellStart"/>
      <w:r>
        <w:rPr>
          <w:szCs w:val="16"/>
          <w:lang w:val="es-CR"/>
        </w:rPr>
        <w:t>Cayaxón</w:t>
      </w:r>
      <w:proofErr w:type="spellEnd"/>
      <w:r>
        <w:rPr>
          <w:szCs w:val="16"/>
          <w:lang w:val="es-CR"/>
        </w:rPr>
        <w:t xml:space="preserve"> García y de Cruz García Ramos</w:t>
      </w:r>
      <w:r w:rsidRPr="00F3136E">
        <w:rPr>
          <w:szCs w:val="16"/>
          <w:lang w:val="es-CR"/>
        </w:rPr>
        <w:t xml:space="preserve"> de 13 de enero y 11 de febrero</w:t>
      </w:r>
      <w:r>
        <w:rPr>
          <w:szCs w:val="16"/>
          <w:lang w:val="es-CR"/>
        </w:rPr>
        <w:t xml:space="preserve"> de</w:t>
      </w:r>
      <w:r w:rsidRPr="00F3136E">
        <w:rPr>
          <w:szCs w:val="16"/>
          <w:lang w:val="es-CR"/>
        </w:rPr>
        <w:t xml:space="preserve"> 2017 (exped</w:t>
      </w:r>
      <w:r>
        <w:rPr>
          <w:szCs w:val="16"/>
          <w:lang w:val="es-CR"/>
        </w:rPr>
        <w:t>iente de prueba, folio 11754);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folios 830 y 831); </w:t>
      </w:r>
      <w:r>
        <w:rPr>
          <w:szCs w:val="16"/>
          <w:lang w:val="es-CR"/>
        </w:rPr>
        <w:t>i</w:t>
      </w:r>
      <w:r w:rsidRPr="00F3136E">
        <w:rPr>
          <w:szCs w:val="16"/>
          <w:lang w:val="es-CR"/>
        </w:rPr>
        <w:t>nforme del director administrat</w:t>
      </w:r>
      <w:r>
        <w:rPr>
          <w:szCs w:val="16"/>
          <w:lang w:val="es-CR"/>
        </w:rPr>
        <w:t xml:space="preserve">ivo del Hospital de Coatepeque </w:t>
      </w:r>
      <w:r w:rsidRPr="00F3136E">
        <w:rPr>
          <w:szCs w:val="16"/>
          <w:lang w:val="es-CR"/>
        </w:rPr>
        <w:t xml:space="preserve">de 5 de febrero de 2008, sobre la atención médica de la señora Guadalupe </w:t>
      </w:r>
      <w:proofErr w:type="spellStart"/>
      <w:r w:rsidRPr="00F3136E">
        <w:rPr>
          <w:szCs w:val="16"/>
          <w:lang w:val="es-CR"/>
        </w:rPr>
        <w:t>Cayaxon</w:t>
      </w:r>
      <w:proofErr w:type="spellEnd"/>
      <w:r w:rsidRPr="00F3136E">
        <w:rPr>
          <w:szCs w:val="16"/>
          <w:lang w:val="es-CR"/>
        </w:rPr>
        <w:t xml:space="preserve"> (expe</w:t>
      </w:r>
      <w:r>
        <w:rPr>
          <w:szCs w:val="16"/>
          <w:lang w:val="es-CR"/>
        </w:rPr>
        <w:t>diente de prueba, folio 1079), y declaraciones rendidas por Cruz García Ramos</w:t>
      </w:r>
      <w:r w:rsidRPr="00F3136E">
        <w:rPr>
          <w:szCs w:val="16"/>
          <w:lang w:val="es-CR"/>
        </w:rPr>
        <w:t xml:space="preserve"> de 11 de enero y 11 de febrero de 2017 (expediente de prueba, folio 11597).</w:t>
      </w:r>
    </w:p>
  </w:footnote>
  <w:footnote w:id="275">
    <w:p w14:paraId="56D0C053" w14:textId="215E0B36"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(expediente de prueba, folio 136</w:t>
      </w:r>
      <w:r>
        <w:rPr>
          <w:szCs w:val="16"/>
          <w:lang w:val="es-CR"/>
        </w:rPr>
        <w:t>5), y listado anexo al informe de fondo de la CIDH de 13 de abril de 2016</w:t>
      </w:r>
      <w:r w:rsidRPr="00F3136E">
        <w:rPr>
          <w:szCs w:val="16"/>
          <w:lang w:val="es-CR"/>
        </w:rPr>
        <w:t xml:space="preserve"> (expediente de prueba, folio 12766).</w:t>
      </w:r>
    </w:p>
  </w:footnote>
  <w:footnote w:id="276">
    <w:p w14:paraId="216F26FE" w14:textId="514B135D"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Declaración rendida por Antonio Miranda Méndez ante fedatario público</w:t>
      </w:r>
      <w:r w:rsidRPr="00F3136E">
        <w:rPr>
          <w:szCs w:val="16"/>
          <w:lang w:val="es-CR"/>
        </w:rPr>
        <w:t xml:space="preserve"> de 12 de febrero de 2017 (exped</w:t>
      </w:r>
      <w:r>
        <w:rPr>
          <w:szCs w:val="16"/>
          <w:lang w:val="es-CR"/>
        </w:rPr>
        <w:t>iente de prueba, folio 11557);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copeticionaria</w:t>
      </w:r>
      <w:proofErr w:type="spellEnd"/>
      <w:r>
        <w:rPr>
          <w:szCs w:val="16"/>
          <w:lang w:val="es-CR"/>
        </w:rPr>
        <w:t>) derivados de fichas mé</w:t>
      </w:r>
      <w:r w:rsidRPr="00F3136E">
        <w:rPr>
          <w:szCs w:val="16"/>
          <w:lang w:val="es-CR"/>
        </w:rPr>
        <w:t>dicas de las presuntas víctimas y de entrevistas realizadas (expediente d</w:t>
      </w:r>
      <w:r>
        <w:rPr>
          <w:szCs w:val="16"/>
          <w:lang w:val="es-CR"/>
        </w:rPr>
        <w:t>e prueba, folios 1405 y 1406); e</w:t>
      </w:r>
      <w:r w:rsidRPr="00F3136E">
        <w:rPr>
          <w:szCs w:val="16"/>
          <w:lang w:val="es-CR"/>
        </w:rPr>
        <w:t>scrito de l</w:t>
      </w:r>
      <w:r>
        <w:rPr>
          <w:szCs w:val="16"/>
          <w:lang w:val="es-CR"/>
        </w:rPr>
        <w:t>o</w:t>
      </w:r>
      <w:r w:rsidRPr="00F3136E">
        <w:rPr>
          <w:szCs w:val="16"/>
          <w:lang w:val="es-CR"/>
        </w:rPr>
        <w:t>s peticionari</w:t>
      </w:r>
      <w:r>
        <w:rPr>
          <w:szCs w:val="16"/>
          <w:lang w:val="es-CR"/>
        </w:rPr>
        <w:t>o</w:t>
      </w:r>
      <w:r w:rsidRPr="00F3136E">
        <w:rPr>
          <w:szCs w:val="16"/>
          <w:lang w:val="es-CR"/>
        </w:rPr>
        <w:t>s de 7 de agosto de 2009 (e</w:t>
      </w:r>
      <w:r>
        <w:rPr>
          <w:szCs w:val="16"/>
          <w:lang w:val="es-CR"/>
        </w:rPr>
        <w:t>xpediente de prueba, folio 825), e</w:t>
      </w:r>
      <w:r w:rsidRPr="00F3136E">
        <w:rPr>
          <w:szCs w:val="16"/>
          <w:lang w:val="es-CR"/>
        </w:rPr>
        <w:t xml:space="preserve"> Informe rendido por el Director Administra</w:t>
      </w:r>
      <w:r>
        <w:rPr>
          <w:szCs w:val="16"/>
          <w:lang w:val="es-CR"/>
        </w:rPr>
        <w:t>tivo del Hospital de Coatepeque</w:t>
      </w:r>
      <w:r w:rsidRPr="00F3136E">
        <w:rPr>
          <w:szCs w:val="16"/>
          <w:lang w:val="es-CR"/>
        </w:rPr>
        <w:t xml:space="preserve"> de 5 de febrero de 2008, sobre la atención médica brindad a Rubén Delgado (expediente de prueba, folio 1071).</w:t>
      </w:r>
    </w:p>
  </w:footnote>
  <w:footnote w:id="277">
    <w:p w14:paraId="403794E5" w14:textId="5D821A38"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1362), y listado anexo al informe de fondo de la CIDH de 13 de abril de 2016</w:t>
      </w:r>
      <w:r w:rsidRPr="00F3136E">
        <w:rPr>
          <w:szCs w:val="16"/>
          <w:lang w:val="es-CR"/>
        </w:rPr>
        <w:t xml:space="preserve"> (expediente de prueba, folio 12768).</w:t>
      </w:r>
    </w:p>
  </w:footnote>
  <w:footnote w:id="278">
    <w:p w14:paraId="2F57FEFE" w14:textId="201A6D8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Cuadro de información actualizada, recabada por la Doctora Cristina Calderón, como anexo </w:t>
      </w:r>
      <w:r>
        <w:rPr>
          <w:szCs w:val="16"/>
          <w:lang w:val="es-CR"/>
        </w:rPr>
        <w:t>al escrito de los peticionarios</w:t>
      </w:r>
      <w:r w:rsidRPr="00F3136E">
        <w:rPr>
          <w:szCs w:val="16"/>
          <w:lang w:val="es-CR"/>
        </w:rPr>
        <w:t xml:space="preserve"> de 27 de junio de 2008 (exped</w:t>
      </w:r>
      <w:r>
        <w:rPr>
          <w:szCs w:val="16"/>
          <w:lang w:val="es-CR"/>
        </w:rPr>
        <w:t>iente de prueba, folio 12776); c</w:t>
      </w:r>
      <w:r w:rsidRPr="00F3136E">
        <w:rPr>
          <w:szCs w:val="16"/>
          <w:lang w:val="es-CR"/>
        </w:rPr>
        <w:t xml:space="preserve">uadro sobre información actualizada recabada por la Doctora Cristina Calderón a través de entrevistas de noviembre de 2010 (expediente de prueba, folios 12803 y 12804); </w:t>
      </w:r>
      <w:r>
        <w:rPr>
          <w:szCs w:val="16"/>
          <w:lang w:val="es-CR"/>
        </w:rPr>
        <w:t>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w:t>
      </w:r>
      <w:r>
        <w:rPr>
          <w:szCs w:val="16"/>
          <w:lang w:val="es-CR"/>
        </w:rPr>
        <w:t>ba, folio 831), e</w:t>
      </w:r>
      <w:r w:rsidRPr="00F3136E">
        <w:rPr>
          <w:szCs w:val="16"/>
          <w:lang w:val="es-CR"/>
        </w:rPr>
        <w:t xml:space="preserve"> Informe del Estado de 26 de agosto de 2010 (expediente de prueba, folio 1460).</w:t>
      </w:r>
    </w:p>
  </w:footnote>
  <w:footnote w:id="279">
    <w:p w14:paraId="5DDE1C08" w14:textId="7916C8AC"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1365), y listado anexo al informe de fondo de la CIDH de 13 de abril de 2016</w:t>
      </w:r>
      <w:r w:rsidRPr="00F3136E">
        <w:rPr>
          <w:szCs w:val="16"/>
          <w:lang w:val="es-CR"/>
        </w:rPr>
        <w:t xml:space="preserve"> (expediente de prueba, folio 12770).</w:t>
      </w:r>
    </w:p>
  </w:footnote>
  <w:footnote w:id="280">
    <w:p w14:paraId="2CE63CDE" w14:textId="75447F8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Cuadro de información actualizada, recabada por la Doctora Cristina Calderón, como anexo </w:t>
      </w:r>
      <w:r>
        <w:rPr>
          <w:szCs w:val="16"/>
          <w:lang w:val="es-CR"/>
        </w:rPr>
        <w:t>al escrito de los peticionarios</w:t>
      </w:r>
      <w:r w:rsidRPr="00F3136E">
        <w:rPr>
          <w:szCs w:val="16"/>
          <w:lang w:val="es-CR"/>
        </w:rPr>
        <w:t xml:space="preserve"> de 27 de junio de 2008 (exped</w:t>
      </w:r>
      <w:r>
        <w:rPr>
          <w:szCs w:val="16"/>
          <w:lang w:val="es-CR"/>
        </w:rPr>
        <w:t>iente de prueba, folio 12777);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10 de diciembre de 2010, en el que expusieron datos recabados por la Doctora Cristina Calderón (</w:t>
      </w:r>
      <w:proofErr w:type="spellStart"/>
      <w:r w:rsidRPr="00F3136E">
        <w:rPr>
          <w:szCs w:val="16"/>
          <w:lang w:val="es-CR"/>
        </w:rPr>
        <w:t>copeticionaria</w:t>
      </w:r>
      <w:proofErr w:type="spellEnd"/>
      <w:r w:rsidRPr="00F3136E">
        <w:rPr>
          <w:szCs w:val="16"/>
          <w:lang w:val="es-CR"/>
        </w:rPr>
        <w:t>) derivados de fichas m</w:t>
      </w:r>
      <w:r>
        <w:rPr>
          <w:szCs w:val="16"/>
          <w:lang w:val="es-CR"/>
        </w:rPr>
        <w:t>é</w:t>
      </w:r>
      <w:r w:rsidRPr="00F3136E">
        <w:rPr>
          <w:szCs w:val="16"/>
          <w:lang w:val="es-CR"/>
        </w:rPr>
        <w:t>dicas de las presuntas víctimas y de entrevistas realizadas (ex</w:t>
      </w:r>
      <w:r>
        <w:rPr>
          <w:szCs w:val="16"/>
          <w:lang w:val="es-CR"/>
        </w:rPr>
        <w:t>pediente de prueba, folio 1401),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818). </w:t>
      </w:r>
    </w:p>
  </w:footnote>
  <w:footnote w:id="281">
    <w:p w14:paraId="17B9E1F3" w14:textId="441B9E3D"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representantes de</w:t>
      </w:r>
      <w:r w:rsidRPr="00F3136E">
        <w:rPr>
          <w:szCs w:val="16"/>
          <w:lang w:val="es-CR"/>
        </w:rPr>
        <w:t xml:space="preserve"> 30 de septiembre de 2011 (expe</w:t>
      </w:r>
      <w:r>
        <w:rPr>
          <w:szCs w:val="16"/>
          <w:lang w:val="es-CR"/>
        </w:rPr>
        <w:t>diente de prueba, folio 1359); listado anexo al informe de fondo de la CIDH de 13 de abril de 2016</w:t>
      </w:r>
      <w:r w:rsidRPr="00F3136E">
        <w:rPr>
          <w:szCs w:val="16"/>
          <w:lang w:val="es-CR"/>
        </w:rPr>
        <w:t xml:space="preserve"> (exp</w:t>
      </w:r>
      <w:r>
        <w:rPr>
          <w:szCs w:val="16"/>
          <w:lang w:val="es-CR"/>
        </w:rPr>
        <w:t>ediente de prueba, folio 12766), y cuadro de información actualizada de 10 de diciembre de 2010 suscrito por la Doctora Cristina Calderón (expediente de prueba, folio 12801).</w:t>
      </w:r>
    </w:p>
  </w:footnote>
  <w:footnote w:id="282">
    <w:p w14:paraId="511DDDD3" w14:textId="50B3DF7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 xml:space="preserve"> </w:t>
      </w:r>
      <w:r>
        <w:rPr>
          <w:szCs w:val="16"/>
          <w:lang w:val="es-CR"/>
        </w:rPr>
        <w:tab/>
        <w:t xml:space="preserve">Certificado de nacimiento de Silvia Mirtala </w:t>
      </w:r>
      <w:proofErr w:type="spellStart"/>
      <w:r>
        <w:rPr>
          <w:szCs w:val="16"/>
          <w:lang w:val="es-CR"/>
        </w:rPr>
        <w:t>A</w:t>
      </w:r>
      <w:r w:rsidRPr="00F3136E">
        <w:rPr>
          <w:szCs w:val="16"/>
          <w:lang w:val="es-CR"/>
        </w:rPr>
        <w:t>lvarez</w:t>
      </w:r>
      <w:proofErr w:type="spellEnd"/>
      <w:r w:rsidRPr="00F3136E">
        <w:rPr>
          <w:szCs w:val="16"/>
          <w:lang w:val="es-CR"/>
        </w:rPr>
        <w:t xml:space="preserve"> Villatoro (exped</w:t>
      </w:r>
      <w:r>
        <w:rPr>
          <w:szCs w:val="16"/>
          <w:lang w:val="es-CR"/>
        </w:rPr>
        <w:t>iente de prueba, folio 12870), y c</w:t>
      </w:r>
      <w:r w:rsidRPr="00F3136E">
        <w:rPr>
          <w:szCs w:val="16"/>
          <w:lang w:val="es-CR"/>
        </w:rPr>
        <w:t>uadro sobre información actualizada recabada por la Doctora Cristina Calderón a través de entrevistas de noviembre de 2010 (expediente de prueba, folio 12801).</w:t>
      </w:r>
    </w:p>
  </w:footnote>
  <w:footnote w:id="283">
    <w:p w14:paraId="01D3CA7D" w14:textId="012EEDEB"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1363), y listado anexo al informe de fondo de la CIDH de 13 de abril de 2016</w:t>
      </w:r>
      <w:r w:rsidRPr="00F3136E">
        <w:rPr>
          <w:szCs w:val="16"/>
          <w:lang w:val="es-CR"/>
        </w:rPr>
        <w:t xml:space="preserve"> (expediente de prueba, folio 12769).</w:t>
      </w:r>
    </w:p>
  </w:footnote>
  <w:footnote w:id="284">
    <w:p w14:paraId="350BC0ED" w14:textId="07D7750C"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Información proporcionada por Proyecto Vida, Coatepeque, sobre la actualización de datos de las pers</w:t>
      </w:r>
      <w:r>
        <w:rPr>
          <w:szCs w:val="16"/>
          <w:lang w:val="es-CR"/>
        </w:rPr>
        <w:t>onas que demandaron a Guatemala</w:t>
      </w:r>
      <w:r w:rsidRPr="00F3136E">
        <w:rPr>
          <w:szCs w:val="16"/>
          <w:lang w:val="es-CR"/>
        </w:rPr>
        <w:t xml:space="preserve"> ante la Corte (exped</w:t>
      </w:r>
      <w:r>
        <w:rPr>
          <w:szCs w:val="16"/>
          <w:lang w:val="es-CR"/>
        </w:rPr>
        <w:t>iente de prueba, folio 11215); escrito de los peticionarios de 2 de abril de 2004 (expediente de prueba, folio 455);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w:t>
      </w:r>
      <w:r>
        <w:rPr>
          <w:szCs w:val="16"/>
          <w:lang w:val="es-CR"/>
        </w:rPr>
        <w:t xml:space="preserve"> de prueba, folios 830 y 831); c</w:t>
      </w:r>
      <w:r w:rsidRPr="00F3136E">
        <w:rPr>
          <w:szCs w:val="16"/>
          <w:lang w:val="es-CR"/>
        </w:rPr>
        <w:t>uadro sobre información recabada por la Doctora Cristina Calderón, a través de entrevistas de noviembre de 2010 (exped</w:t>
      </w:r>
      <w:r>
        <w:rPr>
          <w:szCs w:val="16"/>
          <w:lang w:val="es-CR"/>
        </w:rPr>
        <w:t>iente de prueba, folio 12788), e i</w:t>
      </w:r>
      <w:r w:rsidRPr="00F3136E">
        <w:rPr>
          <w:szCs w:val="16"/>
          <w:lang w:val="es-CR"/>
        </w:rPr>
        <w:t>nforme sobre la atención medica</w:t>
      </w:r>
      <w:r>
        <w:rPr>
          <w:szCs w:val="16"/>
          <w:lang w:val="es-CR"/>
        </w:rPr>
        <w:t xml:space="preserve"> brindada a Juana Aguilar</w:t>
      </w:r>
      <w:r w:rsidRPr="00F3136E">
        <w:rPr>
          <w:szCs w:val="16"/>
          <w:lang w:val="es-CR"/>
        </w:rPr>
        <w:t xml:space="preserve"> de 5 de febrero de 2008, suscrito por el Director Administrativo del Hospital de Coatepeque (expediente de prueba, folio 168).</w:t>
      </w:r>
    </w:p>
  </w:footnote>
  <w:footnote w:id="285">
    <w:p w14:paraId="1EF521B0" w14:textId="7D9E3373"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(expediente de prueba, folio</w:t>
      </w:r>
      <w:r>
        <w:rPr>
          <w:szCs w:val="16"/>
          <w:lang w:val="es-CR"/>
        </w:rPr>
        <w:t>s 1364 y 1365), y listado anexo al informe de fondo de la CIDH de 13 de abril de 2016</w:t>
      </w:r>
      <w:r w:rsidRPr="00F3136E">
        <w:rPr>
          <w:szCs w:val="16"/>
          <w:lang w:val="es-CR"/>
        </w:rPr>
        <w:t xml:space="preserve"> (expediente de prueba, folio 12782).</w:t>
      </w:r>
    </w:p>
  </w:footnote>
  <w:footnote w:id="286">
    <w:p w14:paraId="3D1A2266" w14:textId="464F4E06"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Escrito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folios 825 y 826</w:t>
      </w:r>
      <w:r>
        <w:rPr>
          <w:rFonts w:cs="Arial"/>
          <w:szCs w:val="16"/>
          <w:lang w:val="es-CR"/>
        </w:rPr>
        <w:t xml:space="preserve">); cuadro sobre la información </w:t>
      </w:r>
      <w:r w:rsidRPr="00F3136E">
        <w:rPr>
          <w:rFonts w:cs="Arial"/>
          <w:szCs w:val="16"/>
          <w:lang w:val="es-CR"/>
        </w:rPr>
        <w:t>recabada por la Doctora Cristina Calderón a través de entrevistas en noviembre de 2010 (</w:t>
      </w:r>
      <w:r w:rsidRPr="00F3136E">
        <w:rPr>
          <w:szCs w:val="16"/>
          <w:lang w:val="es-CR"/>
        </w:rPr>
        <w:t xml:space="preserve">expediente de prueba, folios 12782, </w:t>
      </w:r>
      <w:r>
        <w:rPr>
          <w:rFonts w:cs="Arial"/>
          <w:szCs w:val="16"/>
          <w:lang w:val="es-CR"/>
        </w:rPr>
        <w:t xml:space="preserve">12795 y 12796), y certificado de nacimiento de Melvin </w:t>
      </w:r>
      <w:proofErr w:type="spellStart"/>
      <w:r>
        <w:rPr>
          <w:rFonts w:cs="Arial"/>
          <w:szCs w:val="16"/>
          <w:lang w:val="es-CR"/>
        </w:rPr>
        <w:t>Yovani</w:t>
      </w:r>
      <w:proofErr w:type="spellEnd"/>
      <w:r>
        <w:rPr>
          <w:rFonts w:cs="Arial"/>
          <w:szCs w:val="16"/>
          <w:lang w:val="es-CR"/>
        </w:rPr>
        <w:t xml:space="preserve"> Ajtun Escobar (expediente de prueba, folio 12898).</w:t>
      </w:r>
    </w:p>
  </w:footnote>
  <w:footnote w:id="287">
    <w:p w14:paraId="2EA66525" w14:textId="6D1E958A"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(expediente d</w:t>
      </w:r>
      <w:r>
        <w:rPr>
          <w:szCs w:val="16"/>
          <w:lang w:val="es-CR"/>
        </w:rPr>
        <w:t>e prueba, folios 1359 – 1366), y listado anexo al informe de fondo de la CIDH de 13 de abril de 2016</w:t>
      </w:r>
      <w:r w:rsidRPr="00F3136E">
        <w:rPr>
          <w:szCs w:val="16"/>
          <w:lang w:val="es-CR"/>
        </w:rPr>
        <w:t xml:space="preserve"> (expediente de prueba, folios 12765 – 12771).</w:t>
      </w:r>
    </w:p>
  </w:footnote>
  <w:footnote w:id="288">
    <w:p w14:paraId="4082F7DC" w14:textId="1BFD76B4"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Cu</w:t>
      </w:r>
      <w:r>
        <w:rPr>
          <w:szCs w:val="16"/>
          <w:lang w:val="es-CR"/>
        </w:rPr>
        <w:t>adro de información actualizada</w:t>
      </w:r>
      <w:r w:rsidRPr="00F3136E">
        <w:rPr>
          <w:szCs w:val="16"/>
          <w:lang w:val="es-CR"/>
        </w:rPr>
        <w:t xml:space="preserve"> recabada por la Doctora Cristina Calderón, como anexo </w:t>
      </w:r>
      <w:r>
        <w:rPr>
          <w:szCs w:val="16"/>
          <w:lang w:val="es-CR"/>
        </w:rPr>
        <w:t>al escrito de los peticionarios</w:t>
      </w:r>
      <w:r w:rsidRPr="00F3136E">
        <w:rPr>
          <w:szCs w:val="16"/>
          <w:lang w:val="es-CR"/>
        </w:rPr>
        <w:t xml:space="preserve"> de 27 de junio de 2008 (exped</w:t>
      </w:r>
      <w:r>
        <w:rPr>
          <w:szCs w:val="16"/>
          <w:lang w:val="es-CR"/>
        </w:rPr>
        <w:t>iente de prueba, folio 12776);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829); </w:t>
      </w:r>
      <w:r>
        <w:rPr>
          <w:rFonts w:cs="Arial"/>
          <w:szCs w:val="16"/>
          <w:lang w:val="es-CR"/>
        </w:rPr>
        <w:t>c</w:t>
      </w:r>
      <w:r w:rsidRPr="00F3136E">
        <w:rPr>
          <w:rFonts w:cs="Arial"/>
          <w:szCs w:val="16"/>
          <w:lang w:val="es-CR"/>
        </w:rPr>
        <w:t>uadro sobre la información recabada por la Doctora Cristina Calderón a través de entrevistas en noviembre de 2010 (</w:t>
      </w:r>
      <w:r w:rsidRPr="00F3136E">
        <w:rPr>
          <w:szCs w:val="16"/>
          <w:lang w:val="es-CR"/>
        </w:rPr>
        <w:t xml:space="preserve">expediente de prueba, folio </w:t>
      </w:r>
      <w:r>
        <w:rPr>
          <w:rFonts w:cs="Arial"/>
          <w:szCs w:val="16"/>
          <w:lang w:val="es-CR"/>
        </w:rPr>
        <w:t>12786), y d</w:t>
      </w:r>
      <w:r>
        <w:rPr>
          <w:szCs w:val="16"/>
          <w:lang w:val="es-CR"/>
        </w:rPr>
        <w:t>eclaración rendida por Victoria Ramírez Ramos ante fedatario público</w:t>
      </w:r>
      <w:r w:rsidRPr="00F3136E">
        <w:rPr>
          <w:szCs w:val="16"/>
          <w:lang w:val="es-CR"/>
        </w:rPr>
        <w:t xml:space="preserve"> de 11 de febrero de 2017 (expediente de prueba, folio 11812).</w:t>
      </w:r>
    </w:p>
  </w:footnote>
  <w:footnote w:id="289">
    <w:p w14:paraId="7B6B8E55" w14:textId="5FDAE2AF"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1363), y listado anexo al informe de fondo de la CIDH de 13 de abril de 2016</w:t>
      </w:r>
      <w:r w:rsidRPr="00F3136E">
        <w:rPr>
          <w:szCs w:val="16"/>
          <w:lang w:val="es-CR"/>
        </w:rPr>
        <w:t xml:space="preserve"> (expediente de prueba, folio 12769).</w:t>
      </w:r>
    </w:p>
  </w:footnote>
  <w:footnote w:id="290">
    <w:p w14:paraId="684043CB" w14:textId="2DB067B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Sebastián Emilio Dueñas (expediente de prue</w:t>
      </w:r>
      <w:r>
        <w:rPr>
          <w:szCs w:val="16"/>
          <w:lang w:val="es-CR"/>
        </w:rPr>
        <w:t>ba, folio 12866); declaración rendida por Julia Aguilar ante fedatario público</w:t>
      </w:r>
      <w:r w:rsidRPr="00F3136E">
        <w:rPr>
          <w:szCs w:val="16"/>
          <w:lang w:val="es-CR"/>
        </w:rPr>
        <w:t xml:space="preserve"> de 20 de diciembre de 2016 (expediente de prueba, folio 11648); </w:t>
      </w:r>
      <w:r>
        <w:rPr>
          <w:szCs w:val="16"/>
          <w:lang w:val="es-CR"/>
        </w:rPr>
        <w:t>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w:t>
      </w:r>
      <w:r>
        <w:rPr>
          <w:szCs w:val="16"/>
          <w:lang w:val="es-CR"/>
        </w:rPr>
        <w:t>ediente de prueba, folio 823); c</w:t>
      </w:r>
      <w:r w:rsidRPr="00F3136E">
        <w:rPr>
          <w:szCs w:val="16"/>
          <w:lang w:val="es-CR"/>
        </w:rPr>
        <w:t>uadro sobre información recabada p</w:t>
      </w:r>
      <w:r>
        <w:rPr>
          <w:szCs w:val="16"/>
          <w:lang w:val="es-CR"/>
        </w:rPr>
        <w:t>or la Doctora Cristina Calderón</w:t>
      </w:r>
      <w:r w:rsidRPr="00F3136E">
        <w:rPr>
          <w:szCs w:val="16"/>
          <w:lang w:val="es-CR"/>
        </w:rPr>
        <w:t xml:space="preserve"> a través de entrevistas de noviembre de 2010 (expediente de prue</w:t>
      </w:r>
      <w:r>
        <w:rPr>
          <w:szCs w:val="16"/>
          <w:lang w:val="es-CR"/>
        </w:rPr>
        <w:t>ba, folio 12791), y declaración rendida por Sebastián Emilio Dueñas ante fedatario público</w:t>
      </w:r>
      <w:r w:rsidRPr="00F3136E">
        <w:rPr>
          <w:szCs w:val="16"/>
          <w:lang w:val="es-CR"/>
        </w:rPr>
        <w:t xml:space="preserve"> de 9 de febrero de 2017 (expediente de prueba, folio 11809).</w:t>
      </w:r>
    </w:p>
  </w:footnote>
  <w:footnote w:id="291">
    <w:p w14:paraId="0475B8C3" w14:textId="76DABAB4"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Declaración rendida por Sebastián Emilio Dueñas ante fedatario público</w:t>
      </w:r>
      <w:r w:rsidRPr="00F3136E">
        <w:rPr>
          <w:szCs w:val="16"/>
          <w:lang w:val="es-CR"/>
        </w:rPr>
        <w:t xml:space="preserve"> de 9 de febrero de 2017 (expediente </w:t>
      </w:r>
      <w:r>
        <w:rPr>
          <w:szCs w:val="16"/>
          <w:lang w:val="es-CR"/>
        </w:rPr>
        <w:t>de prueba, folios 11807 a 11809), y c</w:t>
      </w:r>
      <w:r w:rsidRPr="00F3136E">
        <w:rPr>
          <w:szCs w:val="16"/>
          <w:lang w:val="es-CR"/>
        </w:rPr>
        <w:t>uadro sobre información recabada por la Doctora Cristina Calderón a través de entrevistas de noviembre de 2010 (expediente de prueba, folio 12791).</w:t>
      </w:r>
    </w:p>
  </w:footnote>
  <w:footnote w:id="292">
    <w:p w14:paraId="333DC78A" w14:textId="40209E4F"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1361), y listado anexo al informe de fondo de la CIDH de 13 de abril de 2016</w:t>
      </w:r>
      <w:r w:rsidRPr="00F3136E">
        <w:rPr>
          <w:szCs w:val="16"/>
          <w:lang w:val="es-CR"/>
        </w:rPr>
        <w:t xml:space="preserve"> (expediente de prueba, folio 12767).</w:t>
      </w:r>
    </w:p>
  </w:footnote>
  <w:footnote w:id="293">
    <w:p w14:paraId="641CC389" w14:textId="428559A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Declaraciones de Julia Aguilar, de 20 de diciembre de 2016 y 11 de febrero de 2017 (expediente de prueb</w:t>
      </w:r>
      <w:r>
        <w:rPr>
          <w:szCs w:val="16"/>
          <w:lang w:val="es-CR"/>
        </w:rPr>
        <w:t>a, folios 11648, 11649 y 11651), y</w:t>
      </w:r>
      <w:r w:rsidRPr="00F3136E">
        <w:rPr>
          <w:szCs w:val="16"/>
          <w:lang w:val="es-CR"/>
        </w:rPr>
        <w:t xml:space="preserve"> </w:t>
      </w:r>
      <w:r>
        <w:rPr>
          <w:szCs w:val="16"/>
          <w:lang w:val="es-CR"/>
        </w:rPr>
        <w:t>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folios 824 y 825).</w:t>
      </w:r>
    </w:p>
  </w:footnote>
  <w:footnote w:id="294">
    <w:p w14:paraId="3E8646C5" w14:textId="2ECA258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Julia Aguilar (exp</w:t>
      </w:r>
      <w:r>
        <w:rPr>
          <w:szCs w:val="16"/>
          <w:lang w:val="es-CR"/>
        </w:rPr>
        <w:t>ediente de prueba, folio 12868), y declaraciones rendidas por</w:t>
      </w:r>
      <w:r w:rsidRPr="00F3136E">
        <w:rPr>
          <w:szCs w:val="16"/>
          <w:lang w:val="es-CR"/>
        </w:rPr>
        <w:t xml:space="preserve"> Julia Aguilar de 20 de diciembre de 2016 y 11 de febrero de 2017 (expediente de prueba, folios 11648 – 11650).</w:t>
      </w:r>
    </w:p>
  </w:footnote>
  <w:footnote w:id="295">
    <w:p w14:paraId="4055D1E7" w14:textId="6B64D5DB"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w:t>
      </w:r>
      <w:r>
        <w:rPr>
          <w:szCs w:val="16"/>
          <w:lang w:val="es-CR"/>
        </w:rPr>
        <w:t>pediente de prueba, folio 1361), y listado anexo al informe de fondo de la CIDH de 13 de abril de 2016</w:t>
      </w:r>
      <w:r w:rsidRPr="00F3136E">
        <w:rPr>
          <w:szCs w:val="16"/>
          <w:lang w:val="es-CR"/>
        </w:rPr>
        <w:t xml:space="preserve"> (expediente de prueba, folio 12767).</w:t>
      </w:r>
    </w:p>
  </w:footnote>
  <w:footnote w:id="296">
    <w:p w14:paraId="376258B2" w14:textId="655D30CB"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 xml:space="preserve">Declaraciones rendidas por Felipe </w:t>
      </w:r>
      <w:proofErr w:type="spellStart"/>
      <w:r>
        <w:rPr>
          <w:szCs w:val="16"/>
          <w:lang w:val="es-CR"/>
        </w:rPr>
        <w:t>Tebalan</w:t>
      </w:r>
      <w:proofErr w:type="spellEnd"/>
      <w:r>
        <w:rPr>
          <w:szCs w:val="16"/>
          <w:lang w:val="es-CR"/>
        </w:rPr>
        <w:t xml:space="preserve"> Ordoñez</w:t>
      </w:r>
      <w:r w:rsidRPr="00F3136E">
        <w:rPr>
          <w:szCs w:val="16"/>
          <w:lang w:val="es-CR"/>
        </w:rPr>
        <w:t xml:space="preserve"> de 11 de enero y 9 de febrero de 2017 (expediente de prueba, folios 11618, 11621, 11622, 11623 y 11624).</w:t>
      </w:r>
    </w:p>
  </w:footnote>
  <w:footnote w:id="297">
    <w:p w14:paraId="52F16CF8" w14:textId="6249C4DA"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Felipe </w:t>
      </w:r>
      <w:proofErr w:type="spellStart"/>
      <w:r w:rsidRPr="00F3136E">
        <w:rPr>
          <w:szCs w:val="16"/>
          <w:lang w:val="es-CR"/>
        </w:rPr>
        <w:t>Tebalan</w:t>
      </w:r>
      <w:proofErr w:type="spellEnd"/>
      <w:r w:rsidRPr="00F3136E">
        <w:rPr>
          <w:szCs w:val="16"/>
          <w:lang w:val="es-CR"/>
        </w:rPr>
        <w:t xml:space="preserve"> Ordoñez (expediente de prueba, folio 12828); </w:t>
      </w:r>
      <w:r>
        <w:rPr>
          <w:szCs w:val="16"/>
          <w:lang w:val="es-CR"/>
        </w:rPr>
        <w:t>d</w:t>
      </w:r>
      <w:r w:rsidRPr="00F3136E">
        <w:rPr>
          <w:szCs w:val="16"/>
          <w:lang w:val="es-CR"/>
        </w:rPr>
        <w:t xml:space="preserve">eclaraciones </w:t>
      </w:r>
      <w:r>
        <w:rPr>
          <w:szCs w:val="16"/>
          <w:lang w:val="es-CR"/>
        </w:rPr>
        <w:t xml:space="preserve">rendidas por Felipe </w:t>
      </w:r>
      <w:proofErr w:type="spellStart"/>
      <w:r>
        <w:rPr>
          <w:szCs w:val="16"/>
          <w:lang w:val="es-CR"/>
        </w:rPr>
        <w:t>Tebalan</w:t>
      </w:r>
      <w:proofErr w:type="spellEnd"/>
      <w:r>
        <w:rPr>
          <w:szCs w:val="16"/>
          <w:lang w:val="es-CR"/>
        </w:rPr>
        <w:t xml:space="preserve"> Ordoñez</w:t>
      </w:r>
      <w:r w:rsidRPr="00F3136E">
        <w:rPr>
          <w:szCs w:val="16"/>
          <w:lang w:val="es-CR"/>
        </w:rPr>
        <w:t xml:space="preserve"> de 11 de enero y 9 de febrero de 2017 (expediente de prueba, folios 11618</w:t>
      </w:r>
      <w:r>
        <w:rPr>
          <w:szCs w:val="16"/>
          <w:lang w:val="es-CR"/>
        </w:rPr>
        <w:t>, 11619, 11620, 11621 y  11624),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823).</w:t>
      </w:r>
    </w:p>
  </w:footnote>
  <w:footnote w:id="298">
    <w:p w14:paraId="12EE4ACD" w14:textId="761336A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 30 de septiembre de 2011</w:t>
      </w:r>
      <w:r w:rsidRPr="00F3136E">
        <w:rPr>
          <w:szCs w:val="16"/>
          <w:lang w:val="es-CR"/>
        </w:rPr>
        <w:t xml:space="preserve"> (expediente de prueba, folio 1361)</w:t>
      </w:r>
      <w:r>
        <w:rPr>
          <w:szCs w:val="16"/>
          <w:lang w:val="es-CR"/>
        </w:rPr>
        <w:t>, y listado anexo al informe de fondo de la CIDH de 13 de abril de 2016</w:t>
      </w:r>
      <w:r w:rsidRPr="00F3136E">
        <w:rPr>
          <w:szCs w:val="16"/>
          <w:lang w:val="es-CR"/>
        </w:rPr>
        <w:t xml:space="preserve"> (expediente de prueba, folio 12767).</w:t>
      </w:r>
    </w:p>
  </w:footnote>
  <w:footnote w:id="299">
    <w:p w14:paraId="5AB852BE" w14:textId="3D43927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Martina Candelaria Álvarez Estrada (exped</w:t>
      </w:r>
      <w:r>
        <w:rPr>
          <w:szCs w:val="16"/>
          <w:lang w:val="es-CR"/>
        </w:rPr>
        <w:t>iente de prueba, folio 12896); declaraciones</w:t>
      </w:r>
      <w:r w:rsidRPr="00F3136E">
        <w:rPr>
          <w:szCs w:val="16"/>
          <w:lang w:val="es-CR"/>
        </w:rPr>
        <w:t xml:space="preserve"> </w:t>
      </w:r>
      <w:r>
        <w:rPr>
          <w:szCs w:val="16"/>
          <w:lang w:val="es-CR"/>
        </w:rPr>
        <w:t>rendidas por</w:t>
      </w:r>
      <w:r w:rsidRPr="00F3136E">
        <w:rPr>
          <w:szCs w:val="16"/>
          <w:lang w:val="es-CR"/>
        </w:rPr>
        <w:t xml:space="preserve"> Martina Candelaria Álvarez Estrada</w:t>
      </w:r>
      <w:r>
        <w:rPr>
          <w:szCs w:val="16"/>
          <w:lang w:val="es-CR"/>
        </w:rPr>
        <w:t xml:space="preserve"> ante fedatario público</w:t>
      </w:r>
      <w:r w:rsidRPr="00F3136E">
        <w:rPr>
          <w:szCs w:val="16"/>
          <w:lang w:val="es-CR"/>
        </w:rPr>
        <w:t xml:space="preserve"> de </w:t>
      </w:r>
      <w:r>
        <w:rPr>
          <w:szCs w:val="16"/>
          <w:lang w:val="es-CR"/>
        </w:rPr>
        <w:t>25</w:t>
      </w:r>
      <w:r w:rsidRPr="00F3136E">
        <w:rPr>
          <w:szCs w:val="16"/>
          <w:lang w:val="es-CR"/>
        </w:rPr>
        <w:t xml:space="preserve"> de </w:t>
      </w:r>
      <w:r>
        <w:rPr>
          <w:szCs w:val="16"/>
          <w:lang w:val="es-CR"/>
        </w:rPr>
        <w:t>marzo</w:t>
      </w:r>
      <w:r w:rsidRPr="00F3136E">
        <w:rPr>
          <w:szCs w:val="16"/>
          <w:lang w:val="es-CR"/>
        </w:rPr>
        <w:t xml:space="preserve"> de 2017 (expediente de prueba, folio 11734</w:t>
      </w:r>
      <w:r>
        <w:rPr>
          <w:szCs w:val="16"/>
          <w:lang w:val="es-CR"/>
        </w:rPr>
        <w:t>), y escrito de los peticionarios</w:t>
      </w:r>
      <w:r w:rsidRPr="00F3136E">
        <w:rPr>
          <w:szCs w:val="16"/>
          <w:lang w:val="es-CR"/>
        </w:rPr>
        <w:t xml:space="preserve"> de 7 de agosto de 2009 (expediente de prueba, folio 824).</w:t>
      </w:r>
    </w:p>
  </w:footnote>
  <w:footnote w:id="300">
    <w:p w14:paraId="6C4B2CAC" w14:textId="4A31F80E"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1361), y listado anexo al informe de fondo de la CIDH de 13 de abril de 2016</w:t>
      </w:r>
      <w:r w:rsidRPr="00F3136E">
        <w:rPr>
          <w:szCs w:val="16"/>
          <w:lang w:val="es-CR"/>
        </w:rPr>
        <w:t xml:space="preserve"> (expediente de prueba, folio 12767).</w:t>
      </w:r>
    </w:p>
  </w:footnote>
  <w:footnote w:id="301">
    <w:p w14:paraId="1AFDA0AC" w14:textId="22A0CA0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Luis R</w:t>
      </w:r>
      <w:r>
        <w:rPr>
          <w:szCs w:val="16"/>
          <w:lang w:val="es-CR"/>
        </w:rPr>
        <w:t>ubén Isabel A</w:t>
      </w:r>
      <w:r w:rsidRPr="00F3136E">
        <w:rPr>
          <w:szCs w:val="16"/>
          <w:lang w:val="es-CR"/>
        </w:rPr>
        <w:t>lvarez Flores (exp</w:t>
      </w:r>
      <w:r>
        <w:rPr>
          <w:szCs w:val="16"/>
          <w:lang w:val="es-CR"/>
        </w:rPr>
        <w:t>ediente de prueba, folio 12884), y  d</w:t>
      </w:r>
      <w:r w:rsidRPr="00F3136E">
        <w:rPr>
          <w:szCs w:val="16"/>
          <w:lang w:val="es-CR"/>
        </w:rPr>
        <w:t xml:space="preserve">eclaraciones </w:t>
      </w:r>
      <w:r>
        <w:rPr>
          <w:szCs w:val="16"/>
          <w:lang w:val="es-CR"/>
        </w:rPr>
        <w:t>rendidas por Luis Rubén Isabel A</w:t>
      </w:r>
      <w:r w:rsidRPr="00F3136E">
        <w:rPr>
          <w:szCs w:val="16"/>
          <w:lang w:val="es-CR"/>
        </w:rPr>
        <w:t xml:space="preserve">lvarez Flores </w:t>
      </w:r>
      <w:r>
        <w:rPr>
          <w:szCs w:val="16"/>
          <w:lang w:val="es-CR"/>
        </w:rPr>
        <w:t xml:space="preserve">ante fedatario público </w:t>
      </w:r>
      <w:r w:rsidRPr="00F3136E">
        <w:rPr>
          <w:szCs w:val="16"/>
          <w:lang w:val="es-CR"/>
        </w:rPr>
        <w:t xml:space="preserve">de </w:t>
      </w:r>
      <w:r>
        <w:rPr>
          <w:szCs w:val="16"/>
          <w:lang w:val="es-CR"/>
        </w:rPr>
        <w:t>29 de marzo</w:t>
      </w:r>
      <w:r w:rsidRPr="00F3136E">
        <w:rPr>
          <w:szCs w:val="16"/>
          <w:lang w:val="es-CR"/>
        </w:rPr>
        <w:t xml:space="preserve"> de 2017 (expediente de prueba, folios 11690, 11691 y 11696).</w:t>
      </w:r>
    </w:p>
  </w:footnote>
  <w:footnote w:id="302">
    <w:p w14:paraId="0F09A667" w14:textId="4E1035D4"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Declaraciones </w:t>
      </w:r>
      <w:r>
        <w:rPr>
          <w:szCs w:val="16"/>
          <w:lang w:val="es-CR"/>
        </w:rPr>
        <w:t>rendidas por</w:t>
      </w:r>
      <w:r w:rsidRPr="00F3136E">
        <w:rPr>
          <w:szCs w:val="16"/>
          <w:lang w:val="es-CR"/>
        </w:rPr>
        <w:t xml:space="preserve"> L</w:t>
      </w:r>
      <w:r>
        <w:rPr>
          <w:szCs w:val="16"/>
          <w:lang w:val="es-CR"/>
        </w:rPr>
        <w:t xml:space="preserve">uis Rubén Isabel Alvarez Flores ante fedatario público </w:t>
      </w:r>
      <w:r w:rsidRPr="00F3136E">
        <w:rPr>
          <w:szCs w:val="16"/>
          <w:lang w:val="es-CR"/>
        </w:rPr>
        <w:t xml:space="preserve">de </w:t>
      </w:r>
      <w:r>
        <w:rPr>
          <w:szCs w:val="16"/>
          <w:lang w:val="es-CR"/>
        </w:rPr>
        <w:t>29 de marzo</w:t>
      </w:r>
      <w:r w:rsidRPr="00F3136E">
        <w:rPr>
          <w:szCs w:val="16"/>
          <w:lang w:val="es-CR"/>
        </w:rPr>
        <w:t xml:space="preserve"> de 2017 (expediente de prueba, folios 11690 y 11692).</w:t>
      </w:r>
    </w:p>
  </w:footnote>
  <w:footnote w:id="303">
    <w:p w14:paraId="00416E93" w14:textId="5581D066"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(expediente d</w:t>
      </w:r>
      <w:r>
        <w:rPr>
          <w:szCs w:val="16"/>
          <w:lang w:val="es-CR"/>
        </w:rPr>
        <w:t>e prueba, folio 1361), y listado anexo al informe de fondo de la CIDH de 13 de abril de 2016</w:t>
      </w:r>
      <w:r w:rsidRPr="00F3136E">
        <w:rPr>
          <w:szCs w:val="16"/>
          <w:lang w:val="es-CR"/>
        </w:rPr>
        <w:t xml:space="preserve"> (expediente de prueba, folios 12770 y 12771).</w:t>
      </w:r>
    </w:p>
  </w:footnote>
  <w:footnote w:id="304">
    <w:p w14:paraId="693BB6DF" w14:textId="30CC10C5"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Acción de amparo nueva presentada ante la Corte de Constitucionalidad</w:t>
      </w:r>
      <w:r>
        <w:rPr>
          <w:szCs w:val="16"/>
          <w:lang w:val="es-CR"/>
        </w:rPr>
        <w:t xml:space="preserve"> de</w:t>
      </w:r>
      <w:r w:rsidRPr="00F3136E">
        <w:rPr>
          <w:szCs w:val="16"/>
          <w:lang w:val="es-CR"/>
        </w:rPr>
        <w:t xml:space="preserve"> 26 de julio de 2002 (expediente de pr</w:t>
      </w:r>
      <w:r>
        <w:rPr>
          <w:szCs w:val="16"/>
          <w:lang w:val="es-CR"/>
        </w:rPr>
        <w:t>ueba, folio 14), y c</w:t>
      </w:r>
      <w:r w:rsidRPr="00F3136E">
        <w:rPr>
          <w:szCs w:val="16"/>
          <w:lang w:val="es-CR"/>
        </w:rPr>
        <w:t>uadro de información actualizada</w:t>
      </w:r>
      <w:r>
        <w:rPr>
          <w:szCs w:val="16"/>
          <w:lang w:val="es-CR"/>
        </w:rPr>
        <w:t xml:space="preserve"> de 2008 respecto de cada una de las víctimas</w:t>
      </w:r>
      <w:r w:rsidRPr="00F3136E">
        <w:rPr>
          <w:szCs w:val="16"/>
          <w:lang w:val="es-CR"/>
        </w:rPr>
        <w:t xml:space="preserve">, recabada por la Doctora Cristina Calderón, </w:t>
      </w:r>
      <w:r>
        <w:rPr>
          <w:szCs w:val="16"/>
          <w:lang w:val="es-CR"/>
        </w:rPr>
        <w:t>que fue adjuntado al escrito de solicitudes, argumentos y pruebas de los peticionarios</w:t>
      </w:r>
      <w:r w:rsidRPr="00F3136E">
        <w:rPr>
          <w:rFonts w:cs="Arial"/>
          <w:szCs w:val="16"/>
          <w:lang w:val="es-CR"/>
        </w:rPr>
        <w:t xml:space="preserve"> (</w:t>
      </w:r>
      <w:r w:rsidRPr="00F3136E">
        <w:rPr>
          <w:szCs w:val="16"/>
          <w:lang w:val="es-CR"/>
        </w:rPr>
        <w:t xml:space="preserve">expediente de prueba, folio </w:t>
      </w:r>
      <w:r w:rsidRPr="00F3136E">
        <w:rPr>
          <w:rFonts w:cs="Arial"/>
          <w:szCs w:val="16"/>
          <w:lang w:val="es-CR"/>
        </w:rPr>
        <w:t>12777).</w:t>
      </w:r>
    </w:p>
  </w:footnote>
  <w:footnote w:id="305">
    <w:p w14:paraId="32E36F11" w14:textId="6655FDC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Declaraciones </w:t>
      </w:r>
      <w:r>
        <w:rPr>
          <w:szCs w:val="16"/>
          <w:lang w:val="es-CR"/>
        </w:rPr>
        <w:t xml:space="preserve">rendidas por </w:t>
      </w:r>
      <w:proofErr w:type="spellStart"/>
      <w:r>
        <w:rPr>
          <w:szCs w:val="16"/>
          <w:lang w:val="es-CR"/>
        </w:rPr>
        <w:t>Saira</w:t>
      </w:r>
      <w:proofErr w:type="spellEnd"/>
      <w:r>
        <w:rPr>
          <w:szCs w:val="16"/>
          <w:lang w:val="es-CR"/>
        </w:rPr>
        <w:t xml:space="preserve"> Elisa Barrios</w:t>
      </w:r>
      <w:r w:rsidRPr="00F3136E">
        <w:rPr>
          <w:szCs w:val="16"/>
          <w:lang w:val="es-CR"/>
        </w:rPr>
        <w:t xml:space="preserve"> de 16 de enero y 9 de febrero del 2017 (expediente de prueba, folios</w:t>
      </w:r>
      <w:r>
        <w:rPr>
          <w:szCs w:val="16"/>
          <w:lang w:val="es-CR"/>
        </w:rPr>
        <w:t xml:space="preserve"> 11772, 11773, 11774 y 11777); c</w:t>
      </w:r>
      <w:r w:rsidRPr="00F3136E">
        <w:rPr>
          <w:szCs w:val="16"/>
          <w:lang w:val="es-CR"/>
        </w:rPr>
        <w:t xml:space="preserve">ertificado de nacimiento de </w:t>
      </w:r>
      <w:proofErr w:type="spellStart"/>
      <w:r w:rsidRPr="00F3136E">
        <w:rPr>
          <w:szCs w:val="16"/>
          <w:lang w:val="es-CR"/>
        </w:rPr>
        <w:t>Saira</w:t>
      </w:r>
      <w:proofErr w:type="spellEnd"/>
      <w:r w:rsidRPr="00F3136E">
        <w:rPr>
          <w:szCs w:val="16"/>
          <w:lang w:val="es-CR"/>
        </w:rPr>
        <w:t xml:space="preserve"> Elisa Barrios (exp</w:t>
      </w:r>
      <w:r>
        <w:rPr>
          <w:szCs w:val="16"/>
          <w:lang w:val="es-CR"/>
        </w:rPr>
        <w:t>ediente de prueba, folio 12858),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folios 823, 824 y 825).</w:t>
      </w:r>
    </w:p>
  </w:footnote>
  <w:footnote w:id="306">
    <w:p w14:paraId="5A28B02C" w14:textId="4A2C55A8"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1362), y listado anexo al informe de fondo de la CIDH de 13 de abril de 2016</w:t>
      </w:r>
      <w:r w:rsidRPr="00F3136E">
        <w:rPr>
          <w:szCs w:val="16"/>
          <w:lang w:val="es-CR"/>
        </w:rPr>
        <w:t xml:space="preserve"> (expediente de prueba, folio 12767).</w:t>
      </w:r>
    </w:p>
  </w:footnote>
  <w:footnote w:id="307">
    <w:p w14:paraId="65FB6F62" w14:textId="2B83DBE1"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w:t>
      </w:r>
      <w:proofErr w:type="spellStart"/>
      <w:r w:rsidRPr="00F3136E">
        <w:rPr>
          <w:szCs w:val="16"/>
          <w:lang w:val="es-CR"/>
        </w:rPr>
        <w:t>F</w:t>
      </w:r>
      <w:r>
        <w:rPr>
          <w:szCs w:val="16"/>
          <w:lang w:val="es-CR"/>
        </w:rPr>
        <w:t>e</w:t>
      </w:r>
      <w:r w:rsidRPr="00F3136E">
        <w:rPr>
          <w:szCs w:val="16"/>
          <w:lang w:val="es-CR"/>
        </w:rPr>
        <w:t>lix</w:t>
      </w:r>
      <w:proofErr w:type="spellEnd"/>
      <w:r w:rsidRPr="00F3136E">
        <w:rPr>
          <w:szCs w:val="16"/>
          <w:lang w:val="es-CR"/>
        </w:rPr>
        <w:t xml:space="preserve"> de Jesús Cabrera Morales (exped</w:t>
      </w:r>
      <w:r>
        <w:rPr>
          <w:szCs w:val="16"/>
          <w:lang w:val="es-CR"/>
        </w:rPr>
        <w:t xml:space="preserve">iente de prueba, folio 12872); declaraciones rendidas por </w:t>
      </w:r>
      <w:proofErr w:type="spellStart"/>
      <w:r>
        <w:rPr>
          <w:szCs w:val="16"/>
          <w:lang w:val="es-CR"/>
        </w:rPr>
        <w:t>Felix</w:t>
      </w:r>
      <w:proofErr w:type="spellEnd"/>
      <w:r>
        <w:rPr>
          <w:szCs w:val="16"/>
          <w:lang w:val="es-CR"/>
        </w:rPr>
        <w:t xml:space="preserve"> de Jesús Cabrera Morales</w:t>
      </w:r>
      <w:r w:rsidRPr="00F3136E">
        <w:rPr>
          <w:szCs w:val="16"/>
          <w:lang w:val="es-CR"/>
        </w:rPr>
        <w:t xml:space="preserve"> </w:t>
      </w:r>
      <w:r>
        <w:rPr>
          <w:szCs w:val="16"/>
          <w:lang w:val="es-CR"/>
        </w:rPr>
        <w:t xml:space="preserve">ante fedatario público </w:t>
      </w:r>
      <w:r w:rsidRPr="00F3136E">
        <w:rPr>
          <w:szCs w:val="16"/>
          <w:lang w:val="es-CR"/>
        </w:rPr>
        <w:t xml:space="preserve">de </w:t>
      </w:r>
      <w:r>
        <w:rPr>
          <w:szCs w:val="16"/>
          <w:lang w:val="es-CR"/>
        </w:rPr>
        <w:t>28 de marzo de 2017</w:t>
      </w:r>
      <w:r w:rsidRPr="00F3136E">
        <w:rPr>
          <w:szCs w:val="16"/>
          <w:lang w:val="es-CR"/>
        </w:rPr>
        <w:t xml:space="preserve"> (expediente de prueba, folios 1162</w:t>
      </w:r>
      <w:r>
        <w:rPr>
          <w:szCs w:val="16"/>
          <w:lang w:val="es-CR"/>
        </w:rPr>
        <w:t>7, 11629 y 11636); escrito de los peticionarios</w:t>
      </w:r>
      <w:r w:rsidRPr="00F3136E">
        <w:rPr>
          <w:szCs w:val="16"/>
          <w:lang w:val="es-CR"/>
        </w:rPr>
        <w:t xml:space="preserve"> de 7 de agosto de 2009 (exp</w:t>
      </w:r>
      <w:r>
        <w:rPr>
          <w:szCs w:val="16"/>
          <w:lang w:val="es-CR"/>
        </w:rPr>
        <w:t>ediente de prueba, folio 831), y d</w:t>
      </w:r>
      <w:r w:rsidRPr="00F3136E">
        <w:rPr>
          <w:szCs w:val="16"/>
          <w:lang w:val="es-CR"/>
        </w:rPr>
        <w:t xml:space="preserve">eclaración </w:t>
      </w:r>
      <w:r>
        <w:rPr>
          <w:szCs w:val="16"/>
          <w:lang w:val="es-CR"/>
        </w:rPr>
        <w:t xml:space="preserve">rendida por </w:t>
      </w:r>
      <w:proofErr w:type="spellStart"/>
      <w:r w:rsidRPr="00F3136E">
        <w:rPr>
          <w:szCs w:val="16"/>
          <w:lang w:val="es-CR"/>
        </w:rPr>
        <w:t>F</w:t>
      </w:r>
      <w:r>
        <w:rPr>
          <w:szCs w:val="16"/>
          <w:lang w:val="es-CR"/>
        </w:rPr>
        <w:t>e</w:t>
      </w:r>
      <w:r w:rsidRPr="00F3136E">
        <w:rPr>
          <w:szCs w:val="16"/>
          <w:lang w:val="es-CR"/>
        </w:rPr>
        <w:t>lix</w:t>
      </w:r>
      <w:proofErr w:type="spellEnd"/>
      <w:r w:rsidRPr="00F3136E">
        <w:rPr>
          <w:szCs w:val="16"/>
          <w:lang w:val="es-CR"/>
        </w:rPr>
        <w:t xml:space="preserve"> de Jesús Cabrer</w:t>
      </w:r>
      <w:r>
        <w:rPr>
          <w:szCs w:val="16"/>
          <w:lang w:val="es-CR"/>
        </w:rPr>
        <w:t>a Morales en la audiencia pública celebrada ante esta Corte.</w:t>
      </w:r>
    </w:p>
  </w:footnote>
  <w:footnote w:id="308">
    <w:p w14:paraId="79ECF5EA" w14:textId="614CD89F"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Declaración </w:t>
      </w:r>
      <w:r>
        <w:rPr>
          <w:szCs w:val="16"/>
          <w:lang w:val="es-CR"/>
        </w:rPr>
        <w:t xml:space="preserve">rendida por </w:t>
      </w:r>
      <w:proofErr w:type="spellStart"/>
      <w:r>
        <w:rPr>
          <w:szCs w:val="16"/>
          <w:lang w:val="es-CR"/>
        </w:rPr>
        <w:t>Fe</w:t>
      </w:r>
      <w:r w:rsidRPr="00F3136E">
        <w:rPr>
          <w:szCs w:val="16"/>
          <w:lang w:val="es-CR"/>
        </w:rPr>
        <w:t>lix</w:t>
      </w:r>
      <w:proofErr w:type="spellEnd"/>
      <w:r w:rsidRPr="00F3136E">
        <w:rPr>
          <w:szCs w:val="16"/>
          <w:lang w:val="es-CR"/>
        </w:rPr>
        <w:t xml:space="preserve"> de Jesús Cabrera Morales</w:t>
      </w:r>
      <w:r>
        <w:rPr>
          <w:szCs w:val="16"/>
          <w:lang w:val="es-CR"/>
        </w:rPr>
        <w:t xml:space="preserve"> ante fedatario público</w:t>
      </w:r>
      <w:r w:rsidRPr="00F3136E">
        <w:rPr>
          <w:szCs w:val="16"/>
          <w:lang w:val="es-CR"/>
        </w:rPr>
        <w:t xml:space="preserve"> de </w:t>
      </w:r>
      <w:r>
        <w:rPr>
          <w:szCs w:val="16"/>
          <w:lang w:val="es-CR"/>
        </w:rPr>
        <w:t>28 de marzo de 2017</w:t>
      </w:r>
      <w:r w:rsidRPr="00F3136E">
        <w:rPr>
          <w:szCs w:val="16"/>
          <w:lang w:val="es-CR"/>
        </w:rPr>
        <w:t xml:space="preserve"> (expediente de prueb</w:t>
      </w:r>
      <w:r>
        <w:rPr>
          <w:szCs w:val="16"/>
          <w:lang w:val="es-CR"/>
        </w:rPr>
        <w:t>a, folios 11627, 11628 y 11631), y d</w:t>
      </w:r>
      <w:r w:rsidRPr="00F3136E">
        <w:rPr>
          <w:szCs w:val="16"/>
          <w:lang w:val="es-CR"/>
        </w:rPr>
        <w:t>e</w:t>
      </w:r>
      <w:r>
        <w:rPr>
          <w:szCs w:val="16"/>
          <w:lang w:val="es-CR"/>
        </w:rPr>
        <w:t xml:space="preserve">claración rendida por </w:t>
      </w:r>
      <w:proofErr w:type="spellStart"/>
      <w:r>
        <w:rPr>
          <w:szCs w:val="16"/>
          <w:lang w:val="es-CR"/>
        </w:rPr>
        <w:t>Fe</w:t>
      </w:r>
      <w:r w:rsidRPr="00F3136E">
        <w:rPr>
          <w:szCs w:val="16"/>
          <w:lang w:val="es-CR"/>
        </w:rPr>
        <w:t>lix</w:t>
      </w:r>
      <w:proofErr w:type="spellEnd"/>
      <w:r w:rsidRPr="00F3136E">
        <w:rPr>
          <w:szCs w:val="16"/>
          <w:lang w:val="es-CR"/>
        </w:rPr>
        <w:t xml:space="preserve"> de Jesús Cabrer</w:t>
      </w:r>
      <w:r>
        <w:rPr>
          <w:szCs w:val="16"/>
          <w:lang w:val="es-CR"/>
        </w:rPr>
        <w:t>a Morales en la audiencia pública celebrada ante esta Corte.</w:t>
      </w:r>
    </w:p>
  </w:footnote>
  <w:footnote w:id="309">
    <w:p w14:paraId="12A300C1" w14:textId="0121544A"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w:t>
      </w:r>
      <w:r>
        <w:rPr>
          <w:szCs w:val="16"/>
          <w:lang w:val="es-CR"/>
        </w:rPr>
        <w:t>diente de prueba, folio 1365), y listado anexo al informe de fondo de la CIDH de 13 de abril de 2016</w:t>
      </w:r>
      <w:r w:rsidRPr="00F3136E">
        <w:rPr>
          <w:szCs w:val="16"/>
          <w:lang w:val="es-CR"/>
        </w:rPr>
        <w:t xml:space="preserve"> (expediente de prueba, folio 12770).</w:t>
      </w:r>
    </w:p>
  </w:footnote>
  <w:footnote w:id="310">
    <w:p w14:paraId="1260B16D" w14:textId="48C72505"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 Cé</w:t>
      </w:r>
      <w:r w:rsidRPr="00F3136E">
        <w:rPr>
          <w:szCs w:val="16"/>
          <w:lang w:val="es-CR"/>
        </w:rPr>
        <w:t>sar Noé Cancinos Gómez (exped</w:t>
      </w:r>
      <w:r>
        <w:rPr>
          <w:szCs w:val="16"/>
          <w:lang w:val="es-CR"/>
        </w:rPr>
        <w:t>iente de prueba, folio 12816); declaración rendida por Cé</w:t>
      </w:r>
      <w:r w:rsidRPr="00F3136E">
        <w:rPr>
          <w:szCs w:val="16"/>
          <w:lang w:val="es-CR"/>
        </w:rPr>
        <w:t>sar Noé Cancinos</w:t>
      </w:r>
      <w:r>
        <w:rPr>
          <w:szCs w:val="16"/>
          <w:lang w:val="es-CR"/>
        </w:rPr>
        <w:t xml:space="preserve"> Gómez ante fedatario público</w:t>
      </w:r>
      <w:r w:rsidRPr="00F3136E">
        <w:rPr>
          <w:szCs w:val="16"/>
          <w:lang w:val="es-CR"/>
        </w:rPr>
        <w:t xml:space="preserve"> de </w:t>
      </w:r>
      <w:r>
        <w:rPr>
          <w:szCs w:val="16"/>
          <w:lang w:val="es-CR"/>
        </w:rPr>
        <w:t xml:space="preserve"> 25 de marzo</w:t>
      </w:r>
      <w:r w:rsidRPr="00F3136E">
        <w:rPr>
          <w:szCs w:val="16"/>
          <w:lang w:val="es-CR"/>
        </w:rPr>
        <w:t xml:space="preserve"> de 2017 (expediente de prueb</w:t>
      </w:r>
      <w:r>
        <w:rPr>
          <w:szCs w:val="16"/>
          <w:lang w:val="es-CR"/>
        </w:rPr>
        <w:t>a, folios 11581, 11582 y 11583),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827).</w:t>
      </w:r>
    </w:p>
  </w:footnote>
  <w:footnote w:id="311">
    <w:p w14:paraId="228356C0" w14:textId="2431F960"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(expediente de prueba, folio 136</w:t>
      </w:r>
      <w:r>
        <w:rPr>
          <w:szCs w:val="16"/>
          <w:lang w:val="es-CR"/>
        </w:rPr>
        <w:t>3), y listado anexo al informe de fondo de la CIDH de 13 de abril de 2016</w:t>
      </w:r>
      <w:r w:rsidRPr="00F3136E">
        <w:rPr>
          <w:szCs w:val="16"/>
          <w:lang w:val="es-CR"/>
        </w:rPr>
        <w:t xml:space="preserve"> (expediente de prueba, folios 12768 y 12769).</w:t>
      </w:r>
    </w:p>
  </w:footnote>
  <w:footnote w:id="312">
    <w:p w14:paraId="23A3C76A" w14:textId="6647EC4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Aracely Cinto (expediente de prueba, folio 12806); Declaración </w:t>
      </w:r>
      <w:r>
        <w:rPr>
          <w:szCs w:val="16"/>
          <w:lang w:val="es-CR"/>
        </w:rPr>
        <w:t>rendida por Aracely Cinto ante fedatario público</w:t>
      </w:r>
      <w:r w:rsidRPr="00F3136E">
        <w:rPr>
          <w:szCs w:val="16"/>
          <w:lang w:val="es-CR"/>
        </w:rPr>
        <w:t xml:space="preserve"> de </w:t>
      </w:r>
      <w:r>
        <w:rPr>
          <w:szCs w:val="16"/>
          <w:lang w:val="es-CR"/>
        </w:rPr>
        <w:t>25 de marzo</w:t>
      </w:r>
      <w:r w:rsidRPr="00F3136E">
        <w:rPr>
          <w:szCs w:val="16"/>
          <w:lang w:val="es-CR"/>
        </w:rPr>
        <w:t xml:space="preserve"> de 2017 (expediente de prueba, folios 1156</w:t>
      </w:r>
      <w:r>
        <w:rPr>
          <w:szCs w:val="16"/>
          <w:lang w:val="es-CR"/>
        </w:rPr>
        <w:t>2, 11564, 11566, 11567 y 11569),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828).</w:t>
      </w:r>
    </w:p>
  </w:footnote>
  <w:footnote w:id="313">
    <w:p w14:paraId="5D25E1CE" w14:textId="11384282"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(expediente de prueba,</w:t>
      </w:r>
      <w:r>
        <w:rPr>
          <w:szCs w:val="16"/>
          <w:lang w:val="es-CR"/>
        </w:rPr>
        <w:t xml:space="preserve"> folio 1363); y listado anexo al informe de fondo de la CIDH de 13 de abril de 2016</w:t>
      </w:r>
      <w:r w:rsidRPr="00F3136E">
        <w:rPr>
          <w:szCs w:val="16"/>
          <w:lang w:val="es-CR"/>
        </w:rPr>
        <w:t xml:space="preserve"> (expediente de prueba, folio 12769).</w:t>
      </w:r>
    </w:p>
  </w:footnote>
  <w:footnote w:id="314">
    <w:p w14:paraId="115493CD" w14:textId="46106A02"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Luis Rolando </w:t>
      </w:r>
      <w:proofErr w:type="spellStart"/>
      <w:r w:rsidRPr="00F3136E">
        <w:rPr>
          <w:szCs w:val="16"/>
          <w:lang w:val="es-CR"/>
        </w:rPr>
        <w:t>Cuscul</w:t>
      </w:r>
      <w:proofErr w:type="spellEnd"/>
      <w:r w:rsidRPr="00F3136E">
        <w:rPr>
          <w:szCs w:val="16"/>
          <w:lang w:val="es-CR"/>
        </w:rPr>
        <w:t xml:space="preserve"> Pivaral (expe</w:t>
      </w:r>
      <w:r>
        <w:rPr>
          <w:szCs w:val="16"/>
          <w:lang w:val="es-CR"/>
        </w:rPr>
        <w:t>diente de prueba, folio 1880); d</w:t>
      </w:r>
      <w:r w:rsidRPr="00F3136E">
        <w:rPr>
          <w:szCs w:val="16"/>
          <w:lang w:val="es-CR"/>
        </w:rPr>
        <w:t xml:space="preserve">eclaraciones </w:t>
      </w:r>
      <w:r>
        <w:rPr>
          <w:szCs w:val="16"/>
          <w:lang w:val="es-CR"/>
        </w:rPr>
        <w:t xml:space="preserve">rendidas por Luis Rolando </w:t>
      </w:r>
      <w:proofErr w:type="spellStart"/>
      <w:r>
        <w:rPr>
          <w:szCs w:val="16"/>
          <w:lang w:val="es-CR"/>
        </w:rPr>
        <w:t>Cuscul</w:t>
      </w:r>
      <w:proofErr w:type="spellEnd"/>
      <w:r>
        <w:rPr>
          <w:szCs w:val="16"/>
          <w:lang w:val="es-CR"/>
        </w:rPr>
        <w:t xml:space="preserve"> Pivaral</w:t>
      </w:r>
      <w:r w:rsidRPr="00F3136E">
        <w:rPr>
          <w:szCs w:val="16"/>
          <w:lang w:val="es-CR"/>
        </w:rPr>
        <w:t xml:space="preserve"> </w:t>
      </w:r>
      <w:r>
        <w:rPr>
          <w:szCs w:val="16"/>
          <w:lang w:val="es-CR"/>
        </w:rPr>
        <w:t xml:space="preserve">ante fedatario público </w:t>
      </w:r>
      <w:r w:rsidRPr="00F3136E">
        <w:rPr>
          <w:szCs w:val="16"/>
          <w:lang w:val="es-CR"/>
        </w:rPr>
        <w:t xml:space="preserve">de </w:t>
      </w:r>
      <w:r>
        <w:rPr>
          <w:szCs w:val="16"/>
          <w:lang w:val="es-CR"/>
        </w:rPr>
        <w:t>29 de marzo de 2017</w:t>
      </w:r>
      <w:r w:rsidRPr="00F3136E">
        <w:rPr>
          <w:szCs w:val="16"/>
          <w:lang w:val="es-CR"/>
        </w:rPr>
        <w:t xml:space="preserve"> (expediente de prueba, folios 11676, 11677,11678, 11679, 11684, 11685 y 11686).</w:t>
      </w:r>
    </w:p>
  </w:footnote>
  <w:footnote w:id="315">
    <w:p w14:paraId="74B6CB87" w14:textId="085E9565"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(expediente</w:t>
      </w:r>
      <w:r>
        <w:rPr>
          <w:szCs w:val="16"/>
          <w:lang w:val="es-CR"/>
        </w:rPr>
        <w:t xml:space="preserve"> de prueba, folios 1360 y 1361), y listado anexo al informe de fondo de la CIDH de 13 de abril de 2016</w:t>
      </w:r>
      <w:r w:rsidRPr="00F3136E">
        <w:rPr>
          <w:szCs w:val="16"/>
          <w:lang w:val="es-CR"/>
        </w:rPr>
        <w:t xml:space="preserve"> (expediente de prueba, folio 12766).</w:t>
      </w:r>
    </w:p>
  </w:footnote>
  <w:footnote w:id="316">
    <w:p w14:paraId="23AAF2C1" w14:textId="4E10D061"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Petición inicial de 14 de agosto de 2003</w:t>
      </w:r>
      <w:r>
        <w:rPr>
          <w:szCs w:val="16"/>
          <w:lang w:val="es-CR"/>
        </w:rPr>
        <w:t xml:space="preserve"> dirigido a la CIDH</w:t>
      </w:r>
      <w:r w:rsidRPr="00F3136E">
        <w:rPr>
          <w:szCs w:val="16"/>
          <w:lang w:val="es-CR"/>
        </w:rPr>
        <w:t xml:space="preserve"> (expediente de prueba, folio 463).</w:t>
      </w:r>
    </w:p>
  </w:footnote>
  <w:footnote w:id="317">
    <w:p w14:paraId="702FA190" w14:textId="70B5D0DB"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María Felipe Pérez (exped</w:t>
      </w:r>
      <w:r>
        <w:rPr>
          <w:szCs w:val="16"/>
          <w:lang w:val="es-CR"/>
        </w:rPr>
        <w:t>iente de prueba, folio 12892); d</w:t>
      </w:r>
      <w:r w:rsidRPr="00F3136E">
        <w:rPr>
          <w:szCs w:val="16"/>
          <w:lang w:val="es-CR"/>
        </w:rPr>
        <w:t xml:space="preserve">eclaraciones </w:t>
      </w:r>
      <w:r>
        <w:rPr>
          <w:szCs w:val="16"/>
          <w:lang w:val="es-CR"/>
        </w:rPr>
        <w:t>rendidas por</w:t>
      </w:r>
      <w:r w:rsidRPr="00F3136E">
        <w:rPr>
          <w:szCs w:val="16"/>
          <w:lang w:val="es-CR"/>
        </w:rPr>
        <w:t xml:space="preserve"> María Felipe Pérez </w:t>
      </w:r>
      <w:r>
        <w:rPr>
          <w:szCs w:val="16"/>
          <w:lang w:val="es-CR"/>
        </w:rPr>
        <w:t xml:space="preserve">ante fedatario público </w:t>
      </w:r>
      <w:r w:rsidRPr="00F3136E">
        <w:rPr>
          <w:szCs w:val="16"/>
          <w:lang w:val="es-CR"/>
        </w:rPr>
        <w:t xml:space="preserve">de </w:t>
      </w:r>
      <w:r>
        <w:rPr>
          <w:szCs w:val="16"/>
          <w:lang w:val="es-CR"/>
        </w:rPr>
        <w:t>25 de marzo de 2017</w:t>
      </w:r>
      <w:r w:rsidRPr="00F3136E">
        <w:rPr>
          <w:szCs w:val="16"/>
          <w:lang w:val="es-CR"/>
        </w:rPr>
        <w:t xml:space="preserve"> (expediente de prueba, foli</w:t>
      </w:r>
      <w:r>
        <w:rPr>
          <w:szCs w:val="16"/>
          <w:lang w:val="es-CR"/>
        </w:rPr>
        <w:t>os 11726, 11727, 11728 y 11730),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827).</w:t>
      </w:r>
    </w:p>
  </w:footnote>
  <w:footnote w:id="318">
    <w:p w14:paraId="6E560E24" w14:textId="26C50378"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w:t>
      </w:r>
      <w:r>
        <w:rPr>
          <w:szCs w:val="16"/>
          <w:lang w:val="es-CR"/>
        </w:rPr>
        <w:t>pediente de prueba, folio 1364), y listado anexo al informe de fondo de la CIDH de 13 de abril de 2016</w:t>
      </w:r>
      <w:r w:rsidRPr="00F3136E">
        <w:rPr>
          <w:szCs w:val="16"/>
          <w:lang w:val="es-CR"/>
        </w:rPr>
        <w:t xml:space="preserve"> (expediente de prueba, folio 12769).</w:t>
      </w:r>
    </w:p>
  </w:footnote>
  <w:footnote w:id="319">
    <w:p w14:paraId="76696C71" w14:textId="0A1A510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w:t>
      </w:r>
      <w:proofErr w:type="spellStart"/>
      <w:r w:rsidRPr="00F3136E">
        <w:rPr>
          <w:szCs w:val="16"/>
          <w:lang w:val="es-CR"/>
        </w:rPr>
        <w:t>Ismerai</w:t>
      </w:r>
      <w:proofErr w:type="spellEnd"/>
      <w:r w:rsidRPr="00F3136E">
        <w:rPr>
          <w:szCs w:val="16"/>
          <w:lang w:val="es-CR"/>
        </w:rPr>
        <w:t xml:space="preserve"> </w:t>
      </w:r>
      <w:proofErr w:type="spellStart"/>
      <w:r w:rsidRPr="00F3136E">
        <w:rPr>
          <w:szCs w:val="16"/>
          <w:lang w:val="es-CR"/>
        </w:rPr>
        <w:t>Olibia</w:t>
      </w:r>
      <w:proofErr w:type="spellEnd"/>
      <w:r w:rsidRPr="00F3136E">
        <w:rPr>
          <w:szCs w:val="16"/>
          <w:lang w:val="es-CR"/>
        </w:rPr>
        <w:t xml:space="preserve"> García </w:t>
      </w:r>
      <w:proofErr w:type="spellStart"/>
      <w:r w:rsidRPr="00F3136E">
        <w:rPr>
          <w:szCs w:val="16"/>
          <w:lang w:val="es-CR"/>
        </w:rPr>
        <w:t>Castañon</w:t>
      </w:r>
      <w:proofErr w:type="spellEnd"/>
      <w:r w:rsidRPr="00F3136E">
        <w:rPr>
          <w:szCs w:val="16"/>
          <w:lang w:val="es-CR"/>
        </w:rPr>
        <w:t xml:space="preserve"> (expediente de prueba, folio 12848); </w:t>
      </w:r>
      <w:r>
        <w:rPr>
          <w:szCs w:val="16"/>
          <w:lang w:val="es-CR"/>
        </w:rPr>
        <w:t>c</w:t>
      </w:r>
      <w:r w:rsidRPr="00F3136E">
        <w:rPr>
          <w:szCs w:val="16"/>
          <w:lang w:val="es-CR"/>
        </w:rPr>
        <w:t>uadro sobre información recabada por la Doctora Cristina Calderón, a través de entrevistas</w:t>
      </w:r>
      <w:r>
        <w:rPr>
          <w:szCs w:val="16"/>
          <w:lang w:val="es-CR"/>
        </w:rPr>
        <w:t xml:space="preserve"> y revisión de expedientes de los peticionarios en noviembre de 2010, que fue adjuntado al escrito de solicitudes, argumentos y pruebas</w:t>
      </w:r>
      <w:r w:rsidRPr="00F3136E">
        <w:rPr>
          <w:szCs w:val="16"/>
          <w:lang w:val="es-CR"/>
        </w:rPr>
        <w:t xml:space="preserve"> (expediente de </w:t>
      </w:r>
      <w:r>
        <w:rPr>
          <w:szCs w:val="16"/>
          <w:lang w:val="es-CR"/>
        </w:rPr>
        <w:t>prueba, folios 12795 y 12796),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825).</w:t>
      </w:r>
    </w:p>
  </w:footnote>
  <w:footnote w:id="320">
    <w:p w14:paraId="45722482" w14:textId="25B91F55"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(expediente de pr</w:t>
      </w:r>
      <w:r>
        <w:rPr>
          <w:szCs w:val="16"/>
          <w:lang w:val="es-CR"/>
        </w:rPr>
        <w:t>ueba, folio 1362), y listado anexo al informe de fondo de la CIDH de 13 de abril de 2016</w:t>
      </w:r>
      <w:r w:rsidRPr="00F3136E">
        <w:rPr>
          <w:szCs w:val="16"/>
          <w:lang w:val="es-CR"/>
        </w:rPr>
        <w:t xml:space="preserve"> (expediente de prueba, folio 12768).</w:t>
      </w:r>
    </w:p>
  </w:footnote>
  <w:footnote w:id="321">
    <w:p w14:paraId="46EF7A00" w14:textId="6EDF085C"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Santos </w:t>
      </w:r>
      <w:proofErr w:type="spellStart"/>
      <w:r w:rsidRPr="00F3136E">
        <w:rPr>
          <w:szCs w:val="16"/>
          <w:lang w:val="es-CR"/>
        </w:rPr>
        <w:t>Isacar</w:t>
      </w:r>
      <w:proofErr w:type="spellEnd"/>
      <w:r w:rsidRPr="00F3136E">
        <w:rPr>
          <w:szCs w:val="16"/>
          <w:lang w:val="es-CR"/>
        </w:rPr>
        <w:t xml:space="preserve"> Vásquez Barrios (expediente de prueba, folio 1284</w:t>
      </w:r>
      <w:r>
        <w:rPr>
          <w:szCs w:val="16"/>
          <w:lang w:val="es-CR"/>
        </w:rPr>
        <w:t xml:space="preserve">0); declaración rendida por Santos </w:t>
      </w:r>
      <w:proofErr w:type="spellStart"/>
      <w:r>
        <w:rPr>
          <w:szCs w:val="16"/>
          <w:lang w:val="es-CR"/>
        </w:rPr>
        <w:t>Isacar</w:t>
      </w:r>
      <w:proofErr w:type="spellEnd"/>
      <w:r>
        <w:rPr>
          <w:szCs w:val="16"/>
          <w:lang w:val="es-CR"/>
        </w:rPr>
        <w:t xml:space="preserve"> Vásquez Barrios </w:t>
      </w:r>
      <w:r w:rsidRPr="00F3136E">
        <w:rPr>
          <w:szCs w:val="16"/>
          <w:lang w:val="es-CR"/>
        </w:rPr>
        <w:t xml:space="preserve"> de 12 de febrero de 2017 (expediente de prueba, folios 11802, 11803 y 11804); </w:t>
      </w:r>
      <w:r>
        <w:rPr>
          <w:szCs w:val="16"/>
          <w:lang w:val="es-CR"/>
        </w:rPr>
        <w:t>c</w:t>
      </w:r>
      <w:r w:rsidRPr="00F3136E">
        <w:rPr>
          <w:szCs w:val="16"/>
          <w:lang w:val="es-CR"/>
        </w:rPr>
        <w:t>uadro sobre información recabada por la Doctora Cristina Calderón, a través de entrevistas</w:t>
      </w:r>
      <w:r>
        <w:rPr>
          <w:szCs w:val="16"/>
          <w:lang w:val="es-CR"/>
        </w:rPr>
        <w:t xml:space="preserve"> y revisión de expedientes de los peticionarios en noviembre de 2010, que fue adjuntado al escrito de solicitudes, argumentos y pruebas</w:t>
      </w:r>
      <w:r w:rsidRPr="00F3136E">
        <w:rPr>
          <w:szCs w:val="16"/>
          <w:lang w:val="es-CR"/>
        </w:rPr>
        <w:t xml:space="preserve">  (expediente de prueba, folio 127</w:t>
      </w:r>
      <w:r>
        <w:rPr>
          <w:szCs w:val="16"/>
          <w:lang w:val="es-CR"/>
        </w:rPr>
        <w:t>97), y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(expediente de prueba, folio 827).</w:t>
      </w:r>
    </w:p>
  </w:footnote>
  <w:footnote w:id="322">
    <w:p w14:paraId="6C28259E" w14:textId="26F4E78F"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1362), y listado anexo al informe de fondo de la CIDH de 13 de abril de 2016</w:t>
      </w:r>
      <w:r w:rsidRPr="00F3136E">
        <w:rPr>
          <w:szCs w:val="16"/>
          <w:lang w:val="es-CR"/>
        </w:rPr>
        <w:t xml:space="preserve"> (expediente de prueba, folio 12768).</w:t>
      </w:r>
    </w:p>
  </w:footnote>
  <w:footnote w:id="323">
    <w:p w14:paraId="5B381383" w14:textId="18F7F8B0"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w:t>
      </w:r>
      <w:proofErr w:type="spellStart"/>
      <w:r w:rsidRPr="00F3136E">
        <w:rPr>
          <w:szCs w:val="16"/>
          <w:lang w:val="es-CR"/>
        </w:rPr>
        <w:t>Mardo</w:t>
      </w:r>
      <w:proofErr w:type="spellEnd"/>
      <w:r w:rsidRPr="00F3136E">
        <w:rPr>
          <w:szCs w:val="16"/>
          <w:lang w:val="es-CR"/>
        </w:rPr>
        <w:t xml:space="preserve"> Luis Hernández y Hernández (exp</w:t>
      </w:r>
      <w:r>
        <w:rPr>
          <w:szCs w:val="16"/>
          <w:lang w:val="es-CR"/>
        </w:rPr>
        <w:t>ediente de prueba, folio 12886), y d</w:t>
      </w:r>
      <w:r w:rsidRPr="00F3136E">
        <w:rPr>
          <w:szCs w:val="16"/>
          <w:lang w:val="es-CR"/>
        </w:rPr>
        <w:t xml:space="preserve">eclaraciones </w:t>
      </w:r>
      <w:r>
        <w:rPr>
          <w:szCs w:val="16"/>
          <w:lang w:val="es-CR"/>
        </w:rPr>
        <w:t>rendidas por</w:t>
      </w:r>
      <w:r w:rsidRPr="00F3136E">
        <w:rPr>
          <w:szCs w:val="16"/>
          <w:lang w:val="es-CR"/>
        </w:rPr>
        <w:t xml:space="preserve"> </w:t>
      </w:r>
      <w:proofErr w:type="spellStart"/>
      <w:r w:rsidRPr="00F3136E">
        <w:rPr>
          <w:szCs w:val="16"/>
          <w:lang w:val="es-CR"/>
        </w:rPr>
        <w:t>M</w:t>
      </w:r>
      <w:r>
        <w:rPr>
          <w:szCs w:val="16"/>
          <w:lang w:val="es-CR"/>
        </w:rPr>
        <w:t>ardo</w:t>
      </w:r>
      <w:proofErr w:type="spellEnd"/>
      <w:r>
        <w:rPr>
          <w:szCs w:val="16"/>
          <w:lang w:val="es-CR"/>
        </w:rPr>
        <w:t xml:space="preserve"> Luis Hernández y Hernández ante fedatario público de 25 de marzo</w:t>
      </w:r>
      <w:r w:rsidRPr="00F3136E">
        <w:rPr>
          <w:szCs w:val="16"/>
          <w:lang w:val="es-CR"/>
        </w:rPr>
        <w:t xml:space="preserve"> de 2017 (expediente de prueba, folios 11705 – 11709).</w:t>
      </w:r>
    </w:p>
  </w:footnote>
  <w:footnote w:id="324">
    <w:p w14:paraId="11515ED6" w14:textId="4690B402"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30 de septiembre de 2011 </w:t>
      </w:r>
      <w:r w:rsidRPr="00F3136E">
        <w:rPr>
          <w:szCs w:val="16"/>
          <w:lang w:val="es-CR"/>
        </w:rPr>
        <w:t>(ex</w:t>
      </w:r>
      <w:r>
        <w:rPr>
          <w:szCs w:val="16"/>
          <w:lang w:val="es-CR"/>
        </w:rPr>
        <w:t>pediente de prueba, folio 1365), y listado anexo al informe de fondo de la CIDH de 13 de abril de 2016</w:t>
      </w:r>
      <w:r w:rsidRPr="00F3136E">
        <w:rPr>
          <w:szCs w:val="16"/>
          <w:lang w:val="es-CR"/>
        </w:rPr>
        <w:t xml:space="preserve"> (expediente de prueba, folio 12777).</w:t>
      </w:r>
    </w:p>
  </w:footnote>
  <w:footnote w:id="325">
    <w:p w14:paraId="79AFEDD6" w14:textId="68B5F65C"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de</w:t>
      </w:r>
      <w:r w:rsidRPr="00F3136E">
        <w:rPr>
          <w:szCs w:val="16"/>
          <w:lang w:val="es-CR"/>
        </w:rPr>
        <w:t xml:space="preserve"> Luis Armando Linares Ruano (expediente de prueba, fol</w:t>
      </w:r>
      <w:r>
        <w:rPr>
          <w:szCs w:val="16"/>
          <w:lang w:val="es-CR"/>
        </w:rPr>
        <w:t>io 12876), y declaración rendida por Luis Armando Linares Ruano ante fedatario público</w:t>
      </w:r>
      <w:r w:rsidRPr="00F3136E">
        <w:rPr>
          <w:szCs w:val="16"/>
          <w:lang w:val="es-CR"/>
        </w:rPr>
        <w:t xml:space="preserve"> de </w:t>
      </w:r>
      <w:r>
        <w:rPr>
          <w:szCs w:val="16"/>
          <w:lang w:val="es-CR"/>
        </w:rPr>
        <w:t>28 de marzo</w:t>
      </w:r>
      <w:r w:rsidRPr="00F3136E">
        <w:rPr>
          <w:szCs w:val="16"/>
          <w:lang w:val="es-CR"/>
        </w:rPr>
        <w:t xml:space="preserve"> de 2017 (expediente de prueba, folios 11672, 11673 y 11674).</w:t>
      </w:r>
    </w:p>
  </w:footnote>
  <w:footnote w:id="326">
    <w:p w14:paraId="6D44307D" w14:textId="0B8C4B6A"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Cuadro </w:t>
      </w:r>
      <w:r>
        <w:rPr>
          <w:szCs w:val="16"/>
          <w:lang w:val="es-CR"/>
        </w:rPr>
        <w:t>de</w:t>
      </w:r>
      <w:r w:rsidRPr="00F3136E">
        <w:rPr>
          <w:szCs w:val="16"/>
          <w:lang w:val="es-CR"/>
        </w:rPr>
        <w:t xml:space="preserve"> </w:t>
      </w:r>
      <w:r>
        <w:rPr>
          <w:szCs w:val="16"/>
          <w:lang w:val="es-CR"/>
        </w:rPr>
        <w:t>información actualizada de 2008</w:t>
      </w:r>
      <w:r w:rsidRPr="00F3136E">
        <w:rPr>
          <w:szCs w:val="16"/>
          <w:lang w:val="es-CR"/>
        </w:rPr>
        <w:t xml:space="preserve"> </w:t>
      </w:r>
      <w:r>
        <w:rPr>
          <w:szCs w:val="16"/>
          <w:lang w:val="es-CR"/>
        </w:rPr>
        <w:t xml:space="preserve">respecto de cada una de las víctimas, </w:t>
      </w:r>
      <w:r w:rsidRPr="00F3136E">
        <w:rPr>
          <w:szCs w:val="16"/>
          <w:lang w:val="es-CR"/>
        </w:rPr>
        <w:t>realizado por la Doctora Cristina Calderón</w:t>
      </w:r>
      <w:r>
        <w:rPr>
          <w:szCs w:val="16"/>
          <w:lang w:val="es-CR"/>
        </w:rPr>
        <w:t>, que fue adjuntado al escrito de solicitudes, argumentos y pruebas de los peticionarios</w:t>
      </w:r>
      <w:r w:rsidRPr="00F3136E">
        <w:rPr>
          <w:szCs w:val="16"/>
          <w:lang w:val="es-CR"/>
        </w:rPr>
        <w:t xml:space="preserve"> (expediente de prueba, folio 12774); Hoja de diagnóstico de la señora Marta Alicia Maldonado Paz (exped</w:t>
      </w:r>
      <w:r>
        <w:rPr>
          <w:szCs w:val="16"/>
          <w:lang w:val="es-CR"/>
        </w:rPr>
        <w:t>iente de prueba, folio 11193); e</w:t>
      </w:r>
      <w:r w:rsidRPr="00F3136E">
        <w:rPr>
          <w:szCs w:val="16"/>
          <w:lang w:val="es-CR"/>
        </w:rPr>
        <w:t>scrito de l</w:t>
      </w:r>
      <w:r>
        <w:rPr>
          <w:szCs w:val="16"/>
          <w:lang w:val="es-CR"/>
        </w:rPr>
        <w:t>o</w:t>
      </w:r>
      <w:r w:rsidRPr="00F3136E">
        <w:rPr>
          <w:szCs w:val="16"/>
          <w:lang w:val="es-CR"/>
        </w:rPr>
        <w:t>s peticionari</w:t>
      </w:r>
      <w:r>
        <w:rPr>
          <w:szCs w:val="16"/>
          <w:lang w:val="es-CR"/>
        </w:rPr>
        <w:t>os</w:t>
      </w:r>
      <w:r w:rsidRPr="00F3136E">
        <w:rPr>
          <w:szCs w:val="16"/>
          <w:lang w:val="es-CR"/>
        </w:rPr>
        <w:t xml:space="preserve"> de 7 de agosto de 2009 (e</w:t>
      </w:r>
      <w:r>
        <w:rPr>
          <w:szCs w:val="16"/>
          <w:lang w:val="es-CR"/>
        </w:rPr>
        <w:t>xpediente de prueba, folio 826), y c</w:t>
      </w:r>
      <w:r w:rsidRPr="00F3136E">
        <w:rPr>
          <w:szCs w:val="16"/>
          <w:lang w:val="es-CR"/>
        </w:rPr>
        <w:t>uadro sobre información recabada p</w:t>
      </w:r>
      <w:r>
        <w:rPr>
          <w:szCs w:val="16"/>
          <w:lang w:val="es-CR"/>
        </w:rPr>
        <w:t>or la Doctora Cristina Calderón</w:t>
      </w:r>
      <w:r w:rsidRPr="00F3136E">
        <w:rPr>
          <w:szCs w:val="16"/>
          <w:lang w:val="es-CR"/>
        </w:rPr>
        <w:t xml:space="preserve"> a través de entrevistas </w:t>
      </w:r>
      <w:r>
        <w:rPr>
          <w:szCs w:val="16"/>
          <w:lang w:val="es-CR"/>
        </w:rPr>
        <w:t xml:space="preserve">y revisión de expedientes de los peticionarios en noviembre de 2010, que fue adjuntado al escrito de solicitudes, argumentos y pruebas </w:t>
      </w:r>
      <w:r w:rsidRPr="00F3136E">
        <w:rPr>
          <w:szCs w:val="16"/>
          <w:lang w:val="es-CR"/>
        </w:rPr>
        <w:t xml:space="preserve"> (expediente de prueba, folios 12795 y 12796).</w:t>
      </w:r>
    </w:p>
  </w:footnote>
  <w:footnote w:id="327">
    <w:p w14:paraId="6C050E17" w14:textId="6CDA99A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1363), y listado anexo al informe de fondo de la CIDH de 13 de abril de 2016</w:t>
      </w:r>
      <w:r w:rsidRPr="00F3136E">
        <w:rPr>
          <w:szCs w:val="16"/>
          <w:lang w:val="es-CR"/>
        </w:rPr>
        <w:t xml:space="preserve"> (expediente de prueba, folio 12768).</w:t>
      </w:r>
    </w:p>
  </w:footnote>
  <w:footnote w:id="328">
    <w:p w14:paraId="18FA6ABD"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Dora Marina Martínez </w:t>
      </w:r>
      <w:proofErr w:type="spellStart"/>
      <w:r w:rsidRPr="00F3136E">
        <w:rPr>
          <w:szCs w:val="16"/>
          <w:lang w:val="es-CR"/>
        </w:rPr>
        <w:t>Sofoifa</w:t>
      </w:r>
      <w:proofErr w:type="spellEnd"/>
      <w:r w:rsidRPr="00F3136E">
        <w:rPr>
          <w:szCs w:val="16"/>
          <w:lang w:val="es-CR"/>
        </w:rPr>
        <w:t xml:space="preserve"> (expediente de prueba, folio </w:t>
      </w:r>
      <w:r>
        <w:rPr>
          <w:szCs w:val="16"/>
          <w:lang w:val="es-CR"/>
        </w:rPr>
        <w:t>12874), y declaración rendida por</w:t>
      </w:r>
      <w:r w:rsidRPr="00F3136E">
        <w:rPr>
          <w:szCs w:val="16"/>
          <w:lang w:val="es-CR"/>
        </w:rPr>
        <w:t xml:space="preserve"> D</w:t>
      </w:r>
      <w:r>
        <w:rPr>
          <w:szCs w:val="16"/>
          <w:lang w:val="es-CR"/>
        </w:rPr>
        <w:t xml:space="preserve">ora Marina Martínez </w:t>
      </w:r>
      <w:proofErr w:type="spellStart"/>
      <w:r>
        <w:rPr>
          <w:szCs w:val="16"/>
          <w:lang w:val="es-CR"/>
        </w:rPr>
        <w:t>Sofoifa</w:t>
      </w:r>
      <w:proofErr w:type="spellEnd"/>
      <w:r>
        <w:rPr>
          <w:szCs w:val="16"/>
          <w:lang w:val="es-CR"/>
        </w:rPr>
        <w:t xml:space="preserve"> rendida ante fedatario público de</w:t>
      </w:r>
      <w:r w:rsidRPr="00F3136E">
        <w:rPr>
          <w:szCs w:val="16"/>
          <w:lang w:val="es-CR"/>
        </w:rPr>
        <w:t xml:space="preserve"> 16 de diciembre de 2016 (expediente de prueba, folios 11522 y 11523).</w:t>
      </w:r>
    </w:p>
  </w:footnote>
  <w:footnote w:id="329">
    <w:p w14:paraId="59DD9B2B" w14:textId="7777777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Declaración </w:t>
      </w:r>
      <w:r>
        <w:rPr>
          <w:szCs w:val="16"/>
          <w:lang w:val="es-CR"/>
        </w:rPr>
        <w:t xml:space="preserve">rendida por Dora Marina Martínez </w:t>
      </w:r>
      <w:proofErr w:type="spellStart"/>
      <w:r>
        <w:rPr>
          <w:szCs w:val="16"/>
          <w:lang w:val="es-CR"/>
        </w:rPr>
        <w:t>Sofoifa</w:t>
      </w:r>
      <w:proofErr w:type="spellEnd"/>
      <w:r>
        <w:rPr>
          <w:szCs w:val="16"/>
          <w:lang w:val="es-CR"/>
        </w:rPr>
        <w:t xml:space="preserve"> ante fedatario público</w:t>
      </w:r>
      <w:r w:rsidRPr="00F3136E">
        <w:rPr>
          <w:szCs w:val="16"/>
          <w:lang w:val="es-CR"/>
        </w:rPr>
        <w:t xml:space="preserve"> de 16 de diciembre de 2016 (expediente de prueba, folios 11523 y 11524). </w:t>
      </w:r>
    </w:p>
  </w:footnote>
  <w:footnote w:id="330">
    <w:p w14:paraId="2596978A" w14:textId="4CB153C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w:t>
      </w:r>
      <w:r>
        <w:rPr>
          <w:szCs w:val="16"/>
          <w:lang w:val="es-CR"/>
        </w:rPr>
        <w:t>P</w:t>
      </w:r>
      <w:r w:rsidRPr="00F3136E">
        <w:rPr>
          <w:szCs w:val="16"/>
          <w:lang w:val="es-CR"/>
        </w:rPr>
        <w:t>ascuala de Jesús Mérida Rodríguez (expedient</w:t>
      </w:r>
      <w:r>
        <w:rPr>
          <w:szCs w:val="16"/>
          <w:lang w:val="es-CR"/>
        </w:rPr>
        <w:t>e de prueba, folio 12902); d</w:t>
      </w:r>
      <w:r w:rsidRPr="00F3136E">
        <w:rPr>
          <w:szCs w:val="16"/>
          <w:lang w:val="es-CR"/>
        </w:rPr>
        <w:t xml:space="preserve">eclaración </w:t>
      </w:r>
      <w:r>
        <w:rPr>
          <w:szCs w:val="16"/>
          <w:lang w:val="es-CR"/>
        </w:rPr>
        <w:t>rendida por</w:t>
      </w:r>
      <w:r w:rsidRPr="00F3136E">
        <w:rPr>
          <w:szCs w:val="16"/>
          <w:lang w:val="es-CR"/>
        </w:rPr>
        <w:t xml:space="preserve"> Pascuala De Jesú</w:t>
      </w:r>
      <w:r>
        <w:rPr>
          <w:szCs w:val="16"/>
          <w:lang w:val="es-CR"/>
        </w:rPr>
        <w:t>s Mérida Rodríguez de Maldonado ante fedatario público</w:t>
      </w:r>
      <w:r w:rsidRPr="00F3136E">
        <w:rPr>
          <w:szCs w:val="16"/>
          <w:lang w:val="es-CR"/>
        </w:rPr>
        <w:t xml:space="preserve"> de </w:t>
      </w:r>
      <w:r>
        <w:rPr>
          <w:szCs w:val="16"/>
          <w:lang w:val="es-CR"/>
        </w:rPr>
        <w:t>25 de marzo</w:t>
      </w:r>
      <w:r w:rsidRPr="00F3136E">
        <w:rPr>
          <w:szCs w:val="16"/>
          <w:lang w:val="es-CR"/>
        </w:rPr>
        <w:t xml:space="preserve"> de 2017 (expediente de prueba, folios 11760, 1176</w:t>
      </w:r>
      <w:r>
        <w:rPr>
          <w:szCs w:val="16"/>
          <w:lang w:val="es-CR"/>
        </w:rPr>
        <w:t>1, 11762, 11763, 11764 y 11769), y e</w:t>
      </w:r>
      <w:r w:rsidRPr="00F3136E">
        <w:rPr>
          <w:szCs w:val="16"/>
          <w:lang w:val="es-CR"/>
        </w:rPr>
        <w:t>scrito de l</w:t>
      </w:r>
      <w:r>
        <w:rPr>
          <w:szCs w:val="16"/>
          <w:lang w:val="es-CR"/>
        </w:rPr>
        <w:t>o</w:t>
      </w:r>
      <w:r w:rsidRPr="00F3136E">
        <w:rPr>
          <w:szCs w:val="16"/>
          <w:lang w:val="es-CR"/>
        </w:rPr>
        <w:t>s peticionari</w:t>
      </w:r>
      <w:r>
        <w:rPr>
          <w:szCs w:val="16"/>
          <w:lang w:val="es-CR"/>
        </w:rPr>
        <w:t>o</w:t>
      </w:r>
      <w:r w:rsidRPr="00F3136E">
        <w:rPr>
          <w:szCs w:val="16"/>
          <w:lang w:val="es-CR"/>
        </w:rPr>
        <w:t>s de 7 de agosto de 2009 (expediente de prueba, folio 828).</w:t>
      </w:r>
    </w:p>
  </w:footnote>
  <w:footnote w:id="331">
    <w:p w14:paraId="1D405796" w14:textId="1D5458F4"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w:t>
      </w:r>
      <w:r>
        <w:rPr>
          <w:szCs w:val="16"/>
          <w:lang w:val="es-CR"/>
        </w:rPr>
        <w:t xml:space="preserve"> </w:t>
      </w:r>
      <w:r w:rsidRPr="00F3136E">
        <w:rPr>
          <w:szCs w:val="16"/>
          <w:lang w:val="es-CR"/>
        </w:rPr>
        <w:t>(ex</w:t>
      </w:r>
      <w:r>
        <w:rPr>
          <w:szCs w:val="16"/>
          <w:lang w:val="es-CR"/>
        </w:rPr>
        <w:t>pediente de prueba, folio 1363), y listado anexo al informe de fondo de la CIDH de 13 de abril de 2016</w:t>
      </w:r>
      <w:r w:rsidRPr="00F3136E">
        <w:rPr>
          <w:szCs w:val="16"/>
          <w:lang w:val="es-CR"/>
        </w:rPr>
        <w:t xml:space="preserve"> (expediente de prueba, folio 12769).</w:t>
      </w:r>
    </w:p>
  </w:footnote>
  <w:footnote w:id="332">
    <w:p w14:paraId="486CCFC9" w14:textId="55ECA75F"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w:t>
      </w:r>
      <w:r>
        <w:rPr>
          <w:szCs w:val="16"/>
          <w:lang w:val="es-CR"/>
        </w:rPr>
        <w:t xml:space="preserve">de </w:t>
      </w:r>
      <w:r w:rsidRPr="00F3136E">
        <w:rPr>
          <w:szCs w:val="16"/>
          <w:lang w:val="es-CR"/>
        </w:rPr>
        <w:t>Darinel López Montes de Oca (exped</w:t>
      </w:r>
      <w:r>
        <w:rPr>
          <w:szCs w:val="16"/>
          <w:lang w:val="es-CR"/>
        </w:rPr>
        <w:t xml:space="preserve">iente de prueba, folio 12822); declaración rendida por Darinel López Montes de Oca </w:t>
      </w:r>
      <w:r w:rsidRPr="00F3136E">
        <w:rPr>
          <w:szCs w:val="16"/>
          <w:lang w:val="es-CR"/>
        </w:rPr>
        <w:t xml:space="preserve"> de 11 de enero de 2017 (expediente de prueba, folios</w:t>
      </w:r>
      <w:r>
        <w:rPr>
          <w:szCs w:val="16"/>
          <w:lang w:val="es-CR"/>
        </w:rPr>
        <w:t xml:space="preserve"> 11606, 11607, 11608 y 11609); escrito de los peticionarios</w:t>
      </w:r>
      <w:r w:rsidRPr="00F3136E">
        <w:rPr>
          <w:szCs w:val="16"/>
          <w:lang w:val="es-CR"/>
        </w:rPr>
        <w:t xml:space="preserve"> de 7 de agosto de 2009 (exp</w:t>
      </w:r>
      <w:r>
        <w:rPr>
          <w:szCs w:val="16"/>
          <w:lang w:val="es-CR"/>
        </w:rPr>
        <w:t>ediente de prueba, folio 823); c</w:t>
      </w:r>
      <w:r w:rsidRPr="00F3136E">
        <w:rPr>
          <w:szCs w:val="16"/>
          <w:lang w:val="es-CR"/>
        </w:rPr>
        <w:t>uadro sobre información recabada por la Doctora Cristina Calderón, a través de entrevistas</w:t>
      </w:r>
      <w:r>
        <w:rPr>
          <w:szCs w:val="16"/>
          <w:lang w:val="es-CR"/>
        </w:rPr>
        <w:t xml:space="preserve"> y revisión de expedientes de los peticionarios en noviembre de 2010, que fue adjuntado al escrito de solicitudes, argumentos y pruebas</w:t>
      </w:r>
      <w:r w:rsidRPr="00F3136E">
        <w:rPr>
          <w:szCs w:val="16"/>
          <w:lang w:val="es-CR"/>
        </w:rPr>
        <w:t xml:space="preserve"> (expediente de prueba, folio 12791)</w:t>
      </w:r>
      <w:r>
        <w:rPr>
          <w:szCs w:val="16"/>
          <w:lang w:val="es-CR"/>
        </w:rPr>
        <w:t>, y peritaje rendido por</w:t>
      </w:r>
      <w:r w:rsidRPr="00F3136E">
        <w:rPr>
          <w:szCs w:val="16"/>
          <w:lang w:val="es-CR"/>
        </w:rPr>
        <w:t xml:space="preserve"> Ricardo Boza Cordero </w:t>
      </w:r>
      <w:r>
        <w:rPr>
          <w:szCs w:val="16"/>
          <w:lang w:val="es-CR"/>
        </w:rPr>
        <w:t>en la audiencia celebrada ante esta Corte e informe escrito sobre dicho peritaje</w:t>
      </w:r>
      <w:r w:rsidRPr="00F3136E">
        <w:rPr>
          <w:szCs w:val="16"/>
          <w:lang w:val="es-CR"/>
        </w:rPr>
        <w:t xml:space="preserve"> (expediente de fondo, folio 1471).</w:t>
      </w:r>
    </w:p>
  </w:footnote>
  <w:footnote w:id="333">
    <w:p w14:paraId="116C3800" w14:textId="40FAF42A"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(expediente de prueba, folio 1361)</w:t>
      </w:r>
      <w:r>
        <w:rPr>
          <w:szCs w:val="16"/>
          <w:lang w:val="es-CR"/>
        </w:rPr>
        <w:t>, y listado anexo al informe de fondo de la CIDH de 13 de abril de 2016</w:t>
      </w:r>
      <w:r w:rsidRPr="00F3136E">
        <w:rPr>
          <w:szCs w:val="16"/>
          <w:lang w:val="es-CR"/>
        </w:rPr>
        <w:t xml:space="preserve"> (expediente de prueba, folio 12767).</w:t>
      </w:r>
    </w:p>
  </w:footnote>
  <w:footnote w:id="334">
    <w:p w14:paraId="7FAD13A4"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Cédula de vecindad </w:t>
      </w:r>
      <w:r>
        <w:rPr>
          <w:szCs w:val="16"/>
          <w:lang w:val="es-CR"/>
        </w:rPr>
        <w:t>de</w:t>
      </w:r>
      <w:r w:rsidRPr="00F3136E">
        <w:rPr>
          <w:szCs w:val="16"/>
          <w:lang w:val="es-CR"/>
        </w:rPr>
        <w:t xml:space="preserve"> Israel Pérez Charal (expediente de prueba, folios 12387 y 12388)</w:t>
      </w:r>
      <w:r>
        <w:rPr>
          <w:szCs w:val="16"/>
          <w:lang w:val="es-CR"/>
        </w:rPr>
        <w:t>, y d</w:t>
      </w:r>
      <w:r w:rsidRPr="00F3136E">
        <w:rPr>
          <w:szCs w:val="16"/>
          <w:lang w:val="es-CR"/>
        </w:rPr>
        <w:t xml:space="preserve">eclaración </w:t>
      </w:r>
      <w:r>
        <w:rPr>
          <w:szCs w:val="16"/>
          <w:lang w:val="es-CR"/>
        </w:rPr>
        <w:t>rendida por Israel Pérez Charal ante fedatario público</w:t>
      </w:r>
      <w:r w:rsidRPr="00F3136E">
        <w:rPr>
          <w:szCs w:val="16"/>
          <w:lang w:val="es-CR"/>
        </w:rPr>
        <w:t xml:space="preserve"> de 16 de diciembre de 2016 (expediente de prueba, folios 11528, 11529, 11530 y 11531).</w:t>
      </w:r>
    </w:p>
  </w:footnote>
  <w:footnote w:id="335">
    <w:p w14:paraId="2DD76AE6"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Corina </w:t>
      </w:r>
      <w:proofErr w:type="spellStart"/>
      <w:r w:rsidRPr="00F3136E">
        <w:rPr>
          <w:szCs w:val="16"/>
          <w:lang w:val="es-CR"/>
        </w:rPr>
        <w:t>Dianeth</w:t>
      </w:r>
      <w:proofErr w:type="spellEnd"/>
      <w:r w:rsidRPr="00F3136E">
        <w:rPr>
          <w:szCs w:val="16"/>
          <w:lang w:val="es-CR"/>
        </w:rPr>
        <w:t xml:space="preserve"> Robledo Alvarado (exp</w:t>
      </w:r>
      <w:r>
        <w:rPr>
          <w:szCs w:val="16"/>
          <w:lang w:val="es-CR"/>
        </w:rPr>
        <w:t>ediente de prueba, folio 12818), y declaración rendida por</w:t>
      </w:r>
      <w:r w:rsidRPr="00F3136E">
        <w:rPr>
          <w:szCs w:val="16"/>
          <w:lang w:val="es-CR"/>
        </w:rPr>
        <w:t xml:space="preserve"> </w:t>
      </w:r>
      <w:r>
        <w:rPr>
          <w:szCs w:val="16"/>
          <w:lang w:val="es-CR"/>
        </w:rPr>
        <w:t xml:space="preserve">Corina </w:t>
      </w:r>
      <w:proofErr w:type="spellStart"/>
      <w:r>
        <w:rPr>
          <w:szCs w:val="16"/>
          <w:lang w:val="es-CR"/>
        </w:rPr>
        <w:t>Dianeth</w:t>
      </w:r>
      <w:proofErr w:type="spellEnd"/>
      <w:r>
        <w:rPr>
          <w:szCs w:val="16"/>
          <w:lang w:val="es-CR"/>
        </w:rPr>
        <w:t xml:space="preserve"> Robledo Alvarado ante fedatario público</w:t>
      </w:r>
      <w:r w:rsidRPr="00F3136E">
        <w:rPr>
          <w:szCs w:val="16"/>
          <w:lang w:val="es-CR"/>
        </w:rPr>
        <w:t xml:space="preserve"> de 12 de febrero de 2017 (expediente de prueba, folios 11585, 11586 y 11587).</w:t>
      </w:r>
    </w:p>
  </w:footnote>
  <w:footnote w:id="336">
    <w:p w14:paraId="3C2CB7D2" w14:textId="1FB9355E"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Escrito de </w:t>
      </w:r>
      <w:r>
        <w:rPr>
          <w:szCs w:val="16"/>
          <w:lang w:val="es-CR"/>
        </w:rPr>
        <w:t xml:space="preserve">los peticionarios de </w:t>
      </w:r>
      <w:r w:rsidRPr="00F3136E">
        <w:rPr>
          <w:szCs w:val="16"/>
          <w:lang w:val="es-CR"/>
        </w:rPr>
        <w:t>30 de septiembre de 2011 (expe</w:t>
      </w:r>
      <w:r>
        <w:rPr>
          <w:szCs w:val="16"/>
          <w:lang w:val="es-CR"/>
        </w:rPr>
        <w:t>diente de prueba, folio 1365), y listado anexo al informe de fondo de la CIDH de 13 de abril de 2016</w:t>
      </w:r>
      <w:r w:rsidRPr="00F3136E">
        <w:rPr>
          <w:szCs w:val="16"/>
          <w:lang w:val="es-CR"/>
        </w:rPr>
        <w:t xml:space="preserve"> (expediente de prueba, folio 12770).</w:t>
      </w:r>
    </w:p>
  </w:footnote>
  <w:footnote w:id="337">
    <w:p w14:paraId="1A94CAF5"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w:t>
      </w:r>
      <w:proofErr w:type="spellStart"/>
      <w:r w:rsidRPr="00F3136E">
        <w:rPr>
          <w:szCs w:val="16"/>
          <w:lang w:val="es-CR"/>
        </w:rPr>
        <w:t>Audencio</w:t>
      </w:r>
      <w:proofErr w:type="spellEnd"/>
      <w:r w:rsidRPr="00F3136E">
        <w:rPr>
          <w:szCs w:val="16"/>
          <w:lang w:val="es-CR"/>
        </w:rPr>
        <w:t xml:space="preserve"> Rodas Rodríguez (exped</w:t>
      </w:r>
      <w:r>
        <w:rPr>
          <w:szCs w:val="16"/>
          <w:lang w:val="es-CR"/>
        </w:rPr>
        <w:t>iente de prueba, folio 12812); d</w:t>
      </w:r>
      <w:r w:rsidRPr="00F3136E">
        <w:rPr>
          <w:szCs w:val="16"/>
          <w:lang w:val="es-CR"/>
        </w:rPr>
        <w:t xml:space="preserve">eclaración </w:t>
      </w:r>
      <w:r>
        <w:rPr>
          <w:szCs w:val="16"/>
          <w:lang w:val="es-CR"/>
        </w:rPr>
        <w:t>rendida por</w:t>
      </w:r>
      <w:r w:rsidRPr="00F3136E">
        <w:rPr>
          <w:szCs w:val="16"/>
          <w:lang w:val="es-CR"/>
        </w:rPr>
        <w:t xml:space="preserve"> </w:t>
      </w:r>
      <w:proofErr w:type="spellStart"/>
      <w:r w:rsidRPr="00F3136E">
        <w:rPr>
          <w:szCs w:val="16"/>
          <w:lang w:val="es-CR"/>
        </w:rPr>
        <w:t>Audencio</w:t>
      </w:r>
      <w:proofErr w:type="spellEnd"/>
      <w:r w:rsidRPr="00F3136E">
        <w:rPr>
          <w:szCs w:val="16"/>
          <w:lang w:val="es-CR"/>
        </w:rPr>
        <w:t xml:space="preserve"> Rodas Rodríguez</w:t>
      </w:r>
      <w:r>
        <w:rPr>
          <w:szCs w:val="16"/>
          <w:lang w:val="es-CR"/>
        </w:rPr>
        <w:t xml:space="preserve"> ante fedatario público</w:t>
      </w:r>
      <w:r w:rsidRPr="00F3136E">
        <w:rPr>
          <w:szCs w:val="16"/>
          <w:lang w:val="es-CR"/>
        </w:rPr>
        <w:t xml:space="preserve"> de 26 de diciembre de 2017 (</w:t>
      </w:r>
      <w:r w:rsidRPr="00F3136E">
        <w:rPr>
          <w:rFonts w:eastAsiaTheme="minorEastAsia" w:cs="Arial"/>
          <w:szCs w:val="16"/>
          <w:lang w:val="es-CR" w:eastAsia="ja-JP"/>
        </w:rPr>
        <w:t>expediente de prueba, foli</w:t>
      </w:r>
      <w:r>
        <w:rPr>
          <w:rFonts w:eastAsiaTheme="minorEastAsia" w:cs="Arial"/>
          <w:szCs w:val="16"/>
          <w:lang w:val="es-CR" w:eastAsia="ja-JP"/>
        </w:rPr>
        <w:t>os 11573, 11574, 11575 y 11576), y</w:t>
      </w:r>
      <w:r>
        <w:rPr>
          <w:szCs w:val="16"/>
          <w:lang w:val="es-CR"/>
        </w:rPr>
        <w:t xml:space="preserve"> escrito de los peticionarios</w:t>
      </w:r>
      <w:r w:rsidRPr="00F3136E">
        <w:rPr>
          <w:szCs w:val="16"/>
          <w:lang w:val="es-CR"/>
        </w:rPr>
        <w:t xml:space="preserve"> de 7 de agosto de 2009 (expediente de prueba, folios 823 y 824).</w:t>
      </w:r>
    </w:p>
  </w:footnote>
  <w:footnote w:id="338">
    <w:p w14:paraId="593AE069" w14:textId="21188192"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Escrito de</w:t>
      </w:r>
      <w:r>
        <w:rPr>
          <w:szCs w:val="16"/>
          <w:lang w:val="es-CR"/>
        </w:rPr>
        <w:t xml:space="preserve"> los peticionarios de</w:t>
      </w:r>
      <w:r w:rsidRPr="00F3136E">
        <w:rPr>
          <w:szCs w:val="16"/>
          <w:lang w:val="es-CR"/>
        </w:rPr>
        <w:t xml:space="preserve"> 30 de septiembre de 2011 (ex</w:t>
      </w:r>
      <w:r>
        <w:rPr>
          <w:szCs w:val="16"/>
          <w:lang w:val="es-CR"/>
        </w:rPr>
        <w:t>pediente de prueba, folio 1362), y listado anexo al informe de fondo de la CIDH de 13 de abril de 2016</w:t>
      </w:r>
      <w:r w:rsidRPr="00F3136E">
        <w:rPr>
          <w:szCs w:val="16"/>
          <w:lang w:val="es-CR"/>
        </w:rPr>
        <w:t xml:space="preserve"> (expediente de prueba, folios 12767 y 12768).</w:t>
      </w:r>
    </w:p>
  </w:footnote>
  <w:footnote w:id="339">
    <w:p w14:paraId="42BFF9F4" w14:textId="275D362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Zoila Marina Pérez Ruíz (exped</w:t>
      </w:r>
      <w:r>
        <w:rPr>
          <w:szCs w:val="16"/>
          <w:lang w:val="es-CR"/>
        </w:rPr>
        <w:t>iente de prueba, folio 12862); d</w:t>
      </w:r>
      <w:r w:rsidRPr="00F3136E">
        <w:rPr>
          <w:szCs w:val="16"/>
          <w:lang w:val="es-CR"/>
        </w:rPr>
        <w:t xml:space="preserve">eclaración </w:t>
      </w:r>
      <w:r>
        <w:rPr>
          <w:szCs w:val="16"/>
          <w:lang w:val="es-CR"/>
        </w:rPr>
        <w:t>rendida por</w:t>
      </w:r>
      <w:r w:rsidRPr="00F3136E">
        <w:rPr>
          <w:szCs w:val="16"/>
          <w:lang w:val="es-CR"/>
        </w:rPr>
        <w:t xml:space="preserve"> Zoila Marin</w:t>
      </w:r>
      <w:r>
        <w:rPr>
          <w:szCs w:val="16"/>
          <w:lang w:val="es-CR"/>
        </w:rPr>
        <w:t>a Pérez Ruíz en la audiencia pública celebrada ante esta Corte; declaración rendida por Zoila Marina Pérez Ruíz ante fedatario público</w:t>
      </w:r>
      <w:r w:rsidRPr="00F3136E">
        <w:rPr>
          <w:szCs w:val="16"/>
          <w:lang w:val="es-CR"/>
        </w:rPr>
        <w:t xml:space="preserve"> de 9 de febrero de 2017 (expediente de </w:t>
      </w:r>
      <w:r>
        <w:rPr>
          <w:szCs w:val="16"/>
          <w:lang w:val="es-CR"/>
        </w:rPr>
        <w:t>prueba, folios 11548 y 11554); c</w:t>
      </w:r>
      <w:r w:rsidRPr="00F3136E">
        <w:rPr>
          <w:szCs w:val="16"/>
          <w:lang w:val="es-CR"/>
        </w:rPr>
        <w:t>uadro de información recabada por la Doctora Cristina Calderón, como anexo al escrito de lo</w:t>
      </w:r>
      <w:r>
        <w:rPr>
          <w:szCs w:val="16"/>
          <w:lang w:val="es-CR"/>
        </w:rPr>
        <w:t>s peticionarios</w:t>
      </w:r>
      <w:r w:rsidRPr="00F3136E">
        <w:rPr>
          <w:szCs w:val="16"/>
          <w:lang w:val="es-CR"/>
        </w:rPr>
        <w:t xml:space="preserve"> de 27 de junio de 2008 (expediente de prueba, folio 12774); </w:t>
      </w:r>
      <w:r>
        <w:rPr>
          <w:szCs w:val="16"/>
          <w:lang w:val="es-CR"/>
        </w:rPr>
        <w:t>i</w:t>
      </w:r>
      <w:r w:rsidRPr="00F3136E">
        <w:rPr>
          <w:szCs w:val="16"/>
          <w:lang w:val="es-CR"/>
        </w:rPr>
        <w:t>nforme del Estado del 23 de marzo del 2009 (exp</w:t>
      </w:r>
      <w:r>
        <w:rPr>
          <w:szCs w:val="16"/>
          <w:lang w:val="es-CR"/>
        </w:rPr>
        <w:t>ediente de prueba, folio 917); c</w:t>
      </w:r>
      <w:r w:rsidRPr="00F3136E">
        <w:rPr>
          <w:szCs w:val="16"/>
          <w:lang w:val="es-CR"/>
        </w:rPr>
        <w:t>uadro sobre información recabada por la Doctora Cristina Calderón, a través de entrevistas de noviembre de 2010 (exped</w:t>
      </w:r>
      <w:r>
        <w:rPr>
          <w:szCs w:val="16"/>
          <w:lang w:val="es-CR"/>
        </w:rPr>
        <w:t>iente de prueba, folios 12787 y 12801); p</w:t>
      </w:r>
      <w:r w:rsidRPr="00F3136E">
        <w:rPr>
          <w:szCs w:val="16"/>
          <w:lang w:val="es-CR"/>
        </w:rPr>
        <w:t>eritaje rendido por Ricardo Boza Cordero en la audiencia pública celebrada ante esta Corte e informe escrito sobre dicho peritaje (exp</w:t>
      </w:r>
      <w:r>
        <w:rPr>
          <w:szCs w:val="16"/>
          <w:lang w:val="es-CR"/>
        </w:rPr>
        <w:t>ediente de fondo, folio 1490), y e</w:t>
      </w:r>
      <w:r w:rsidRPr="00F3136E">
        <w:rPr>
          <w:szCs w:val="16"/>
          <w:lang w:val="es-CR"/>
        </w:rPr>
        <w:t>scrito de observaciones de los peticionarios del 7 de agosto del 2009 (ex</w:t>
      </w:r>
      <w:r>
        <w:rPr>
          <w:szCs w:val="16"/>
          <w:lang w:val="es-CR"/>
        </w:rPr>
        <w:t>pediente de prueba, folio 829).</w:t>
      </w:r>
    </w:p>
  </w:footnote>
  <w:footnote w:id="340">
    <w:p w14:paraId="59E4EF5D"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Declaración </w:t>
      </w:r>
      <w:r>
        <w:rPr>
          <w:szCs w:val="16"/>
          <w:lang w:val="es-CR"/>
        </w:rPr>
        <w:t>rendida por Zoila Marina Pérez Ruíz en la audiencia pública celebrada ante esta Corte, y declaración rendida por</w:t>
      </w:r>
      <w:r w:rsidRPr="00F3136E">
        <w:rPr>
          <w:szCs w:val="16"/>
          <w:lang w:val="es-CR"/>
        </w:rPr>
        <w:t xml:space="preserve"> Zoila Marina Pérez Ruíz</w:t>
      </w:r>
      <w:r>
        <w:rPr>
          <w:szCs w:val="16"/>
          <w:lang w:val="es-CR"/>
        </w:rPr>
        <w:t xml:space="preserve"> ante fedatario público</w:t>
      </w:r>
      <w:r w:rsidRPr="00F3136E">
        <w:rPr>
          <w:szCs w:val="16"/>
          <w:lang w:val="es-CR"/>
        </w:rPr>
        <w:t xml:space="preserve"> de 9 de febrero de 2017 (expediente de prueba, folios 11549, 11550 y 11552).</w:t>
      </w:r>
    </w:p>
  </w:footnote>
  <w:footnote w:id="341">
    <w:p w14:paraId="3EBFA7F0" w14:textId="6C929612" w:rsidR="00604517" w:rsidRPr="00F3136E" w:rsidRDefault="00604517" w:rsidP="003C2AC6">
      <w:pPr>
        <w:pStyle w:val="Textonotapie"/>
        <w:spacing w:before="0"/>
        <w:rPr>
          <w:szCs w:val="16"/>
          <w:lang w:val="es-CR"/>
        </w:rPr>
      </w:pPr>
      <w:r w:rsidRPr="00F3136E">
        <w:rPr>
          <w:rStyle w:val="Refdenotaalpie"/>
          <w:rFonts w:eastAsia="Calibri"/>
          <w:szCs w:val="16"/>
          <w:lang w:val="es-CR"/>
        </w:rPr>
        <w:footnoteRef/>
      </w:r>
      <w:r w:rsidRPr="00F3136E">
        <w:rPr>
          <w:szCs w:val="16"/>
          <w:lang w:val="es-CR"/>
        </w:rPr>
        <w:tab/>
      </w:r>
      <w:r>
        <w:rPr>
          <w:szCs w:val="16"/>
          <w:lang w:val="es-CR"/>
        </w:rPr>
        <w:t>Listado anexo al informe de fondo de la CIDH de 13 de abril de 2016</w:t>
      </w:r>
      <w:r w:rsidRPr="00F3136E">
        <w:rPr>
          <w:szCs w:val="16"/>
          <w:lang w:val="es-CR"/>
        </w:rPr>
        <w:t xml:space="preserve"> (expediente de prueba, folio 12769).</w:t>
      </w:r>
    </w:p>
  </w:footnote>
  <w:footnote w:id="342">
    <w:p w14:paraId="599A8444" w14:textId="6DCBCBC0"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Santiago Francisco </w:t>
      </w:r>
      <w:proofErr w:type="spellStart"/>
      <w:r w:rsidRPr="00F3136E">
        <w:rPr>
          <w:szCs w:val="16"/>
          <w:lang w:val="es-CR"/>
        </w:rPr>
        <w:t>Valdéz</w:t>
      </w:r>
      <w:proofErr w:type="spellEnd"/>
      <w:r w:rsidRPr="00F3136E">
        <w:rPr>
          <w:szCs w:val="16"/>
          <w:lang w:val="es-CR"/>
        </w:rPr>
        <w:t xml:space="preserve"> Aguilar (expediente de prueba, folio 12</w:t>
      </w:r>
      <w:r>
        <w:rPr>
          <w:szCs w:val="16"/>
          <w:lang w:val="es-CR"/>
        </w:rPr>
        <w:t>860); d</w:t>
      </w:r>
      <w:r w:rsidRPr="00F3136E">
        <w:rPr>
          <w:szCs w:val="16"/>
          <w:lang w:val="es-CR"/>
        </w:rPr>
        <w:t xml:space="preserve">eclaración </w:t>
      </w:r>
      <w:r>
        <w:rPr>
          <w:szCs w:val="16"/>
          <w:lang w:val="es-CR"/>
        </w:rPr>
        <w:t>rendida por</w:t>
      </w:r>
      <w:r w:rsidRPr="00F3136E">
        <w:rPr>
          <w:szCs w:val="16"/>
          <w:lang w:val="es-CR"/>
        </w:rPr>
        <w:t xml:space="preserve"> Sa</w:t>
      </w:r>
      <w:r>
        <w:rPr>
          <w:szCs w:val="16"/>
          <w:lang w:val="es-CR"/>
        </w:rPr>
        <w:t xml:space="preserve">ntiago Francisco </w:t>
      </w:r>
      <w:proofErr w:type="spellStart"/>
      <w:r>
        <w:rPr>
          <w:szCs w:val="16"/>
          <w:lang w:val="es-CR"/>
        </w:rPr>
        <w:t>Valdéz</w:t>
      </w:r>
      <w:proofErr w:type="spellEnd"/>
      <w:r>
        <w:rPr>
          <w:szCs w:val="16"/>
          <w:lang w:val="es-CR"/>
        </w:rPr>
        <w:t xml:space="preserve"> Aguilar ante fedatario público</w:t>
      </w:r>
      <w:r w:rsidRPr="00F3136E">
        <w:rPr>
          <w:szCs w:val="16"/>
          <w:lang w:val="es-CR"/>
        </w:rPr>
        <w:t xml:space="preserve"> de 21 de diciembre del 2016 (expediente de prueba,</w:t>
      </w:r>
      <w:r>
        <w:rPr>
          <w:szCs w:val="16"/>
          <w:lang w:val="es-CR"/>
        </w:rPr>
        <w:t xml:space="preserve"> folios 11790, 11791 y 11792); c</w:t>
      </w:r>
      <w:r w:rsidRPr="00F3136E">
        <w:rPr>
          <w:szCs w:val="16"/>
          <w:lang w:val="es-CR"/>
        </w:rPr>
        <w:t xml:space="preserve">uadro de información recabada por la Doctora Cristina Calderón, como anexo al escrito </w:t>
      </w:r>
      <w:r>
        <w:rPr>
          <w:szCs w:val="16"/>
          <w:lang w:val="es-CR"/>
        </w:rPr>
        <w:t xml:space="preserve">de los peticionarios </w:t>
      </w:r>
      <w:r w:rsidRPr="00F3136E">
        <w:rPr>
          <w:szCs w:val="16"/>
          <w:lang w:val="es-CR"/>
        </w:rPr>
        <w:t>de 27 de junio de 2008 (exped</w:t>
      </w:r>
      <w:r>
        <w:rPr>
          <w:szCs w:val="16"/>
          <w:lang w:val="es-CR"/>
        </w:rPr>
        <w:t>iente de prueba, folio 12774); c</w:t>
      </w:r>
      <w:r w:rsidRPr="00F3136E">
        <w:rPr>
          <w:szCs w:val="16"/>
          <w:lang w:val="es-CR"/>
        </w:rPr>
        <w:t>uadro sobre información recabada por la Doctora Cristina Calderón, a través de entrevistas de noviembre de 2010 (exped</w:t>
      </w:r>
      <w:r>
        <w:rPr>
          <w:szCs w:val="16"/>
          <w:lang w:val="es-CR"/>
        </w:rPr>
        <w:t>iente de prueba, folios 12789 y 12803); i</w:t>
      </w:r>
      <w:r w:rsidRPr="00F3136E">
        <w:rPr>
          <w:szCs w:val="16"/>
          <w:lang w:val="es-CR"/>
        </w:rPr>
        <w:t>nforme del director administrat</w:t>
      </w:r>
      <w:r>
        <w:rPr>
          <w:szCs w:val="16"/>
          <w:lang w:val="es-CR"/>
        </w:rPr>
        <w:t xml:space="preserve">ivo del Hospital de Coatepeque de 5 de febrero de 2008 </w:t>
      </w:r>
      <w:r w:rsidRPr="00F3136E">
        <w:rPr>
          <w:szCs w:val="16"/>
          <w:lang w:val="es-CR"/>
        </w:rPr>
        <w:t>sobre la atención médic</w:t>
      </w:r>
      <w:r>
        <w:rPr>
          <w:szCs w:val="16"/>
          <w:lang w:val="es-CR"/>
        </w:rPr>
        <w:t>a del señor Santiago Francisco</w:t>
      </w:r>
      <w:r w:rsidRPr="00F3136E">
        <w:rPr>
          <w:szCs w:val="16"/>
          <w:lang w:val="es-CR"/>
        </w:rPr>
        <w:t xml:space="preserve"> Valdez (expediente de prueba, folio 1075); </w:t>
      </w:r>
      <w:r>
        <w:rPr>
          <w:szCs w:val="16"/>
          <w:lang w:val="es-CR"/>
        </w:rPr>
        <w:t>p</w:t>
      </w:r>
      <w:r w:rsidRPr="00F3136E">
        <w:rPr>
          <w:szCs w:val="16"/>
          <w:lang w:val="es-CR"/>
        </w:rPr>
        <w:t xml:space="preserve">eritaje rendido por Ricardo Boza Cordero en la audiencia pública celebrada ante esta Corte e informe escrito sobre dicho peritaje (expediente </w:t>
      </w:r>
      <w:r>
        <w:rPr>
          <w:szCs w:val="16"/>
          <w:lang w:val="es-CR"/>
        </w:rPr>
        <w:t>de fondo, folios 1491 y 1492), y e</w:t>
      </w:r>
      <w:r w:rsidRPr="00F3136E">
        <w:rPr>
          <w:szCs w:val="16"/>
          <w:lang w:val="es-CR"/>
        </w:rPr>
        <w:t>scrito de petición inicial de 25 de agosto de 2003 (expediente de prueba, folio 465).</w:t>
      </w:r>
    </w:p>
  </w:footnote>
  <w:footnote w:id="343">
    <w:p w14:paraId="17D11BFE" w14:textId="21BDAD36" w:rsidR="00604517" w:rsidRPr="00F3136E" w:rsidRDefault="00604517" w:rsidP="003C2AC6">
      <w:pPr>
        <w:pStyle w:val="Textonotapie"/>
        <w:spacing w:before="0"/>
        <w:rPr>
          <w:szCs w:val="16"/>
          <w:lang w:val="es-CR"/>
        </w:rPr>
      </w:pPr>
      <w:r w:rsidRPr="00F3136E">
        <w:rPr>
          <w:rStyle w:val="Refdenotaalpie"/>
          <w:szCs w:val="16"/>
          <w:lang w:val="es-CR"/>
        </w:rPr>
        <w:footnoteRef/>
      </w:r>
      <w:r>
        <w:rPr>
          <w:szCs w:val="16"/>
          <w:lang w:val="es-CR"/>
        </w:rPr>
        <w:tab/>
        <w:t>Declaración rendida por</w:t>
      </w:r>
      <w:r w:rsidRPr="00F3136E">
        <w:rPr>
          <w:szCs w:val="16"/>
          <w:lang w:val="es-CR"/>
        </w:rPr>
        <w:t xml:space="preserve"> Santiago Francisco </w:t>
      </w:r>
      <w:proofErr w:type="spellStart"/>
      <w:r w:rsidRPr="00F3136E">
        <w:rPr>
          <w:szCs w:val="16"/>
          <w:lang w:val="es-CR"/>
        </w:rPr>
        <w:t>Valdéz</w:t>
      </w:r>
      <w:proofErr w:type="spellEnd"/>
      <w:r w:rsidRPr="00F3136E">
        <w:rPr>
          <w:szCs w:val="16"/>
          <w:lang w:val="es-CR"/>
        </w:rPr>
        <w:t xml:space="preserve"> Aguilar</w:t>
      </w:r>
      <w:r>
        <w:rPr>
          <w:szCs w:val="16"/>
          <w:lang w:val="es-CR"/>
        </w:rPr>
        <w:t xml:space="preserve"> ante fedatario público</w:t>
      </w:r>
      <w:r w:rsidRPr="00F3136E">
        <w:rPr>
          <w:szCs w:val="16"/>
          <w:lang w:val="es-CR"/>
        </w:rPr>
        <w:t xml:space="preserve"> de 21 de diciembre del 2016 (expedie</w:t>
      </w:r>
      <w:r>
        <w:rPr>
          <w:szCs w:val="16"/>
          <w:lang w:val="es-CR"/>
        </w:rPr>
        <w:t>nte de prueba, folio 11790), y listado anexo al informe de fondo de la CIDH de 13 de abril de 2016</w:t>
      </w:r>
      <w:r w:rsidRPr="00F3136E">
        <w:rPr>
          <w:szCs w:val="16"/>
          <w:lang w:val="es-CR"/>
        </w:rPr>
        <w:t xml:space="preserve"> (expediente de prueba, folio 12769).</w:t>
      </w:r>
    </w:p>
  </w:footnote>
  <w:footnote w:id="344">
    <w:p w14:paraId="4C2B9958" w14:textId="02ABD54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Cuadro de información recabada por la Doctora Cristina Calderón, como anexo </w:t>
      </w:r>
      <w:r>
        <w:rPr>
          <w:szCs w:val="16"/>
          <w:lang w:val="es-CR"/>
        </w:rPr>
        <w:t>al escrito de los peticionarios</w:t>
      </w:r>
      <w:r w:rsidRPr="00F3136E">
        <w:rPr>
          <w:szCs w:val="16"/>
          <w:lang w:val="es-CR"/>
        </w:rPr>
        <w:t xml:space="preserve"> de 27 de junio de 2008 (exped</w:t>
      </w:r>
      <w:r>
        <w:rPr>
          <w:szCs w:val="16"/>
          <w:lang w:val="es-CR"/>
        </w:rPr>
        <w:t>iente de prueba, folio 12777); c</w:t>
      </w:r>
      <w:r w:rsidRPr="00F3136E">
        <w:rPr>
          <w:szCs w:val="16"/>
          <w:lang w:val="es-CR"/>
        </w:rPr>
        <w:t>uadro sobre información recabada por la Doctora Cristina Calderón, a través de entrevistas de noviembre de 2010 (exped</w:t>
      </w:r>
      <w:r>
        <w:rPr>
          <w:szCs w:val="16"/>
          <w:lang w:val="es-CR"/>
        </w:rPr>
        <w:t>iente de prueba, folios 12787 12801); p</w:t>
      </w:r>
      <w:r w:rsidRPr="00F3136E">
        <w:rPr>
          <w:szCs w:val="16"/>
          <w:lang w:val="es-CR"/>
        </w:rPr>
        <w:t>eritaje rendido por Ricardo Boza Cordero en la audiencia pública celebrada ante esta Corte e informe escrito sobre dicho peritaje (e</w:t>
      </w:r>
      <w:r>
        <w:rPr>
          <w:szCs w:val="16"/>
          <w:lang w:val="es-CR"/>
        </w:rPr>
        <w:t>xpediente de fondo, folio 1504), y p</w:t>
      </w:r>
      <w:r w:rsidRPr="00F3136E">
        <w:rPr>
          <w:szCs w:val="16"/>
          <w:lang w:val="es-CR"/>
        </w:rPr>
        <w:t>oder de representación otorgado por las víctimas a los representantes mediante escrito de 23 de enero de 2017 (expediente de fondo, folio 111).</w:t>
      </w:r>
    </w:p>
  </w:footnote>
  <w:footnote w:id="345">
    <w:p w14:paraId="3FA6960B" w14:textId="21C4DA20"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r>
      <w:r>
        <w:rPr>
          <w:szCs w:val="16"/>
          <w:lang w:val="es-CR"/>
        </w:rPr>
        <w:t>Listado anexo al informe de fondo de la CIDH de 13 de abril de 2016</w:t>
      </w:r>
      <w:r w:rsidRPr="00F3136E">
        <w:rPr>
          <w:szCs w:val="16"/>
          <w:lang w:val="es-CR"/>
        </w:rPr>
        <w:t xml:space="preserve"> (expediente de prueba, folios 12769 y 12770).</w:t>
      </w:r>
    </w:p>
  </w:footnote>
  <w:footnote w:id="346">
    <w:p w14:paraId="74D6EC00"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Karen Judith Samayoa Vásquez (exped</w:t>
      </w:r>
      <w:r>
        <w:rPr>
          <w:szCs w:val="16"/>
          <w:lang w:val="es-CR"/>
        </w:rPr>
        <w:t>iente de prueba, folio 12908); declaración rendida por Karen Judith Samayoa Vásquez ante fedatario público</w:t>
      </w:r>
      <w:r w:rsidRPr="00F3136E">
        <w:rPr>
          <w:szCs w:val="16"/>
          <w:lang w:val="es-CR"/>
        </w:rPr>
        <w:t xml:space="preserve"> de 19 de diciembre del 2016 (expediente de prueba,</w:t>
      </w:r>
      <w:r>
        <w:rPr>
          <w:szCs w:val="16"/>
          <w:lang w:val="es-CR"/>
        </w:rPr>
        <w:t xml:space="preserve"> folios 11536, 11537 y 11538); p</w:t>
      </w:r>
      <w:r w:rsidRPr="00F3136E">
        <w:rPr>
          <w:szCs w:val="16"/>
          <w:lang w:val="es-CR"/>
        </w:rPr>
        <w:t xml:space="preserve">eritaje rendido por Ricardo Boza Cordero en la audiencia pública celebrada ante esta Corte e informe escrito sobre dicho peritaje (expediente de fondo, folios 1480 y 1481); </w:t>
      </w:r>
      <w:r>
        <w:rPr>
          <w:szCs w:val="16"/>
          <w:lang w:val="es-CR"/>
        </w:rPr>
        <w:t>e i</w:t>
      </w:r>
      <w:r w:rsidRPr="00F3136E">
        <w:rPr>
          <w:szCs w:val="16"/>
          <w:lang w:val="es-CR"/>
        </w:rPr>
        <w:t>nforme del Estado del 1 de octubre del 2010 (expediente de prueba, folio 1430).</w:t>
      </w:r>
    </w:p>
  </w:footnote>
  <w:footnote w:id="347">
    <w:p w14:paraId="7428AB31" w14:textId="77777777" w:rsidR="00604517" w:rsidRPr="00F3136E" w:rsidRDefault="00604517" w:rsidP="003C2AC6">
      <w:pPr>
        <w:pStyle w:val="Textonotapie"/>
        <w:spacing w:before="0"/>
        <w:rPr>
          <w:szCs w:val="16"/>
          <w:lang w:val="es-CR"/>
        </w:rPr>
      </w:pPr>
      <w:r w:rsidRPr="00F3136E">
        <w:rPr>
          <w:rStyle w:val="Refdenotaalpie"/>
          <w:szCs w:val="16"/>
          <w:lang w:val="es-CR"/>
        </w:rPr>
        <w:footnoteRef/>
      </w:r>
      <w:r>
        <w:rPr>
          <w:szCs w:val="16"/>
          <w:lang w:val="es-CR"/>
        </w:rPr>
        <w:tab/>
        <w:t>Declaración rendida por Karen Judith Samayoa Vásquez ante fedatario público</w:t>
      </w:r>
      <w:r w:rsidRPr="00F3136E">
        <w:rPr>
          <w:szCs w:val="16"/>
          <w:lang w:val="es-CR"/>
        </w:rPr>
        <w:t xml:space="preserve"> de 19 de diciembre del 2016 (expediente de prueba, folio 11536).</w:t>
      </w:r>
    </w:p>
  </w:footnote>
  <w:footnote w:id="348">
    <w:p w14:paraId="573C65EB"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 xml:space="preserve">Certificado de nacimiento de Francisco </w:t>
      </w:r>
      <w:proofErr w:type="spellStart"/>
      <w:r w:rsidRPr="00F3136E">
        <w:rPr>
          <w:szCs w:val="16"/>
          <w:lang w:val="es-CR"/>
        </w:rPr>
        <w:t>Sop</w:t>
      </w:r>
      <w:proofErr w:type="spellEnd"/>
      <w:r w:rsidRPr="00F3136E">
        <w:rPr>
          <w:szCs w:val="16"/>
          <w:lang w:val="es-CR"/>
        </w:rPr>
        <w:t xml:space="preserve"> </w:t>
      </w:r>
      <w:proofErr w:type="spellStart"/>
      <w:r w:rsidRPr="00F3136E">
        <w:rPr>
          <w:szCs w:val="16"/>
          <w:lang w:val="es-CR"/>
        </w:rPr>
        <w:t>Quiej</w:t>
      </w:r>
      <w:proofErr w:type="spellEnd"/>
      <w:r w:rsidRPr="00F3136E">
        <w:rPr>
          <w:szCs w:val="16"/>
          <w:lang w:val="es-CR"/>
        </w:rPr>
        <w:t xml:space="preserve"> (exped</w:t>
      </w:r>
      <w:r>
        <w:rPr>
          <w:szCs w:val="16"/>
          <w:lang w:val="es-CR"/>
        </w:rPr>
        <w:t xml:space="preserve">iente de prueba, folio 12830); declaraciones rendidas por Francisco </w:t>
      </w:r>
      <w:proofErr w:type="spellStart"/>
      <w:r>
        <w:rPr>
          <w:szCs w:val="16"/>
          <w:lang w:val="es-CR"/>
        </w:rPr>
        <w:t>Sop</w:t>
      </w:r>
      <w:proofErr w:type="spellEnd"/>
      <w:r>
        <w:rPr>
          <w:szCs w:val="16"/>
          <w:lang w:val="es-CR"/>
        </w:rPr>
        <w:t xml:space="preserve"> </w:t>
      </w:r>
      <w:proofErr w:type="spellStart"/>
      <w:r>
        <w:rPr>
          <w:szCs w:val="16"/>
          <w:lang w:val="es-CR"/>
        </w:rPr>
        <w:t>Quiej</w:t>
      </w:r>
      <w:proofErr w:type="spellEnd"/>
      <w:r w:rsidRPr="00F3136E">
        <w:rPr>
          <w:szCs w:val="16"/>
          <w:lang w:val="es-CR"/>
        </w:rPr>
        <w:t xml:space="preserve"> </w:t>
      </w:r>
      <w:r>
        <w:rPr>
          <w:szCs w:val="16"/>
          <w:lang w:val="es-CR"/>
        </w:rPr>
        <w:t xml:space="preserve">ante fedatario público </w:t>
      </w:r>
      <w:r w:rsidRPr="00F3136E">
        <w:rPr>
          <w:szCs w:val="16"/>
          <w:lang w:val="es-CR"/>
        </w:rPr>
        <w:t xml:space="preserve">de 11 de enero y 11 de febrero de 2017 (expediente de prueba, folios 11639, 11640, </w:t>
      </w:r>
      <w:r>
        <w:rPr>
          <w:szCs w:val="16"/>
          <w:lang w:val="es-CR"/>
        </w:rPr>
        <w:t>11641, 11643, 11644  y 11645); c</w:t>
      </w:r>
      <w:r w:rsidRPr="00F3136E">
        <w:rPr>
          <w:szCs w:val="16"/>
          <w:lang w:val="es-CR"/>
        </w:rPr>
        <w:t>uadro de información recabada por la Doctora Cristina Ca</w:t>
      </w:r>
      <w:r>
        <w:rPr>
          <w:szCs w:val="16"/>
          <w:lang w:val="es-CR"/>
        </w:rPr>
        <w:t xml:space="preserve">lderón </w:t>
      </w:r>
      <w:r w:rsidRPr="00F3136E">
        <w:rPr>
          <w:szCs w:val="16"/>
          <w:lang w:val="es-CR"/>
        </w:rPr>
        <w:t xml:space="preserve">como anexo </w:t>
      </w:r>
      <w:r>
        <w:rPr>
          <w:szCs w:val="16"/>
          <w:lang w:val="es-CR"/>
        </w:rPr>
        <w:t>al escrito de los peticionarios</w:t>
      </w:r>
      <w:r w:rsidRPr="00F3136E">
        <w:rPr>
          <w:szCs w:val="16"/>
          <w:lang w:val="es-CR"/>
        </w:rPr>
        <w:t xml:space="preserve"> de 27 de junio de 2008 (exped</w:t>
      </w:r>
      <w:r>
        <w:rPr>
          <w:szCs w:val="16"/>
          <w:lang w:val="es-CR"/>
        </w:rPr>
        <w:t>iente de prueba, folio 12775); c</w:t>
      </w:r>
      <w:r w:rsidRPr="00F3136E">
        <w:rPr>
          <w:szCs w:val="16"/>
          <w:lang w:val="es-CR"/>
        </w:rPr>
        <w:t>uadro sobre información recabada por la Doctora Cristina Calderón, a través de entrevistas de noviembre de 2010 (expediente de prueba, folios 1</w:t>
      </w:r>
      <w:r>
        <w:rPr>
          <w:szCs w:val="16"/>
          <w:lang w:val="es-CR"/>
        </w:rPr>
        <w:t>2803 y 12804); i</w:t>
      </w:r>
      <w:r w:rsidRPr="00F3136E">
        <w:rPr>
          <w:szCs w:val="16"/>
          <w:lang w:val="es-CR"/>
        </w:rPr>
        <w:t>nforme del Estado del 14 de febrero del 2012 (expe</w:t>
      </w:r>
      <w:r>
        <w:rPr>
          <w:szCs w:val="16"/>
          <w:lang w:val="es-CR"/>
        </w:rPr>
        <w:t>diente de prueba, folio 1323), y p</w:t>
      </w:r>
      <w:r w:rsidRPr="00F3136E">
        <w:rPr>
          <w:szCs w:val="16"/>
          <w:lang w:val="es-CR"/>
        </w:rPr>
        <w:t>eritaje rendido por Ricardo Boza Cordero en la audiencia pública celebrada ante esta Corte e informe escrito sobre dicho peritaje (expediente de fondo, folio 1474).</w:t>
      </w:r>
    </w:p>
  </w:footnote>
  <w:footnote w:id="349">
    <w:p w14:paraId="431ED099" w14:textId="7777777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 xml:space="preserve">Certificado de nacimiento de Francisco </w:t>
      </w:r>
      <w:proofErr w:type="spellStart"/>
      <w:r w:rsidRPr="00F3136E">
        <w:rPr>
          <w:szCs w:val="16"/>
          <w:lang w:val="es-CR"/>
        </w:rPr>
        <w:t>Sop</w:t>
      </w:r>
      <w:proofErr w:type="spellEnd"/>
      <w:r w:rsidRPr="00F3136E">
        <w:rPr>
          <w:szCs w:val="16"/>
          <w:lang w:val="es-CR"/>
        </w:rPr>
        <w:t xml:space="preserve"> </w:t>
      </w:r>
      <w:proofErr w:type="spellStart"/>
      <w:r w:rsidRPr="00F3136E">
        <w:rPr>
          <w:szCs w:val="16"/>
          <w:lang w:val="es-CR"/>
        </w:rPr>
        <w:t>Quiej</w:t>
      </w:r>
      <w:proofErr w:type="spellEnd"/>
      <w:r w:rsidRPr="00F3136E">
        <w:rPr>
          <w:szCs w:val="16"/>
          <w:lang w:val="es-CR"/>
        </w:rPr>
        <w:t xml:space="preserve"> (exp</w:t>
      </w:r>
      <w:r>
        <w:rPr>
          <w:szCs w:val="16"/>
          <w:lang w:val="es-CR"/>
        </w:rPr>
        <w:t xml:space="preserve">ediente de prueba, folio 12830), y declaración rendida por Francisco </w:t>
      </w:r>
      <w:proofErr w:type="spellStart"/>
      <w:r>
        <w:rPr>
          <w:szCs w:val="16"/>
          <w:lang w:val="es-CR"/>
        </w:rPr>
        <w:t>Sop</w:t>
      </w:r>
      <w:proofErr w:type="spellEnd"/>
      <w:r>
        <w:rPr>
          <w:szCs w:val="16"/>
          <w:lang w:val="es-CR"/>
        </w:rPr>
        <w:t xml:space="preserve"> </w:t>
      </w:r>
      <w:proofErr w:type="spellStart"/>
      <w:r>
        <w:rPr>
          <w:szCs w:val="16"/>
          <w:lang w:val="es-CR"/>
        </w:rPr>
        <w:t>Quiej</w:t>
      </w:r>
      <w:proofErr w:type="spellEnd"/>
      <w:r>
        <w:rPr>
          <w:szCs w:val="16"/>
          <w:lang w:val="es-CR"/>
        </w:rPr>
        <w:t xml:space="preserve"> ante fedatario público</w:t>
      </w:r>
      <w:r w:rsidRPr="00F3136E">
        <w:rPr>
          <w:szCs w:val="16"/>
          <w:lang w:val="es-CR"/>
        </w:rPr>
        <w:t xml:space="preserve"> de 11 de enero del 2017 (expediente de prueba, folio 11639).</w:t>
      </w:r>
    </w:p>
  </w:footnote>
  <w:footnote w:id="350">
    <w:p w14:paraId="10354A76" w14:textId="71795932"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Jorge Armando Tavares Barreno (exped</w:t>
      </w:r>
      <w:r>
        <w:rPr>
          <w:szCs w:val="16"/>
          <w:lang w:val="es-CR"/>
        </w:rPr>
        <w:t>iente de prueba, folio 12846); p</w:t>
      </w:r>
      <w:r w:rsidRPr="00F3136E">
        <w:rPr>
          <w:szCs w:val="16"/>
          <w:lang w:val="es-CR"/>
        </w:rPr>
        <w:t>oder de representación otorgado por las víctimas a los representantes mediante escrito de 23 de enero de 2017 (expedient</w:t>
      </w:r>
      <w:r>
        <w:rPr>
          <w:szCs w:val="16"/>
          <w:lang w:val="es-CR"/>
        </w:rPr>
        <w:t>e de fondo, folios 111 y 169); c</w:t>
      </w:r>
      <w:r w:rsidRPr="00F3136E">
        <w:rPr>
          <w:szCs w:val="16"/>
          <w:lang w:val="es-CR"/>
        </w:rPr>
        <w:t xml:space="preserve">uadro sobre información recabada por la Doctora Cristina Calderón, a través de entrevistas de noviembre de 2010 (expediente de </w:t>
      </w:r>
      <w:r>
        <w:rPr>
          <w:szCs w:val="16"/>
          <w:lang w:val="es-CR"/>
        </w:rPr>
        <w:t>prueba, folios 12783, 12797 y 12798); e</w:t>
      </w:r>
      <w:r w:rsidRPr="00F3136E">
        <w:rPr>
          <w:szCs w:val="16"/>
          <w:lang w:val="es-CR"/>
        </w:rPr>
        <w:t>scrito de observaciones de los peticionarios del 7 de agosto del 2009 (exp</w:t>
      </w:r>
      <w:r>
        <w:rPr>
          <w:szCs w:val="16"/>
          <w:lang w:val="es-CR"/>
        </w:rPr>
        <w:t>ediente de prueba, folio 826); i</w:t>
      </w:r>
      <w:r w:rsidRPr="00F3136E">
        <w:rPr>
          <w:szCs w:val="16"/>
          <w:lang w:val="es-CR"/>
        </w:rPr>
        <w:t xml:space="preserve">nforme del Estado del 1 de octubre del 2010 (expediente de prueba, folio 1431); </w:t>
      </w:r>
      <w:r>
        <w:rPr>
          <w:szCs w:val="16"/>
          <w:lang w:val="es-CR"/>
        </w:rPr>
        <w:t>c</w:t>
      </w:r>
      <w:r w:rsidRPr="00F3136E">
        <w:rPr>
          <w:szCs w:val="16"/>
          <w:lang w:val="es-CR"/>
        </w:rPr>
        <w:t xml:space="preserve">uadro de información recabada por la Doctora Cristina Calderón, como anexo </w:t>
      </w:r>
      <w:r>
        <w:rPr>
          <w:szCs w:val="16"/>
          <w:lang w:val="es-CR"/>
        </w:rPr>
        <w:t>al escrito de los peticionarios</w:t>
      </w:r>
      <w:r w:rsidRPr="00F3136E">
        <w:rPr>
          <w:szCs w:val="16"/>
          <w:lang w:val="es-CR"/>
        </w:rPr>
        <w:t xml:space="preserve"> de 27 de junio de 2008 (exped</w:t>
      </w:r>
      <w:r>
        <w:rPr>
          <w:szCs w:val="16"/>
          <w:lang w:val="es-CR"/>
        </w:rPr>
        <w:t>iente de prueba, folio 12777), e i</w:t>
      </w:r>
      <w:r w:rsidRPr="00F3136E">
        <w:rPr>
          <w:szCs w:val="16"/>
          <w:lang w:val="es-CR"/>
        </w:rPr>
        <w:t>nforme del Estado del 23 de marzo del 2009 (expediente de prueba, folio 917)</w:t>
      </w:r>
      <w:r>
        <w:rPr>
          <w:szCs w:val="16"/>
          <w:lang w:val="es-CR"/>
        </w:rPr>
        <w:t>.</w:t>
      </w:r>
    </w:p>
  </w:footnote>
  <w:footnote w:id="351">
    <w:p w14:paraId="67765247" w14:textId="0A5386C4"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r>
      <w:r>
        <w:rPr>
          <w:szCs w:val="16"/>
          <w:lang w:val="es-CR"/>
        </w:rPr>
        <w:t>Listado anexo al informe de fondo de la CIDH de 13 de abril de 2016</w:t>
      </w:r>
      <w:r w:rsidRPr="00F3136E">
        <w:rPr>
          <w:szCs w:val="16"/>
          <w:lang w:val="es-CR"/>
        </w:rPr>
        <w:t xml:space="preserve"> (expediente de prueba, folio 12768).</w:t>
      </w:r>
    </w:p>
  </w:footnote>
  <w:footnote w:id="352">
    <w:p w14:paraId="413F5D96" w14:textId="1023A320"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Certificado de nacimiento de Miguel Lucas Vail (expediente de prue</w:t>
      </w:r>
      <w:r>
        <w:rPr>
          <w:szCs w:val="16"/>
          <w:lang w:val="es-CR"/>
        </w:rPr>
        <w:t>ba, folio 12900); declaración rendida por Miguel Lucas Vail ante fedatario público</w:t>
      </w:r>
      <w:r w:rsidRPr="00F3136E">
        <w:rPr>
          <w:szCs w:val="16"/>
          <w:lang w:val="es-CR"/>
        </w:rPr>
        <w:t xml:space="preserve"> de 14 de febrero del 2017 (expediente de prueba, folios</w:t>
      </w:r>
      <w:r>
        <w:rPr>
          <w:szCs w:val="16"/>
          <w:lang w:val="es-CR"/>
        </w:rPr>
        <w:t xml:space="preserve"> 11742, 11743, 11745 y 11746); c</w:t>
      </w:r>
      <w:r w:rsidRPr="00F3136E">
        <w:rPr>
          <w:szCs w:val="16"/>
          <w:lang w:val="es-CR"/>
        </w:rPr>
        <w:t>uadro de información recabada por la Doctora Cristina Calderón, como anexo al escrito de los peticionarios de 27 de junio de 2008 (exped</w:t>
      </w:r>
      <w:r>
        <w:rPr>
          <w:szCs w:val="16"/>
          <w:lang w:val="es-CR"/>
        </w:rPr>
        <w:t>iente de prueba, folio 12777); e</w:t>
      </w:r>
      <w:r w:rsidRPr="00F3136E">
        <w:rPr>
          <w:szCs w:val="16"/>
          <w:lang w:val="es-CR"/>
        </w:rPr>
        <w:t>scrito de observ</w:t>
      </w:r>
      <w:r>
        <w:rPr>
          <w:szCs w:val="16"/>
          <w:lang w:val="es-CR"/>
        </w:rPr>
        <w:t>aciones de los peticionarios de</w:t>
      </w:r>
      <w:r w:rsidRPr="00F3136E">
        <w:rPr>
          <w:szCs w:val="16"/>
          <w:lang w:val="es-CR"/>
        </w:rPr>
        <w:t xml:space="preserve"> 7 de agosto del 2009 (exp</w:t>
      </w:r>
      <w:r>
        <w:rPr>
          <w:szCs w:val="16"/>
          <w:lang w:val="es-CR"/>
        </w:rPr>
        <w:t>ediente de prueba, folio 826); i</w:t>
      </w:r>
      <w:r w:rsidRPr="00F3136E">
        <w:rPr>
          <w:szCs w:val="16"/>
          <w:lang w:val="es-CR"/>
        </w:rPr>
        <w:t xml:space="preserve">nforme del Estado del 23 de marzo del 2009 (expediente de prueba, folio 918); </w:t>
      </w:r>
      <w:r>
        <w:rPr>
          <w:szCs w:val="16"/>
          <w:lang w:val="es-CR"/>
        </w:rPr>
        <w:t>i</w:t>
      </w:r>
      <w:r w:rsidRPr="00F3136E">
        <w:rPr>
          <w:szCs w:val="16"/>
          <w:lang w:val="es-CR"/>
        </w:rPr>
        <w:t>nforme del Estado del 1 de octubre del 2010 (ex</w:t>
      </w:r>
      <w:r>
        <w:rPr>
          <w:szCs w:val="16"/>
          <w:lang w:val="es-CR"/>
        </w:rPr>
        <w:t>pediente de prueba, folio 1432), y c</w:t>
      </w:r>
      <w:r w:rsidRPr="00F3136E">
        <w:rPr>
          <w:szCs w:val="16"/>
          <w:lang w:val="es-CR"/>
        </w:rPr>
        <w:t xml:space="preserve">uadro sobre información recabada por la Doctora Cristina Calderón, a través de entrevistas de noviembre de 2010 (expediente de prueba, folios 12797 y 12798). </w:t>
      </w:r>
    </w:p>
  </w:footnote>
  <w:footnote w:id="353">
    <w:p w14:paraId="36F61DA2" w14:textId="77777777"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t>D</w:t>
      </w:r>
      <w:r>
        <w:rPr>
          <w:szCs w:val="16"/>
          <w:lang w:val="es-CR"/>
        </w:rPr>
        <w:t>eclaración rendida por Miguel Lucas Vail</w:t>
      </w:r>
      <w:r w:rsidRPr="00F3136E">
        <w:rPr>
          <w:szCs w:val="16"/>
          <w:lang w:val="es-CR"/>
        </w:rPr>
        <w:t xml:space="preserve"> </w:t>
      </w:r>
      <w:r>
        <w:rPr>
          <w:szCs w:val="16"/>
          <w:lang w:val="es-CR"/>
        </w:rPr>
        <w:t xml:space="preserve">ante fedatario público </w:t>
      </w:r>
      <w:r w:rsidRPr="00F3136E">
        <w:rPr>
          <w:szCs w:val="16"/>
          <w:lang w:val="es-CR"/>
        </w:rPr>
        <w:t xml:space="preserve">de 14 de febrero de 2017 (expediente de prueba, folios 11742 y 11745). </w:t>
      </w:r>
    </w:p>
  </w:footnote>
  <w:footnote w:id="354">
    <w:p w14:paraId="1ADB9709" w14:textId="22A27F19"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Información proporcionada por Proyecto Vida, Coatepeque, sobre la actualización de datos de las pers</w:t>
      </w:r>
      <w:r>
        <w:rPr>
          <w:szCs w:val="16"/>
          <w:lang w:val="es-CR"/>
        </w:rPr>
        <w:t>onas que demandaron a Guatemala</w:t>
      </w:r>
      <w:r w:rsidRPr="00F3136E">
        <w:rPr>
          <w:szCs w:val="16"/>
          <w:lang w:val="es-CR"/>
        </w:rPr>
        <w:t xml:space="preserve"> ante la Corte (exped</w:t>
      </w:r>
      <w:r>
        <w:rPr>
          <w:szCs w:val="16"/>
          <w:lang w:val="es-CR"/>
        </w:rPr>
        <w:t>iente de prueba, folio 11215); c</w:t>
      </w:r>
      <w:r w:rsidRPr="00F3136E">
        <w:rPr>
          <w:szCs w:val="16"/>
          <w:lang w:val="es-CR"/>
        </w:rPr>
        <w:t>uadro de información recabada por la Doctora Cristina Calderón, como anexo al escrito de los peticionarios</w:t>
      </w:r>
      <w:r>
        <w:rPr>
          <w:szCs w:val="16"/>
          <w:lang w:val="es-CR"/>
        </w:rPr>
        <w:t xml:space="preserve"> </w:t>
      </w:r>
      <w:r w:rsidRPr="00F3136E">
        <w:rPr>
          <w:szCs w:val="16"/>
          <w:lang w:val="es-CR"/>
        </w:rPr>
        <w:t>de 27 de junio de 2008 (exped</w:t>
      </w:r>
      <w:r>
        <w:rPr>
          <w:szCs w:val="16"/>
          <w:lang w:val="es-CR"/>
        </w:rPr>
        <w:t>iente de prueba, folio 12776); c</w:t>
      </w:r>
      <w:r w:rsidRPr="00F3136E">
        <w:rPr>
          <w:szCs w:val="16"/>
          <w:lang w:val="es-CR"/>
        </w:rPr>
        <w:t>uadro sobre información recabada por la Doctora Cristina Calderón, a través de entrevistas de noviembre de 2010 (expediente de prueba, folios</w:t>
      </w:r>
      <w:r>
        <w:rPr>
          <w:szCs w:val="16"/>
          <w:lang w:val="es-CR"/>
        </w:rPr>
        <w:t xml:space="preserve"> 12791 y 12792); e</w:t>
      </w:r>
      <w:r w:rsidRPr="00F3136E">
        <w:rPr>
          <w:szCs w:val="16"/>
          <w:lang w:val="es-CR"/>
        </w:rPr>
        <w:t xml:space="preserve">scrito de petición inicial de 25 de agosto de 2003 (expediente de prueba, folio 465); </w:t>
      </w:r>
      <w:r>
        <w:rPr>
          <w:szCs w:val="16"/>
          <w:lang w:val="es-CR"/>
        </w:rPr>
        <w:t>i</w:t>
      </w:r>
      <w:r w:rsidRPr="00F3136E">
        <w:rPr>
          <w:szCs w:val="16"/>
          <w:lang w:val="es-CR"/>
        </w:rPr>
        <w:t>nforme del director administra</w:t>
      </w:r>
      <w:r>
        <w:rPr>
          <w:szCs w:val="16"/>
          <w:lang w:val="es-CR"/>
        </w:rPr>
        <w:t>tivo del Hospital de Coatepeque</w:t>
      </w:r>
      <w:r w:rsidRPr="00F3136E">
        <w:rPr>
          <w:szCs w:val="16"/>
          <w:lang w:val="es-CR"/>
        </w:rPr>
        <w:t xml:space="preserve"> de 5 de febrero de 2008, sobre la atención médica del señor Santos Vásquez (expediente de prueba, folio 1081); </w:t>
      </w:r>
      <w:r>
        <w:rPr>
          <w:szCs w:val="16"/>
          <w:lang w:val="es-CR"/>
        </w:rPr>
        <w:t>i</w:t>
      </w:r>
      <w:r w:rsidRPr="00F3136E">
        <w:rPr>
          <w:szCs w:val="16"/>
          <w:lang w:val="es-CR"/>
        </w:rPr>
        <w:t>nforme del Estado del 1 de octubre del 2010 (exp</w:t>
      </w:r>
      <w:r>
        <w:rPr>
          <w:szCs w:val="16"/>
          <w:lang w:val="es-CR"/>
        </w:rPr>
        <w:t>ediente de prueba, folio 1431), y escrito de los peticionarios</w:t>
      </w:r>
      <w:r w:rsidRPr="00F3136E">
        <w:rPr>
          <w:szCs w:val="16"/>
          <w:lang w:val="es-CR"/>
        </w:rPr>
        <w:t xml:space="preserve"> de 7 de agosto de 2009 (ex</w:t>
      </w:r>
      <w:r>
        <w:rPr>
          <w:szCs w:val="16"/>
          <w:lang w:val="es-CR"/>
        </w:rPr>
        <w:t>pediente de prueba, folio 822).</w:t>
      </w:r>
    </w:p>
  </w:footnote>
  <w:footnote w:id="355">
    <w:p w14:paraId="753DFD2C" w14:textId="75561F22"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r>
      <w:r>
        <w:rPr>
          <w:szCs w:val="16"/>
          <w:lang w:val="es-CR"/>
        </w:rPr>
        <w:t>Listado anexo al informe de fondo de la CIDH de 13 de abril de 2016</w:t>
      </w:r>
      <w:r w:rsidRPr="00F3136E">
        <w:rPr>
          <w:szCs w:val="16"/>
          <w:lang w:val="es-CR"/>
        </w:rPr>
        <w:t xml:space="preserve"> (expediente de prueba, folio 12767).</w:t>
      </w:r>
    </w:p>
  </w:footnote>
  <w:footnote w:id="356">
    <w:p w14:paraId="66267712" w14:textId="64D369BE"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Cuadro de información recabada p</w:t>
      </w:r>
      <w:r>
        <w:rPr>
          <w:szCs w:val="16"/>
          <w:lang w:val="es-CR"/>
        </w:rPr>
        <w:t>or la Doctora Cristina Calderón</w:t>
      </w:r>
      <w:r w:rsidRPr="00F3136E">
        <w:rPr>
          <w:szCs w:val="16"/>
          <w:lang w:val="es-CR"/>
        </w:rPr>
        <w:t xml:space="preserve"> como anexo al escrito de los peticionarios de 27 de junio de 2008 (expediente de prue</w:t>
      </w:r>
      <w:r>
        <w:rPr>
          <w:szCs w:val="16"/>
          <w:lang w:val="es-CR"/>
        </w:rPr>
        <w:t>ba, folio 12774); i</w:t>
      </w:r>
      <w:r w:rsidRPr="00F3136E">
        <w:rPr>
          <w:szCs w:val="16"/>
          <w:lang w:val="es-CR"/>
        </w:rPr>
        <w:t>nformación proporcionada por Proyecto Vida, Coatepeque, sobre la actualización de datos de las personas que demandaron a Guatemala ante la Corte (exped</w:t>
      </w:r>
      <w:r>
        <w:rPr>
          <w:szCs w:val="16"/>
          <w:lang w:val="es-CR"/>
        </w:rPr>
        <w:t>iente de prueba, folio 11216); e</w:t>
      </w:r>
      <w:r w:rsidRPr="00F3136E">
        <w:rPr>
          <w:szCs w:val="16"/>
          <w:lang w:val="es-CR"/>
        </w:rPr>
        <w:t xml:space="preserve">scrito de petición inicial de 25 de agosto de 2003 (expediente de prueba, folio 465); </w:t>
      </w:r>
      <w:r>
        <w:rPr>
          <w:szCs w:val="16"/>
          <w:lang w:val="es-CR"/>
        </w:rPr>
        <w:t>i</w:t>
      </w:r>
      <w:r w:rsidRPr="00F3136E">
        <w:rPr>
          <w:szCs w:val="16"/>
          <w:lang w:val="es-CR"/>
        </w:rPr>
        <w:t xml:space="preserve">nforme del Estado del 23 de marzo del 2009 (expediente de prueba, folio 912); </w:t>
      </w:r>
      <w:r>
        <w:rPr>
          <w:szCs w:val="16"/>
          <w:lang w:val="es-CR"/>
        </w:rPr>
        <w:t>i</w:t>
      </w:r>
      <w:r w:rsidRPr="00F3136E">
        <w:rPr>
          <w:szCs w:val="16"/>
          <w:lang w:val="es-CR"/>
        </w:rPr>
        <w:t xml:space="preserve">nforme del Estado del 1 de octubre del 2010 (expediente de prueba, folio 1433); </w:t>
      </w:r>
      <w:r>
        <w:rPr>
          <w:szCs w:val="16"/>
          <w:lang w:val="es-CR"/>
        </w:rPr>
        <w:t>c</w:t>
      </w:r>
      <w:r w:rsidRPr="00F3136E">
        <w:rPr>
          <w:szCs w:val="16"/>
          <w:lang w:val="es-CR"/>
        </w:rPr>
        <w:t>uadro sobre la información recabada por la Doctora Cristina Calderón a través de e</w:t>
      </w:r>
      <w:r>
        <w:rPr>
          <w:szCs w:val="16"/>
          <w:lang w:val="es-CR"/>
        </w:rPr>
        <w:t>ntrevistas en noviembre de 2010</w:t>
      </w:r>
      <w:r w:rsidRPr="00F3136E">
        <w:rPr>
          <w:szCs w:val="16"/>
          <w:lang w:val="es-CR"/>
        </w:rPr>
        <w:t xml:space="preserve"> (expediente de pr</w:t>
      </w:r>
      <w:r>
        <w:rPr>
          <w:szCs w:val="16"/>
          <w:lang w:val="es-CR"/>
        </w:rPr>
        <w:t>ueba, folio 12786), e i</w:t>
      </w:r>
      <w:r w:rsidRPr="00F3136E">
        <w:rPr>
          <w:szCs w:val="16"/>
          <w:lang w:val="es-CR"/>
        </w:rPr>
        <w:t>nforme del Estado del 14 de febrero del 2012 (expediente de prueba, folio 1325).</w:t>
      </w:r>
    </w:p>
  </w:footnote>
  <w:footnote w:id="357">
    <w:p w14:paraId="6CB2D191" w14:textId="759855D6" w:rsidR="00604517" w:rsidRPr="00F3136E" w:rsidRDefault="00604517" w:rsidP="003C2AC6">
      <w:pPr>
        <w:pStyle w:val="Textonotapie"/>
        <w:spacing w:before="0"/>
        <w:rPr>
          <w:szCs w:val="16"/>
          <w:lang w:val="es-CR"/>
        </w:rPr>
      </w:pPr>
      <w:r w:rsidRPr="00F3136E">
        <w:rPr>
          <w:rStyle w:val="Refdenotaalpie"/>
          <w:szCs w:val="16"/>
          <w:lang w:val="es-CR"/>
        </w:rPr>
        <w:footnoteRef/>
      </w:r>
      <w:r w:rsidRPr="00F3136E">
        <w:rPr>
          <w:szCs w:val="16"/>
          <w:lang w:val="es-CR"/>
        </w:rPr>
        <w:tab/>
      </w:r>
      <w:r>
        <w:rPr>
          <w:szCs w:val="16"/>
          <w:lang w:val="es-CR"/>
        </w:rPr>
        <w:t>Listado anexo al informe de fondo de la CIDH de 13 de abril de 2016</w:t>
      </w:r>
      <w:r w:rsidRPr="00F3136E">
        <w:rPr>
          <w:szCs w:val="16"/>
          <w:lang w:val="es-CR"/>
        </w:rPr>
        <w:t xml:space="preserve"> (expediente de prueba, folio 12771).</w:t>
      </w:r>
    </w:p>
  </w:footnote>
  <w:footnote w:id="358">
    <w:p w14:paraId="231E9453" w14:textId="78B80E31" w:rsidR="00604517" w:rsidRPr="00F3136E" w:rsidRDefault="00604517" w:rsidP="003C2AC6">
      <w:pPr>
        <w:pStyle w:val="Textonotapie"/>
        <w:rPr>
          <w:szCs w:val="16"/>
          <w:lang w:val="es-CR"/>
        </w:rPr>
      </w:pPr>
      <w:r w:rsidRPr="00F3136E">
        <w:rPr>
          <w:rStyle w:val="Refdenotaalpie"/>
          <w:szCs w:val="16"/>
          <w:lang w:val="es-CR"/>
        </w:rPr>
        <w:footnoteRef/>
      </w:r>
      <w:r>
        <w:rPr>
          <w:szCs w:val="16"/>
          <w:lang w:val="es-CR"/>
        </w:rPr>
        <w:tab/>
        <w:t>Declaración rendida por</w:t>
      </w:r>
      <w:r w:rsidRPr="00F3136E">
        <w:rPr>
          <w:szCs w:val="16"/>
          <w:lang w:val="es-CR"/>
        </w:rPr>
        <w:t xml:space="preserve"> Sandra Lisbeth</w:t>
      </w:r>
      <w:r>
        <w:rPr>
          <w:szCs w:val="16"/>
          <w:lang w:val="es-CR"/>
        </w:rPr>
        <w:t xml:space="preserve"> Zepeda Herrera ante fedatario público</w:t>
      </w:r>
      <w:r w:rsidRPr="00F3136E">
        <w:rPr>
          <w:szCs w:val="16"/>
          <w:lang w:val="es-CR"/>
        </w:rPr>
        <w:t xml:space="preserve"> de 15 de diciembre de 2016 (expediente de prueba, folios 11543 y 11544); </w:t>
      </w:r>
      <w:r>
        <w:rPr>
          <w:szCs w:val="16"/>
          <w:lang w:val="es-CR"/>
        </w:rPr>
        <w:t>p</w:t>
      </w:r>
      <w:r w:rsidRPr="00F3136E">
        <w:rPr>
          <w:szCs w:val="16"/>
          <w:lang w:val="es-CR"/>
        </w:rPr>
        <w:t>oder de representación otorgado por las víctimas a los representantes mediante escrito de 23 de enero de 2017 (ex</w:t>
      </w:r>
      <w:r>
        <w:rPr>
          <w:szCs w:val="16"/>
          <w:lang w:val="es-CR"/>
        </w:rPr>
        <w:t>pediente de fondo, folio 225); p</w:t>
      </w:r>
      <w:r w:rsidRPr="00F3136E">
        <w:rPr>
          <w:szCs w:val="16"/>
          <w:lang w:val="es-CR"/>
        </w:rPr>
        <w:t xml:space="preserve">eritaje rendido por Ricardo Boza Cordero en la audiencia pública celebrada ante esta Corte e informe escrito sobre dicho peritaje (expediente de fondo, folios 1486 y 1487); </w:t>
      </w:r>
      <w:r>
        <w:rPr>
          <w:szCs w:val="16"/>
          <w:lang w:val="es-CR"/>
        </w:rPr>
        <w:t>expediente  de medidas cautelares ante la CIDH</w:t>
      </w:r>
      <w:r w:rsidRPr="00F3136E">
        <w:rPr>
          <w:szCs w:val="16"/>
          <w:lang w:val="es-CR"/>
        </w:rPr>
        <w:t xml:space="preserve"> (exped</w:t>
      </w:r>
      <w:r>
        <w:rPr>
          <w:szCs w:val="16"/>
          <w:lang w:val="es-CR"/>
        </w:rPr>
        <w:t>iente de prueba, folio 11219); i</w:t>
      </w:r>
      <w:r w:rsidRPr="00F3136E">
        <w:rPr>
          <w:szCs w:val="16"/>
          <w:lang w:val="es-CR"/>
        </w:rPr>
        <w:t>nforme del Dr. Mario García, de la Fundación Marco Antonio, de 29 de enero de 2008, sobre la atención médica de la señora Sandra Elizabeth Herrera Zepeda  (expe</w:t>
      </w:r>
      <w:r>
        <w:rPr>
          <w:szCs w:val="16"/>
          <w:lang w:val="es-CR"/>
        </w:rPr>
        <w:t>diente de prueba, folio 1063), e i</w:t>
      </w:r>
      <w:r w:rsidRPr="00F3136E">
        <w:rPr>
          <w:szCs w:val="16"/>
          <w:lang w:val="es-CR"/>
        </w:rPr>
        <w:t>nforme del Estado del 23 de marzo del 2009 (expediente de prueba, folio 915).</w:t>
      </w:r>
    </w:p>
  </w:footnote>
  <w:footnote w:id="359">
    <w:p w14:paraId="672CF629" w14:textId="77777777" w:rsidR="00604517" w:rsidRPr="00F3136E" w:rsidRDefault="00604517" w:rsidP="003C2AC6">
      <w:pPr>
        <w:pStyle w:val="Textonotapie"/>
        <w:rPr>
          <w:szCs w:val="16"/>
          <w:lang w:val="es-CR"/>
        </w:rPr>
      </w:pPr>
      <w:r w:rsidRPr="00F3136E">
        <w:rPr>
          <w:rStyle w:val="Refdenotaalpie"/>
          <w:szCs w:val="16"/>
          <w:lang w:val="es-CR"/>
        </w:rPr>
        <w:footnoteRef/>
      </w:r>
      <w:r w:rsidRPr="00F3136E">
        <w:rPr>
          <w:szCs w:val="16"/>
          <w:lang w:val="es-CR"/>
        </w:rPr>
        <w:tab/>
        <w:t>Declar</w:t>
      </w:r>
      <w:r>
        <w:rPr>
          <w:szCs w:val="16"/>
          <w:lang w:val="es-CR"/>
        </w:rPr>
        <w:t>ación rendida por Sandra Lisbeth Zepeda Herrera ante fedatario público</w:t>
      </w:r>
      <w:r w:rsidRPr="00F3136E">
        <w:rPr>
          <w:szCs w:val="16"/>
          <w:lang w:val="es-CR"/>
        </w:rPr>
        <w:t xml:space="preserve"> de 15 de diciembre de 2016 (expediente de prueba, folios 11543, 11544, 11545 y 11546).</w:t>
      </w:r>
    </w:p>
  </w:footnote>
  <w:footnote w:id="360">
    <w:p w14:paraId="42EC8412" w14:textId="77777777" w:rsidR="00604517" w:rsidRPr="00F3136E" w:rsidRDefault="00604517" w:rsidP="003C2AC6">
      <w:pPr>
        <w:pStyle w:val="Textonotapie"/>
        <w:spacing w:before="0"/>
        <w:rPr>
          <w:szCs w:val="16"/>
          <w:lang w:val="es-CR"/>
        </w:rPr>
      </w:pPr>
      <w:r w:rsidRPr="00F3136E">
        <w:rPr>
          <w:rStyle w:val="Refdenotaalpie"/>
          <w:szCs w:val="16"/>
          <w:lang w:val="es-CR"/>
        </w:rPr>
        <w:footnoteRef/>
      </w:r>
      <w:r>
        <w:rPr>
          <w:szCs w:val="16"/>
          <w:lang w:val="es-CR"/>
        </w:rPr>
        <w:tab/>
        <w:t>Declaración rendida por</w:t>
      </w:r>
      <w:r w:rsidRPr="00F3136E">
        <w:rPr>
          <w:szCs w:val="16"/>
          <w:lang w:val="es-CR"/>
        </w:rPr>
        <w:t xml:space="preserve"> Sandra Lisbeth Zepeda Herrera</w:t>
      </w:r>
      <w:r>
        <w:rPr>
          <w:szCs w:val="16"/>
          <w:lang w:val="es-CR"/>
        </w:rPr>
        <w:t xml:space="preserve"> ante fedatario público</w:t>
      </w:r>
      <w:r w:rsidRPr="00F3136E">
        <w:rPr>
          <w:szCs w:val="16"/>
          <w:lang w:val="es-CR"/>
        </w:rPr>
        <w:t xml:space="preserve"> de 15 de diciembre de 2016 (expediente de prueba, folio 11543).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D7242152"/>
    <w:lvl w:ilvl="0">
      <w:start w:val="3"/>
      <w:numFmt w:val="decimal"/>
      <w:lvlText w:val="%1."/>
      <w:lvlJc w:val="left"/>
      <w:pPr>
        <w:tabs>
          <w:tab w:val="num" w:pos="360"/>
        </w:tabs>
        <w:ind w:left="360" w:hanging="360"/>
      </w:pPr>
      <w:rPr>
        <w:rFonts w:ascii="Verdana" w:hAnsi="Verdana" w:hint="default"/>
        <w:b w:val="0"/>
        <w:i w:val="0"/>
        <w:strike w:val="0"/>
        <w:color w:val="auto"/>
        <w:sz w:val="20"/>
        <w:szCs w:val="20"/>
      </w:rPr>
    </w:lvl>
    <w:lvl w:ilvl="1">
      <w:start w:val="1"/>
      <w:numFmt w:val="decimal"/>
      <w:lvlText w:val="%2."/>
      <w:lvlJc w:val="left"/>
      <w:pPr>
        <w:tabs>
          <w:tab w:val="num" w:pos="1080"/>
        </w:tabs>
        <w:ind w:left="1080" w:hanging="360"/>
      </w:pPr>
      <w:rPr>
        <w:lang w:val="es-C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B66"/>
    <w:multiLevelType w:val="hybridMultilevel"/>
    <w:tmpl w:val="A99E8EC8"/>
    <w:lvl w:ilvl="0" w:tplc="285A49A6">
      <w:start w:val="1"/>
      <w:numFmt w:val="decimal"/>
      <w:lvlText w:val="%1."/>
      <w:lvlJc w:val="left"/>
      <w:pPr>
        <w:ind w:left="5038" w:hanging="360"/>
      </w:pPr>
      <w:rPr>
        <w:rFonts w:ascii="Verdana" w:hAnsi="Verdana" w:hint="default"/>
        <w:b w:val="0"/>
        <w:i w:val="0"/>
        <w:strike w:val="0"/>
        <w:dstrike w:val="0"/>
        <w:color w:val="auto"/>
        <w:sz w:val="20"/>
        <w:szCs w:val="20"/>
        <w:u w:val="none"/>
        <w:effect w:val="none"/>
        <w:vertAlign w:val="baseline"/>
        <w:lang w:val="es-CR"/>
      </w:rPr>
    </w:lvl>
    <w:lvl w:ilvl="1" w:tplc="0586247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4F138BD"/>
    <w:multiLevelType w:val="hybridMultilevel"/>
    <w:tmpl w:val="E4788452"/>
    <w:lvl w:ilvl="0" w:tplc="DD0803C6">
      <w:start w:val="1"/>
      <w:numFmt w:val="decimal"/>
      <w:lvlText w:val="%1."/>
      <w:lvlJc w:val="left"/>
      <w:pPr>
        <w:ind w:left="720" w:hanging="360"/>
      </w:pPr>
      <w:rPr>
        <w:rFonts w:ascii="Verdana" w:hAnsi="Verdana" w:hint="default"/>
        <w:b w:val="0"/>
        <w:i w:val="0"/>
        <w:strike w:val="0"/>
        <w:color w:val="000000" w:themeColor="text1"/>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1322F24"/>
    <w:multiLevelType w:val="hybridMultilevel"/>
    <w:tmpl w:val="8A16F244"/>
    <w:lvl w:ilvl="0" w:tplc="BA280E44">
      <w:start w:val="1"/>
      <w:numFmt w:val="upperLetter"/>
      <w:lvlText w:val="%1."/>
      <w:lvlJc w:val="left"/>
      <w:pPr>
        <w:ind w:left="360" w:hanging="360"/>
      </w:pPr>
      <w:rPr>
        <w:rFonts w:hint="default"/>
        <w:lang w:val="es-ES_tradnl"/>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2AA0A9F"/>
    <w:multiLevelType w:val="hybridMultilevel"/>
    <w:tmpl w:val="30A6C03A"/>
    <w:lvl w:ilvl="0" w:tplc="1CAC625E">
      <w:start w:val="1"/>
      <w:numFmt w:val="decimal"/>
      <w:lvlText w:val="%1."/>
      <w:lvlJc w:val="left"/>
      <w:pPr>
        <w:ind w:left="720" w:hanging="360"/>
      </w:pPr>
      <w:rPr>
        <w:rFonts w:hint="default"/>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94D1EEA"/>
    <w:multiLevelType w:val="hybridMultilevel"/>
    <w:tmpl w:val="6576D1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A1025C1"/>
    <w:multiLevelType w:val="hybridMultilevel"/>
    <w:tmpl w:val="8A16F244"/>
    <w:lvl w:ilvl="0" w:tplc="BA280E44">
      <w:start w:val="1"/>
      <w:numFmt w:val="upperLetter"/>
      <w:lvlText w:val="%1."/>
      <w:lvlJc w:val="left"/>
      <w:pPr>
        <w:ind w:left="360" w:hanging="360"/>
      </w:pPr>
      <w:rPr>
        <w:rFonts w:hint="default"/>
        <w:lang w:val="es-ES_tradnl"/>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A9809E5"/>
    <w:multiLevelType w:val="hybridMultilevel"/>
    <w:tmpl w:val="579A12D8"/>
    <w:lvl w:ilvl="0" w:tplc="140A000F">
      <w:start w:val="1"/>
      <w:numFmt w:val="decimal"/>
      <w:lvlText w:val="%1."/>
      <w:lvlJc w:val="left"/>
      <w:pPr>
        <w:ind w:left="720" w:hanging="360"/>
      </w:pPr>
    </w:lvl>
    <w:lvl w:ilvl="1" w:tplc="8CF03A7E">
      <w:start w:val="1"/>
      <w:numFmt w:val="upp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EC53EFC"/>
    <w:multiLevelType w:val="hybridMultilevel"/>
    <w:tmpl w:val="2A2C6072"/>
    <w:lvl w:ilvl="0" w:tplc="D3E0C906">
      <w:start w:val="1"/>
      <w:numFmt w:val="lowerLetter"/>
      <w:lvlText w:val="%1)"/>
      <w:lvlJc w:val="left"/>
      <w:pPr>
        <w:ind w:left="180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BF31D5"/>
    <w:multiLevelType w:val="hybridMultilevel"/>
    <w:tmpl w:val="095A1BB4"/>
    <w:lvl w:ilvl="0" w:tplc="8CF03A7E">
      <w:start w:val="1"/>
      <w:numFmt w:val="upperLetter"/>
      <w:lvlText w:val="%1."/>
      <w:lvlJc w:val="left"/>
      <w:pPr>
        <w:ind w:left="360" w:hanging="360"/>
      </w:pPr>
      <w:rPr>
        <w:rFonts w:hint="default"/>
      </w:rPr>
    </w:lvl>
    <w:lvl w:ilvl="1" w:tplc="140A0019" w:tentative="1">
      <w:start w:val="1"/>
      <w:numFmt w:val="lowerLetter"/>
      <w:lvlText w:val="%2."/>
      <w:lvlJc w:val="left"/>
      <w:pPr>
        <w:ind w:left="360" w:hanging="360"/>
      </w:pPr>
    </w:lvl>
    <w:lvl w:ilvl="2" w:tplc="140A001B" w:tentative="1">
      <w:start w:val="1"/>
      <w:numFmt w:val="lowerRoman"/>
      <w:lvlText w:val="%3."/>
      <w:lvlJc w:val="right"/>
      <w:pPr>
        <w:ind w:left="1080" w:hanging="180"/>
      </w:pPr>
    </w:lvl>
    <w:lvl w:ilvl="3" w:tplc="140A000F" w:tentative="1">
      <w:start w:val="1"/>
      <w:numFmt w:val="decimal"/>
      <w:lvlText w:val="%4."/>
      <w:lvlJc w:val="left"/>
      <w:pPr>
        <w:ind w:left="1800" w:hanging="360"/>
      </w:pPr>
    </w:lvl>
    <w:lvl w:ilvl="4" w:tplc="140A0019" w:tentative="1">
      <w:start w:val="1"/>
      <w:numFmt w:val="lowerLetter"/>
      <w:lvlText w:val="%5."/>
      <w:lvlJc w:val="left"/>
      <w:pPr>
        <w:ind w:left="2520" w:hanging="360"/>
      </w:pPr>
    </w:lvl>
    <w:lvl w:ilvl="5" w:tplc="140A001B" w:tentative="1">
      <w:start w:val="1"/>
      <w:numFmt w:val="lowerRoman"/>
      <w:lvlText w:val="%6."/>
      <w:lvlJc w:val="right"/>
      <w:pPr>
        <w:ind w:left="3240" w:hanging="180"/>
      </w:pPr>
    </w:lvl>
    <w:lvl w:ilvl="6" w:tplc="140A000F" w:tentative="1">
      <w:start w:val="1"/>
      <w:numFmt w:val="decimal"/>
      <w:lvlText w:val="%7."/>
      <w:lvlJc w:val="left"/>
      <w:pPr>
        <w:ind w:left="3960" w:hanging="360"/>
      </w:pPr>
    </w:lvl>
    <w:lvl w:ilvl="7" w:tplc="140A0019" w:tentative="1">
      <w:start w:val="1"/>
      <w:numFmt w:val="lowerLetter"/>
      <w:lvlText w:val="%8."/>
      <w:lvlJc w:val="left"/>
      <w:pPr>
        <w:ind w:left="4680" w:hanging="360"/>
      </w:pPr>
    </w:lvl>
    <w:lvl w:ilvl="8" w:tplc="140A001B" w:tentative="1">
      <w:start w:val="1"/>
      <w:numFmt w:val="lowerRoman"/>
      <w:lvlText w:val="%9."/>
      <w:lvlJc w:val="right"/>
      <w:pPr>
        <w:ind w:left="5400" w:hanging="180"/>
      </w:pPr>
    </w:lvl>
  </w:abstractNum>
  <w:abstractNum w:abstractNumId="10" w15:restartNumberingAfterBreak="0">
    <w:nsid w:val="4AE31E6A"/>
    <w:multiLevelType w:val="hybridMultilevel"/>
    <w:tmpl w:val="5F9425BC"/>
    <w:lvl w:ilvl="0" w:tplc="28F82016">
      <w:start w:val="1"/>
      <w:numFmt w:val="upperLetter"/>
      <w:pStyle w:val="Ttulo2"/>
      <w:lvlText w:val="%1."/>
      <w:lvlJc w:val="left"/>
      <w:pPr>
        <w:ind w:left="360" w:hanging="360"/>
      </w:pPr>
      <w:rPr>
        <w:b/>
        <w:i w:val="0"/>
      </w:rPr>
    </w:lvl>
    <w:lvl w:ilvl="1" w:tplc="8A068718">
      <w:start w:val="1"/>
      <w:numFmt w:val="lowerLetter"/>
      <w:lvlText w:val="%2."/>
      <w:lvlJc w:val="left"/>
      <w:pPr>
        <w:ind w:left="645" w:hanging="360"/>
      </w:pPr>
      <w:rPr>
        <w:rFonts w:hint="default"/>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CCD1B5F"/>
    <w:multiLevelType w:val="hybridMultilevel"/>
    <w:tmpl w:val="32FA1412"/>
    <w:lvl w:ilvl="0" w:tplc="78AAAA9C">
      <w:start w:val="1"/>
      <w:numFmt w:val="decimal"/>
      <w:lvlText w:val="%1."/>
      <w:lvlJc w:val="left"/>
      <w:pPr>
        <w:ind w:left="7110" w:hanging="360"/>
      </w:pPr>
      <w:rPr>
        <w:rFonts w:ascii="Verdana" w:eastAsia="Batang" w:hAnsi="Verdana" w:cs="Times"/>
        <w:b w:val="0"/>
        <w:i w:val="0"/>
        <w:color w:val="auto"/>
        <w:sz w:val="20"/>
        <w:szCs w:val="20"/>
        <w:lang w:val="es-MX"/>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4F33259A"/>
    <w:multiLevelType w:val="hybridMultilevel"/>
    <w:tmpl w:val="1F4E49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E1BCF"/>
    <w:multiLevelType w:val="hybridMultilevel"/>
    <w:tmpl w:val="06DA32EE"/>
    <w:lvl w:ilvl="0" w:tplc="140A0019">
      <w:start w:val="1"/>
      <w:numFmt w:val="lowerLetter"/>
      <w:lvlText w:val="%1."/>
      <w:lvlJc w:val="left"/>
      <w:pPr>
        <w:ind w:left="786" w:hanging="360"/>
      </w:p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14" w15:restartNumberingAfterBreak="0">
    <w:nsid w:val="52490BF4"/>
    <w:multiLevelType w:val="hybridMultilevel"/>
    <w:tmpl w:val="03844016"/>
    <w:lvl w:ilvl="0" w:tplc="DA684398">
      <w:start w:val="1"/>
      <w:numFmt w:val="upperLetter"/>
      <w:lvlText w:val="%1."/>
      <w:lvlJc w:val="left"/>
      <w:pPr>
        <w:ind w:left="360" w:hanging="360"/>
      </w:pPr>
      <w:rPr>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C765414"/>
    <w:multiLevelType w:val="hybridMultilevel"/>
    <w:tmpl w:val="21E0F402"/>
    <w:lvl w:ilvl="0" w:tplc="A59835B8">
      <w:start w:val="1"/>
      <w:numFmt w:val="decimal"/>
      <w:lvlText w:val="%1."/>
      <w:lvlJc w:val="left"/>
      <w:pPr>
        <w:ind w:left="7110" w:hanging="360"/>
      </w:pPr>
      <w:rPr>
        <w:rFonts w:ascii="Verdana" w:eastAsia="Batang" w:hAnsi="Verdana" w:cs="Times"/>
        <w:b w:val="0"/>
        <w:i w:val="0"/>
        <w:strike w:val="0"/>
        <w:color w:val="auto"/>
        <w:sz w:val="20"/>
        <w:szCs w:val="20"/>
        <w:lang w:val="es-ES"/>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6" w15:restartNumberingAfterBreak="0">
    <w:nsid w:val="76671065"/>
    <w:multiLevelType w:val="hybridMultilevel"/>
    <w:tmpl w:val="2F923E54"/>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8" w15:restartNumberingAfterBreak="0">
    <w:nsid w:val="7A1E203B"/>
    <w:multiLevelType w:val="hybridMultilevel"/>
    <w:tmpl w:val="B6F444D6"/>
    <w:lvl w:ilvl="0" w:tplc="3DDA1E4A">
      <w:start w:val="1"/>
      <w:numFmt w:val="upperLetter"/>
      <w:lvlText w:val="%1."/>
      <w:lvlJc w:val="left"/>
      <w:pPr>
        <w:ind w:left="360" w:hanging="360"/>
      </w:pPr>
      <w:rPr>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dstrike w:val="0"/>
        <w:color w:val="auto"/>
        <w:sz w:val="20"/>
        <w:szCs w:val="20"/>
        <w:u w:val="none"/>
        <w:effect w:val="no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0" w15:restartNumberingAfterBreak="0">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4"/>
  </w:num>
  <w:num w:numId="2">
    <w:abstractNumId w:val="18"/>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7"/>
  </w:num>
  <w:num w:numId="8">
    <w:abstractNumId w:val="12"/>
  </w:num>
  <w:num w:numId="9">
    <w:abstractNumId w:val="6"/>
  </w:num>
  <w:num w:numId="10">
    <w:abstractNumId w:val="4"/>
  </w:num>
  <w:num w:numId="11">
    <w:abstractNumId w:val="2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9"/>
  </w:num>
  <w:num w:numId="17">
    <w:abstractNumId w:val="3"/>
  </w:num>
  <w:num w:numId="18">
    <w:abstractNumId w:val="2"/>
  </w:num>
  <w:num w:numId="19">
    <w:abstractNumId w:val="0"/>
  </w:num>
  <w:num w:numId="20">
    <w:abstractNumId w:val="15"/>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7"/>
  </w:num>
  <w:num w:numId="37">
    <w:abstractNumId w:val="5"/>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4B"/>
    <w:rsid w:val="00001EC6"/>
    <w:rsid w:val="000024FE"/>
    <w:rsid w:val="00002C47"/>
    <w:rsid w:val="000041B2"/>
    <w:rsid w:val="00005153"/>
    <w:rsid w:val="00005184"/>
    <w:rsid w:val="00006821"/>
    <w:rsid w:val="0000692D"/>
    <w:rsid w:val="000071BC"/>
    <w:rsid w:val="00010819"/>
    <w:rsid w:val="00010940"/>
    <w:rsid w:val="00012624"/>
    <w:rsid w:val="000126FE"/>
    <w:rsid w:val="00013643"/>
    <w:rsid w:val="000142C2"/>
    <w:rsid w:val="000149D1"/>
    <w:rsid w:val="00015A37"/>
    <w:rsid w:val="0001612A"/>
    <w:rsid w:val="000169FB"/>
    <w:rsid w:val="00016BDB"/>
    <w:rsid w:val="0001775E"/>
    <w:rsid w:val="00017F45"/>
    <w:rsid w:val="00020A75"/>
    <w:rsid w:val="0002648E"/>
    <w:rsid w:val="0002668E"/>
    <w:rsid w:val="000303A4"/>
    <w:rsid w:val="0003040C"/>
    <w:rsid w:val="000336C7"/>
    <w:rsid w:val="00036233"/>
    <w:rsid w:val="00036366"/>
    <w:rsid w:val="00036598"/>
    <w:rsid w:val="00037417"/>
    <w:rsid w:val="000374AF"/>
    <w:rsid w:val="00037DF9"/>
    <w:rsid w:val="00040225"/>
    <w:rsid w:val="000415C0"/>
    <w:rsid w:val="00041B1B"/>
    <w:rsid w:val="00042688"/>
    <w:rsid w:val="00044000"/>
    <w:rsid w:val="00046F5A"/>
    <w:rsid w:val="0005225B"/>
    <w:rsid w:val="00053047"/>
    <w:rsid w:val="000531AD"/>
    <w:rsid w:val="00055522"/>
    <w:rsid w:val="00057D28"/>
    <w:rsid w:val="00057FE9"/>
    <w:rsid w:val="0006427D"/>
    <w:rsid w:val="00067686"/>
    <w:rsid w:val="00070747"/>
    <w:rsid w:val="000707C8"/>
    <w:rsid w:val="000717DB"/>
    <w:rsid w:val="00071964"/>
    <w:rsid w:val="0007262B"/>
    <w:rsid w:val="00073F10"/>
    <w:rsid w:val="00074BD7"/>
    <w:rsid w:val="00074CB7"/>
    <w:rsid w:val="00074F75"/>
    <w:rsid w:val="00075046"/>
    <w:rsid w:val="000773EA"/>
    <w:rsid w:val="000774FB"/>
    <w:rsid w:val="0007798C"/>
    <w:rsid w:val="00077E25"/>
    <w:rsid w:val="0008002F"/>
    <w:rsid w:val="00082988"/>
    <w:rsid w:val="00084979"/>
    <w:rsid w:val="00085282"/>
    <w:rsid w:val="00085B3A"/>
    <w:rsid w:val="00086B96"/>
    <w:rsid w:val="000875ED"/>
    <w:rsid w:val="0008786B"/>
    <w:rsid w:val="0009063B"/>
    <w:rsid w:val="000909F2"/>
    <w:rsid w:val="0009167A"/>
    <w:rsid w:val="000917A4"/>
    <w:rsid w:val="00091D29"/>
    <w:rsid w:val="00091EB3"/>
    <w:rsid w:val="0009273C"/>
    <w:rsid w:val="00093D72"/>
    <w:rsid w:val="00094605"/>
    <w:rsid w:val="00095D88"/>
    <w:rsid w:val="00096410"/>
    <w:rsid w:val="00096AC2"/>
    <w:rsid w:val="00096F8F"/>
    <w:rsid w:val="00097942"/>
    <w:rsid w:val="000A2830"/>
    <w:rsid w:val="000A39D7"/>
    <w:rsid w:val="000A4EE9"/>
    <w:rsid w:val="000A7736"/>
    <w:rsid w:val="000A7E3E"/>
    <w:rsid w:val="000B00C4"/>
    <w:rsid w:val="000B26F9"/>
    <w:rsid w:val="000B2998"/>
    <w:rsid w:val="000B3CDB"/>
    <w:rsid w:val="000B41E4"/>
    <w:rsid w:val="000B5229"/>
    <w:rsid w:val="000B5F92"/>
    <w:rsid w:val="000B64A1"/>
    <w:rsid w:val="000C201C"/>
    <w:rsid w:val="000C2049"/>
    <w:rsid w:val="000C428F"/>
    <w:rsid w:val="000C56F2"/>
    <w:rsid w:val="000C5BD2"/>
    <w:rsid w:val="000D0F02"/>
    <w:rsid w:val="000D1106"/>
    <w:rsid w:val="000D1122"/>
    <w:rsid w:val="000D17B3"/>
    <w:rsid w:val="000D29EB"/>
    <w:rsid w:val="000D2D79"/>
    <w:rsid w:val="000D3152"/>
    <w:rsid w:val="000D325D"/>
    <w:rsid w:val="000D3643"/>
    <w:rsid w:val="000D4588"/>
    <w:rsid w:val="000D4A68"/>
    <w:rsid w:val="000D4CCD"/>
    <w:rsid w:val="000D4FDD"/>
    <w:rsid w:val="000E18AE"/>
    <w:rsid w:val="000E281C"/>
    <w:rsid w:val="000E45DD"/>
    <w:rsid w:val="000E4EE1"/>
    <w:rsid w:val="000E51C3"/>
    <w:rsid w:val="000E550E"/>
    <w:rsid w:val="000E5CE9"/>
    <w:rsid w:val="000E7CCE"/>
    <w:rsid w:val="000F0915"/>
    <w:rsid w:val="000F11CF"/>
    <w:rsid w:val="000F1744"/>
    <w:rsid w:val="000F3D86"/>
    <w:rsid w:val="000F4330"/>
    <w:rsid w:val="000F4950"/>
    <w:rsid w:val="000F5091"/>
    <w:rsid w:val="000F58F3"/>
    <w:rsid w:val="000F5979"/>
    <w:rsid w:val="000F5EB0"/>
    <w:rsid w:val="000F6605"/>
    <w:rsid w:val="000F6D54"/>
    <w:rsid w:val="0010000A"/>
    <w:rsid w:val="0010063B"/>
    <w:rsid w:val="00100760"/>
    <w:rsid w:val="00101969"/>
    <w:rsid w:val="001038CE"/>
    <w:rsid w:val="00105223"/>
    <w:rsid w:val="00105B52"/>
    <w:rsid w:val="001070DA"/>
    <w:rsid w:val="0011078E"/>
    <w:rsid w:val="00115171"/>
    <w:rsid w:val="00115B32"/>
    <w:rsid w:val="00115FFB"/>
    <w:rsid w:val="00123491"/>
    <w:rsid w:val="00124D20"/>
    <w:rsid w:val="00125210"/>
    <w:rsid w:val="001306A3"/>
    <w:rsid w:val="00130ADE"/>
    <w:rsid w:val="00143556"/>
    <w:rsid w:val="00144092"/>
    <w:rsid w:val="0014430A"/>
    <w:rsid w:val="0015079A"/>
    <w:rsid w:val="00150829"/>
    <w:rsid w:val="001511DE"/>
    <w:rsid w:val="001516E3"/>
    <w:rsid w:val="001542F7"/>
    <w:rsid w:val="001554F9"/>
    <w:rsid w:val="00155670"/>
    <w:rsid w:val="001559FB"/>
    <w:rsid w:val="00160399"/>
    <w:rsid w:val="00160890"/>
    <w:rsid w:val="0016155A"/>
    <w:rsid w:val="0016229E"/>
    <w:rsid w:val="001635AE"/>
    <w:rsid w:val="0016373A"/>
    <w:rsid w:val="00164B48"/>
    <w:rsid w:val="00164BF8"/>
    <w:rsid w:val="00165534"/>
    <w:rsid w:val="001671E0"/>
    <w:rsid w:val="00170AFA"/>
    <w:rsid w:val="00170EB6"/>
    <w:rsid w:val="00171B62"/>
    <w:rsid w:val="001738A6"/>
    <w:rsid w:val="0017581F"/>
    <w:rsid w:val="00176A35"/>
    <w:rsid w:val="00176B77"/>
    <w:rsid w:val="0017770E"/>
    <w:rsid w:val="001803B8"/>
    <w:rsid w:val="00180A58"/>
    <w:rsid w:val="00180D95"/>
    <w:rsid w:val="00181675"/>
    <w:rsid w:val="001820D0"/>
    <w:rsid w:val="00182477"/>
    <w:rsid w:val="00182F68"/>
    <w:rsid w:val="00183051"/>
    <w:rsid w:val="001853E8"/>
    <w:rsid w:val="001858E7"/>
    <w:rsid w:val="00187192"/>
    <w:rsid w:val="00190A38"/>
    <w:rsid w:val="00190C87"/>
    <w:rsid w:val="00191D02"/>
    <w:rsid w:val="001921FD"/>
    <w:rsid w:val="0019234A"/>
    <w:rsid w:val="001928D0"/>
    <w:rsid w:val="00192B39"/>
    <w:rsid w:val="00192C90"/>
    <w:rsid w:val="001932EB"/>
    <w:rsid w:val="00193694"/>
    <w:rsid w:val="001938D2"/>
    <w:rsid w:val="00194374"/>
    <w:rsid w:val="001A7758"/>
    <w:rsid w:val="001B0291"/>
    <w:rsid w:val="001B031E"/>
    <w:rsid w:val="001B1909"/>
    <w:rsid w:val="001B2C11"/>
    <w:rsid w:val="001B495B"/>
    <w:rsid w:val="001B57CE"/>
    <w:rsid w:val="001B63C4"/>
    <w:rsid w:val="001B66B3"/>
    <w:rsid w:val="001B74EE"/>
    <w:rsid w:val="001C02D8"/>
    <w:rsid w:val="001C1224"/>
    <w:rsid w:val="001C3A76"/>
    <w:rsid w:val="001C4676"/>
    <w:rsid w:val="001C4D60"/>
    <w:rsid w:val="001C64BC"/>
    <w:rsid w:val="001C77F1"/>
    <w:rsid w:val="001C7AD6"/>
    <w:rsid w:val="001D02E5"/>
    <w:rsid w:val="001D1187"/>
    <w:rsid w:val="001D2388"/>
    <w:rsid w:val="001D26A2"/>
    <w:rsid w:val="001D307C"/>
    <w:rsid w:val="001D34D3"/>
    <w:rsid w:val="001D40BB"/>
    <w:rsid w:val="001D4F47"/>
    <w:rsid w:val="001D6736"/>
    <w:rsid w:val="001D6D13"/>
    <w:rsid w:val="001D7284"/>
    <w:rsid w:val="001D7ED8"/>
    <w:rsid w:val="001E21E0"/>
    <w:rsid w:val="001E25CF"/>
    <w:rsid w:val="001E3362"/>
    <w:rsid w:val="001E3DA0"/>
    <w:rsid w:val="001E4796"/>
    <w:rsid w:val="001E5BBF"/>
    <w:rsid w:val="001E65B3"/>
    <w:rsid w:val="001E755D"/>
    <w:rsid w:val="001E7869"/>
    <w:rsid w:val="001E7B6D"/>
    <w:rsid w:val="001F0B1F"/>
    <w:rsid w:val="001F1457"/>
    <w:rsid w:val="001F1DDA"/>
    <w:rsid w:val="001F2110"/>
    <w:rsid w:val="001F2C79"/>
    <w:rsid w:val="001F32D7"/>
    <w:rsid w:val="001F3AC8"/>
    <w:rsid w:val="001F3C21"/>
    <w:rsid w:val="001F3E7C"/>
    <w:rsid w:val="001F42BC"/>
    <w:rsid w:val="001F45C1"/>
    <w:rsid w:val="001F5B61"/>
    <w:rsid w:val="001F645F"/>
    <w:rsid w:val="001F662B"/>
    <w:rsid w:val="001F7FFB"/>
    <w:rsid w:val="00200A7B"/>
    <w:rsid w:val="002039C4"/>
    <w:rsid w:val="002048AC"/>
    <w:rsid w:val="002048B1"/>
    <w:rsid w:val="002069ED"/>
    <w:rsid w:val="0021198A"/>
    <w:rsid w:val="0021386E"/>
    <w:rsid w:val="00214A05"/>
    <w:rsid w:val="00215B46"/>
    <w:rsid w:val="0021719F"/>
    <w:rsid w:val="0021750D"/>
    <w:rsid w:val="002176F2"/>
    <w:rsid w:val="002176FA"/>
    <w:rsid w:val="0022189F"/>
    <w:rsid w:val="00221B3D"/>
    <w:rsid w:val="002222FF"/>
    <w:rsid w:val="00223685"/>
    <w:rsid w:val="00224709"/>
    <w:rsid w:val="00227742"/>
    <w:rsid w:val="002300F1"/>
    <w:rsid w:val="00232DEC"/>
    <w:rsid w:val="00237A85"/>
    <w:rsid w:val="002410F4"/>
    <w:rsid w:val="00242414"/>
    <w:rsid w:val="00243108"/>
    <w:rsid w:val="002435D4"/>
    <w:rsid w:val="00244198"/>
    <w:rsid w:val="00244DEE"/>
    <w:rsid w:val="0024594F"/>
    <w:rsid w:val="00246156"/>
    <w:rsid w:val="00246BBF"/>
    <w:rsid w:val="00247EF6"/>
    <w:rsid w:val="002506EF"/>
    <w:rsid w:val="00253D23"/>
    <w:rsid w:val="0025569C"/>
    <w:rsid w:val="00255D83"/>
    <w:rsid w:val="00256EEB"/>
    <w:rsid w:val="00261576"/>
    <w:rsid w:val="002627BE"/>
    <w:rsid w:val="00262B35"/>
    <w:rsid w:val="002639A2"/>
    <w:rsid w:val="0026626B"/>
    <w:rsid w:val="00267A21"/>
    <w:rsid w:val="00271247"/>
    <w:rsid w:val="002745C7"/>
    <w:rsid w:val="00274854"/>
    <w:rsid w:val="00281C5D"/>
    <w:rsid w:val="0028379E"/>
    <w:rsid w:val="0028439D"/>
    <w:rsid w:val="0028796E"/>
    <w:rsid w:val="002904FD"/>
    <w:rsid w:val="002917D5"/>
    <w:rsid w:val="00292E89"/>
    <w:rsid w:val="00293300"/>
    <w:rsid w:val="00294116"/>
    <w:rsid w:val="002954F5"/>
    <w:rsid w:val="00295B49"/>
    <w:rsid w:val="00297365"/>
    <w:rsid w:val="002A02DE"/>
    <w:rsid w:val="002A056D"/>
    <w:rsid w:val="002A0615"/>
    <w:rsid w:val="002A2832"/>
    <w:rsid w:val="002A3409"/>
    <w:rsid w:val="002A3759"/>
    <w:rsid w:val="002A4F6D"/>
    <w:rsid w:val="002A74C2"/>
    <w:rsid w:val="002B191E"/>
    <w:rsid w:val="002B2310"/>
    <w:rsid w:val="002B396C"/>
    <w:rsid w:val="002B3A31"/>
    <w:rsid w:val="002B3B48"/>
    <w:rsid w:val="002B41EA"/>
    <w:rsid w:val="002B4319"/>
    <w:rsid w:val="002B6054"/>
    <w:rsid w:val="002B60D5"/>
    <w:rsid w:val="002B7CD7"/>
    <w:rsid w:val="002C23D0"/>
    <w:rsid w:val="002C25A5"/>
    <w:rsid w:val="002C3A4E"/>
    <w:rsid w:val="002C4118"/>
    <w:rsid w:val="002D11A5"/>
    <w:rsid w:val="002D34DF"/>
    <w:rsid w:val="002D5DAB"/>
    <w:rsid w:val="002D60B2"/>
    <w:rsid w:val="002D64B2"/>
    <w:rsid w:val="002E051F"/>
    <w:rsid w:val="002E0797"/>
    <w:rsid w:val="002E10B2"/>
    <w:rsid w:val="002E11A1"/>
    <w:rsid w:val="002E14F2"/>
    <w:rsid w:val="002E1B8E"/>
    <w:rsid w:val="002E2D89"/>
    <w:rsid w:val="002E2E32"/>
    <w:rsid w:val="002E3769"/>
    <w:rsid w:val="002E43DD"/>
    <w:rsid w:val="002E4EAC"/>
    <w:rsid w:val="002E5DCB"/>
    <w:rsid w:val="002E70C3"/>
    <w:rsid w:val="002F1618"/>
    <w:rsid w:val="002F4F3A"/>
    <w:rsid w:val="002F6543"/>
    <w:rsid w:val="002F68D2"/>
    <w:rsid w:val="002F7207"/>
    <w:rsid w:val="002F775D"/>
    <w:rsid w:val="00301589"/>
    <w:rsid w:val="00301FCA"/>
    <w:rsid w:val="00303566"/>
    <w:rsid w:val="003044EA"/>
    <w:rsid w:val="00306FCD"/>
    <w:rsid w:val="00306FE0"/>
    <w:rsid w:val="0031173D"/>
    <w:rsid w:val="0031283B"/>
    <w:rsid w:val="003148D5"/>
    <w:rsid w:val="00315C74"/>
    <w:rsid w:val="003222C3"/>
    <w:rsid w:val="00323792"/>
    <w:rsid w:val="00323D58"/>
    <w:rsid w:val="00324959"/>
    <w:rsid w:val="00325AD4"/>
    <w:rsid w:val="003308DE"/>
    <w:rsid w:val="00331D58"/>
    <w:rsid w:val="00333113"/>
    <w:rsid w:val="0033428E"/>
    <w:rsid w:val="0033543A"/>
    <w:rsid w:val="00337244"/>
    <w:rsid w:val="003372EB"/>
    <w:rsid w:val="003373E6"/>
    <w:rsid w:val="003404C0"/>
    <w:rsid w:val="003413EF"/>
    <w:rsid w:val="003417DC"/>
    <w:rsid w:val="00342748"/>
    <w:rsid w:val="00343438"/>
    <w:rsid w:val="003450DF"/>
    <w:rsid w:val="00346466"/>
    <w:rsid w:val="00350F9D"/>
    <w:rsid w:val="00351A41"/>
    <w:rsid w:val="00355055"/>
    <w:rsid w:val="00360392"/>
    <w:rsid w:val="00360A94"/>
    <w:rsid w:val="003619A2"/>
    <w:rsid w:val="00362C0A"/>
    <w:rsid w:val="0036398B"/>
    <w:rsid w:val="00363CDF"/>
    <w:rsid w:val="0037079C"/>
    <w:rsid w:val="00373FFE"/>
    <w:rsid w:val="003742C5"/>
    <w:rsid w:val="00374C62"/>
    <w:rsid w:val="00375F50"/>
    <w:rsid w:val="00376924"/>
    <w:rsid w:val="003772E2"/>
    <w:rsid w:val="003801ED"/>
    <w:rsid w:val="00382F1E"/>
    <w:rsid w:val="00383D9A"/>
    <w:rsid w:val="003845E6"/>
    <w:rsid w:val="00385DF7"/>
    <w:rsid w:val="00390BAC"/>
    <w:rsid w:val="003920A6"/>
    <w:rsid w:val="00395E00"/>
    <w:rsid w:val="003978B2"/>
    <w:rsid w:val="003A05C9"/>
    <w:rsid w:val="003A1820"/>
    <w:rsid w:val="003A185C"/>
    <w:rsid w:val="003A23B9"/>
    <w:rsid w:val="003A2D1F"/>
    <w:rsid w:val="003A3F2F"/>
    <w:rsid w:val="003A46DA"/>
    <w:rsid w:val="003A4DBD"/>
    <w:rsid w:val="003A5AB3"/>
    <w:rsid w:val="003A768F"/>
    <w:rsid w:val="003A7EB2"/>
    <w:rsid w:val="003B0AB5"/>
    <w:rsid w:val="003B0D95"/>
    <w:rsid w:val="003B0F9E"/>
    <w:rsid w:val="003B2CAD"/>
    <w:rsid w:val="003B325A"/>
    <w:rsid w:val="003B3DE3"/>
    <w:rsid w:val="003B481F"/>
    <w:rsid w:val="003B65D2"/>
    <w:rsid w:val="003C01EF"/>
    <w:rsid w:val="003C0EAB"/>
    <w:rsid w:val="003C1B66"/>
    <w:rsid w:val="003C22DE"/>
    <w:rsid w:val="003C2AC6"/>
    <w:rsid w:val="003C40CB"/>
    <w:rsid w:val="003C4C0A"/>
    <w:rsid w:val="003C586B"/>
    <w:rsid w:val="003C5AE1"/>
    <w:rsid w:val="003C5C55"/>
    <w:rsid w:val="003C6E53"/>
    <w:rsid w:val="003D032F"/>
    <w:rsid w:val="003D3071"/>
    <w:rsid w:val="003D3269"/>
    <w:rsid w:val="003D7233"/>
    <w:rsid w:val="003D7BA3"/>
    <w:rsid w:val="003E1A13"/>
    <w:rsid w:val="003E310A"/>
    <w:rsid w:val="003E3295"/>
    <w:rsid w:val="003E3A79"/>
    <w:rsid w:val="003E6599"/>
    <w:rsid w:val="003E6743"/>
    <w:rsid w:val="003E745F"/>
    <w:rsid w:val="003E779F"/>
    <w:rsid w:val="003F02E9"/>
    <w:rsid w:val="003F0B8B"/>
    <w:rsid w:val="003F3035"/>
    <w:rsid w:val="003F48E6"/>
    <w:rsid w:val="003F6788"/>
    <w:rsid w:val="003F734D"/>
    <w:rsid w:val="00404A84"/>
    <w:rsid w:val="004058C8"/>
    <w:rsid w:val="004117F1"/>
    <w:rsid w:val="004119B2"/>
    <w:rsid w:val="00412507"/>
    <w:rsid w:val="00413D58"/>
    <w:rsid w:val="00414791"/>
    <w:rsid w:val="00415049"/>
    <w:rsid w:val="00415397"/>
    <w:rsid w:val="00415D0F"/>
    <w:rsid w:val="004200BB"/>
    <w:rsid w:val="004211A5"/>
    <w:rsid w:val="00422615"/>
    <w:rsid w:val="0042544F"/>
    <w:rsid w:val="00425870"/>
    <w:rsid w:val="004269E3"/>
    <w:rsid w:val="00426F77"/>
    <w:rsid w:val="004303A0"/>
    <w:rsid w:val="004329AA"/>
    <w:rsid w:val="00434CC1"/>
    <w:rsid w:val="00434F90"/>
    <w:rsid w:val="00435196"/>
    <w:rsid w:val="004356CE"/>
    <w:rsid w:val="00440137"/>
    <w:rsid w:val="004402B0"/>
    <w:rsid w:val="00441637"/>
    <w:rsid w:val="00441C49"/>
    <w:rsid w:val="00441DA2"/>
    <w:rsid w:val="00442F82"/>
    <w:rsid w:val="004436AF"/>
    <w:rsid w:val="00443CEA"/>
    <w:rsid w:val="004473BD"/>
    <w:rsid w:val="004478B0"/>
    <w:rsid w:val="00447AA6"/>
    <w:rsid w:val="004519B5"/>
    <w:rsid w:val="0045251B"/>
    <w:rsid w:val="004528DC"/>
    <w:rsid w:val="0045307C"/>
    <w:rsid w:val="00455604"/>
    <w:rsid w:val="00455930"/>
    <w:rsid w:val="00455FB7"/>
    <w:rsid w:val="004576B1"/>
    <w:rsid w:val="004602ED"/>
    <w:rsid w:val="00461153"/>
    <w:rsid w:val="00461BB6"/>
    <w:rsid w:val="00462A40"/>
    <w:rsid w:val="00462F6A"/>
    <w:rsid w:val="00463626"/>
    <w:rsid w:val="004646A4"/>
    <w:rsid w:val="00470688"/>
    <w:rsid w:val="00472008"/>
    <w:rsid w:val="00475F55"/>
    <w:rsid w:val="004778A9"/>
    <w:rsid w:val="00480ACB"/>
    <w:rsid w:val="00482C48"/>
    <w:rsid w:val="00485974"/>
    <w:rsid w:val="00486866"/>
    <w:rsid w:val="00487513"/>
    <w:rsid w:val="00487E8C"/>
    <w:rsid w:val="00490115"/>
    <w:rsid w:val="00491CE5"/>
    <w:rsid w:val="00492274"/>
    <w:rsid w:val="00494E97"/>
    <w:rsid w:val="00495ECD"/>
    <w:rsid w:val="00496750"/>
    <w:rsid w:val="004967E8"/>
    <w:rsid w:val="00496DFC"/>
    <w:rsid w:val="00496F49"/>
    <w:rsid w:val="004974DE"/>
    <w:rsid w:val="004A11EC"/>
    <w:rsid w:val="004A251D"/>
    <w:rsid w:val="004A5103"/>
    <w:rsid w:val="004A520C"/>
    <w:rsid w:val="004A531F"/>
    <w:rsid w:val="004A57D2"/>
    <w:rsid w:val="004A670E"/>
    <w:rsid w:val="004A6BC3"/>
    <w:rsid w:val="004A7002"/>
    <w:rsid w:val="004A7AC4"/>
    <w:rsid w:val="004B2BE0"/>
    <w:rsid w:val="004B3E77"/>
    <w:rsid w:val="004B411C"/>
    <w:rsid w:val="004B430F"/>
    <w:rsid w:val="004B6675"/>
    <w:rsid w:val="004B7E67"/>
    <w:rsid w:val="004C04F9"/>
    <w:rsid w:val="004C30CD"/>
    <w:rsid w:val="004C391D"/>
    <w:rsid w:val="004C3FFC"/>
    <w:rsid w:val="004C7856"/>
    <w:rsid w:val="004D1336"/>
    <w:rsid w:val="004D25D7"/>
    <w:rsid w:val="004D76E0"/>
    <w:rsid w:val="004D7CAE"/>
    <w:rsid w:val="004E0FFB"/>
    <w:rsid w:val="004E2664"/>
    <w:rsid w:val="004E5201"/>
    <w:rsid w:val="004E6959"/>
    <w:rsid w:val="004F12FE"/>
    <w:rsid w:val="004F46CA"/>
    <w:rsid w:val="004F5B43"/>
    <w:rsid w:val="004F708B"/>
    <w:rsid w:val="0050146B"/>
    <w:rsid w:val="005021C0"/>
    <w:rsid w:val="00502A2D"/>
    <w:rsid w:val="005039D7"/>
    <w:rsid w:val="00503C6D"/>
    <w:rsid w:val="005121CD"/>
    <w:rsid w:val="0051243C"/>
    <w:rsid w:val="00515A7F"/>
    <w:rsid w:val="005172AD"/>
    <w:rsid w:val="0052090E"/>
    <w:rsid w:val="0052284A"/>
    <w:rsid w:val="00523871"/>
    <w:rsid w:val="005275E4"/>
    <w:rsid w:val="00530D76"/>
    <w:rsid w:val="00531BE3"/>
    <w:rsid w:val="00531EFD"/>
    <w:rsid w:val="00532019"/>
    <w:rsid w:val="00534FA0"/>
    <w:rsid w:val="005357BF"/>
    <w:rsid w:val="00535AF0"/>
    <w:rsid w:val="0053617C"/>
    <w:rsid w:val="0053795E"/>
    <w:rsid w:val="00540B6D"/>
    <w:rsid w:val="0054147B"/>
    <w:rsid w:val="005420B3"/>
    <w:rsid w:val="0054230C"/>
    <w:rsid w:val="0054272D"/>
    <w:rsid w:val="005429E2"/>
    <w:rsid w:val="00542B1E"/>
    <w:rsid w:val="00543823"/>
    <w:rsid w:val="00544727"/>
    <w:rsid w:val="00545246"/>
    <w:rsid w:val="00551958"/>
    <w:rsid w:val="00551CFF"/>
    <w:rsid w:val="00551D38"/>
    <w:rsid w:val="00555F55"/>
    <w:rsid w:val="00556ACD"/>
    <w:rsid w:val="00556B98"/>
    <w:rsid w:val="0056148F"/>
    <w:rsid w:val="0056202B"/>
    <w:rsid w:val="0056206E"/>
    <w:rsid w:val="00564C29"/>
    <w:rsid w:val="00565091"/>
    <w:rsid w:val="005653CB"/>
    <w:rsid w:val="00565A66"/>
    <w:rsid w:val="00565A72"/>
    <w:rsid w:val="00565EA6"/>
    <w:rsid w:val="005662A8"/>
    <w:rsid w:val="005663B0"/>
    <w:rsid w:val="00572DC9"/>
    <w:rsid w:val="0057315E"/>
    <w:rsid w:val="00573770"/>
    <w:rsid w:val="00573C94"/>
    <w:rsid w:val="00573F6B"/>
    <w:rsid w:val="00575217"/>
    <w:rsid w:val="005761FD"/>
    <w:rsid w:val="00576224"/>
    <w:rsid w:val="005776E1"/>
    <w:rsid w:val="00577969"/>
    <w:rsid w:val="005807E7"/>
    <w:rsid w:val="00582176"/>
    <w:rsid w:val="00584421"/>
    <w:rsid w:val="00590D92"/>
    <w:rsid w:val="00590FDF"/>
    <w:rsid w:val="005927E0"/>
    <w:rsid w:val="00594B60"/>
    <w:rsid w:val="0059695E"/>
    <w:rsid w:val="0059761F"/>
    <w:rsid w:val="00597AED"/>
    <w:rsid w:val="00597B09"/>
    <w:rsid w:val="005A0012"/>
    <w:rsid w:val="005A183D"/>
    <w:rsid w:val="005A19E3"/>
    <w:rsid w:val="005A2318"/>
    <w:rsid w:val="005A272D"/>
    <w:rsid w:val="005A2750"/>
    <w:rsid w:val="005A2907"/>
    <w:rsid w:val="005A332E"/>
    <w:rsid w:val="005A3509"/>
    <w:rsid w:val="005A37F3"/>
    <w:rsid w:val="005A4EBF"/>
    <w:rsid w:val="005A4F13"/>
    <w:rsid w:val="005A515E"/>
    <w:rsid w:val="005A6260"/>
    <w:rsid w:val="005A6BF4"/>
    <w:rsid w:val="005A7378"/>
    <w:rsid w:val="005B10F8"/>
    <w:rsid w:val="005B1607"/>
    <w:rsid w:val="005B1C33"/>
    <w:rsid w:val="005B2E8C"/>
    <w:rsid w:val="005B5677"/>
    <w:rsid w:val="005B56F4"/>
    <w:rsid w:val="005B6FDD"/>
    <w:rsid w:val="005B7B52"/>
    <w:rsid w:val="005C2816"/>
    <w:rsid w:val="005C3939"/>
    <w:rsid w:val="005C3B62"/>
    <w:rsid w:val="005C4134"/>
    <w:rsid w:val="005C4A7F"/>
    <w:rsid w:val="005C531E"/>
    <w:rsid w:val="005C5949"/>
    <w:rsid w:val="005C6D94"/>
    <w:rsid w:val="005C74EB"/>
    <w:rsid w:val="005C771C"/>
    <w:rsid w:val="005C7DA3"/>
    <w:rsid w:val="005D0931"/>
    <w:rsid w:val="005D1123"/>
    <w:rsid w:val="005D2897"/>
    <w:rsid w:val="005D3126"/>
    <w:rsid w:val="005D38F1"/>
    <w:rsid w:val="005D5F06"/>
    <w:rsid w:val="005D7423"/>
    <w:rsid w:val="005D7768"/>
    <w:rsid w:val="005E0233"/>
    <w:rsid w:val="005E034F"/>
    <w:rsid w:val="005E0561"/>
    <w:rsid w:val="005E3858"/>
    <w:rsid w:val="005E3BE4"/>
    <w:rsid w:val="005E3D89"/>
    <w:rsid w:val="005E4101"/>
    <w:rsid w:val="005E5E81"/>
    <w:rsid w:val="005E6857"/>
    <w:rsid w:val="005E7242"/>
    <w:rsid w:val="005E7A90"/>
    <w:rsid w:val="005F21B7"/>
    <w:rsid w:val="005F2741"/>
    <w:rsid w:val="005F4CAE"/>
    <w:rsid w:val="005F682E"/>
    <w:rsid w:val="005F6EAF"/>
    <w:rsid w:val="0060216C"/>
    <w:rsid w:val="00602898"/>
    <w:rsid w:val="00603BE7"/>
    <w:rsid w:val="00604517"/>
    <w:rsid w:val="0060553A"/>
    <w:rsid w:val="0060741B"/>
    <w:rsid w:val="00610ED3"/>
    <w:rsid w:val="0061121D"/>
    <w:rsid w:val="00611CD5"/>
    <w:rsid w:val="006146F3"/>
    <w:rsid w:val="0061598B"/>
    <w:rsid w:val="00616263"/>
    <w:rsid w:val="00616390"/>
    <w:rsid w:val="0061727E"/>
    <w:rsid w:val="0061792B"/>
    <w:rsid w:val="006219B7"/>
    <w:rsid w:val="006226C4"/>
    <w:rsid w:val="00624715"/>
    <w:rsid w:val="0062508B"/>
    <w:rsid w:val="00626F66"/>
    <w:rsid w:val="00627E1D"/>
    <w:rsid w:val="00631245"/>
    <w:rsid w:val="00632856"/>
    <w:rsid w:val="006339C3"/>
    <w:rsid w:val="00633B8A"/>
    <w:rsid w:val="00634877"/>
    <w:rsid w:val="00636608"/>
    <w:rsid w:val="0064019F"/>
    <w:rsid w:val="0064082F"/>
    <w:rsid w:val="00641317"/>
    <w:rsid w:val="006424A5"/>
    <w:rsid w:val="00643F82"/>
    <w:rsid w:val="00644D49"/>
    <w:rsid w:val="00646B94"/>
    <w:rsid w:val="00647AA3"/>
    <w:rsid w:val="00647F4D"/>
    <w:rsid w:val="00650D0D"/>
    <w:rsid w:val="006511FF"/>
    <w:rsid w:val="00651C35"/>
    <w:rsid w:val="006534AC"/>
    <w:rsid w:val="00653CB4"/>
    <w:rsid w:val="00654A8A"/>
    <w:rsid w:val="00654D86"/>
    <w:rsid w:val="00654EE9"/>
    <w:rsid w:val="0065512D"/>
    <w:rsid w:val="00661AF8"/>
    <w:rsid w:val="00661AFA"/>
    <w:rsid w:val="00662625"/>
    <w:rsid w:val="0066314B"/>
    <w:rsid w:val="006632A1"/>
    <w:rsid w:val="00666842"/>
    <w:rsid w:val="00670B78"/>
    <w:rsid w:val="00670D62"/>
    <w:rsid w:val="00671556"/>
    <w:rsid w:val="00671684"/>
    <w:rsid w:val="006726E4"/>
    <w:rsid w:val="00673C22"/>
    <w:rsid w:val="00675628"/>
    <w:rsid w:val="006761DC"/>
    <w:rsid w:val="006779A7"/>
    <w:rsid w:val="00680E9B"/>
    <w:rsid w:val="00681127"/>
    <w:rsid w:val="00682450"/>
    <w:rsid w:val="00682ADD"/>
    <w:rsid w:val="00683154"/>
    <w:rsid w:val="00683E2D"/>
    <w:rsid w:val="00684CB3"/>
    <w:rsid w:val="00686413"/>
    <w:rsid w:val="00686AF6"/>
    <w:rsid w:val="00687E79"/>
    <w:rsid w:val="006904D5"/>
    <w:rsid w:val="00695413"/>
    <w:rsid w:val="006A0148"/>
    <w:rsid w:val="006A06E3"/>
    <w:rsid w:val="006A1505"/>
    <w:rsid w:val="006A2500"/>
    <w:rsid w:val="006A6357"/>
    <w:rsid w:val="006A6B32"/>
    <w:rsid w:val="006A6EE1"/>
    <w:rsid w:val="006A755B"/>
    <w:rsid w:val="006A7FED"/>
    <w:rsid w:val="006B116F"/>
    <w:rsid w:val="006B1FF3"/>
    <w:rsid w:val="006B305C"/>
    <w:rsid w:val="006B3158"/>
    <w:rsid w:val="006B55E6"/>
    <w:rsid w:val="006B5DE3"/>
    <w:rsid w:val="006B7CFB"/>
    <w:rsid w:val="006C0D61"/>
    <w:rsid w:val="006C1110"/>
    <w:rsid w:val="006C24ED"/>
    <w:rsid w:val="006C3037"/>
    <w:rsid w:val="006C39AF"/>
    <w:rsid w:val="006C3FEB"/>
    <w:rsid w:val="006C4154"/>
    <w:rsid w:val="006C5ECC"/>
    <w:rsid w:val="006C6725"/>
    <w:rsid w:val="006C6F85"/>
    <w:rsid w:val="006C72FE"/>
    <w:rsid w:val="006C76B4"/>
    <w:rsid w:val="006D0468"/>
    <w:rsid w:val="006D0710"/>
    <w:rsid w:val="006D1041"/>
    <w:rsid w:val="006D1103"/>
    <w:rsid w:val="006D342E"/>
    <w:rsid w:val="006D38A1"/>
    <w:rsid w:val="006D3EE8"/>
    <w:rsid w:val="006D6A58"/>
    <w:rsid w:val="006D6C4B"/>
    <w:rsid w:val="006D7020"/>
    <w:rsid w:val="006E121E"/>
    <w:rsid w:val="006E21F1"/>
    <w:rsid w:val="006E40AF"/>
    <w:rsid w:val="006E5555"/>
    <w:rsid w:val="006E6788"/>
    <w:rsid w:val="006E73E6"/>
    <w:rsid w:val="006F0846"/>
    <w:rsid w:val="006F0FC4"/>
    <w:rsid w:val="006F26F0"/>
    <w:rsid w:val="006F394D"/>
    <w:rsid w:val="006F410A"/>
    <w:rsid w:val="006F4939"/>
    <w:rsid w:val="006F4CB9"/>
    <w:rsid w:val="006F5D7B"/>
    <w:rsid w:val="006F6EEB"/>
    <w:rsid w:val="006F704E"/>
    <w:rsid w:val="006F7FF7"/>
    <w:rsid w:val="00700E72"/>
    <w:rsid w:val="00701879"/>
    <w:rsid w:val="00701C0C"/>
    <w:rsid w:val="00702232"/>
    <w:rsid w:val="00702542"/>
    <w:rsid w:val="00702EDC"/>
    <w:rsid w:val="007032C6"/>
    <w:rsid w:val="00703CA3"/>
    <w:rsid w:val="00707082"/>
    <w:rsid w:val="00710D2D"/>
    <w:rsid w:val="00710EDE"/>
    <w:rsid w:val="00710FAC"/>
    <w:rsid w:val="00711656"/>
    <w:rsid w:val="00712503"/>
    <w:rsid w:val="007134D4"/>
    <w:rsid w:val="007144B1"/>
    <w:rsid w:val="00715838"/>
    <w:rsid w:val="00715B03"/>
    <w:rsid w:val="00715C62"/>
    <w:rsid w:val="0071673F"/>
    <w:rsid w:val="00722A75"/>
    <w:rsid w:val="007264CF"/>
    <w:rsid w:val="00727CB4"/>
    <w:rsid w:val="00730DBA"/>
    <w:rsid w:val="007312F3"/>
    <w:rsid w:val="00732124"/>
    <w:rsid w:val="0073346C"/>
    <w:rsid w:val="007349C2"/>
    <w:rsid w:val="00734DD3"/>
    <w:rsid w:val="00734E74"/>
    <w:rsid w:val="007356BE"/>
    <w:rsid w:val="00736E13"/>
    <w:rsid w:val="007375E1"/>
    <w:rsid w:val="00740607"/>
    <w:rsid w:val="00741473"/>
    <w:rsid w:val="007418B3"/>
    <w:rsid w:val="00741BB6"/>
    <w:rsid w:val="007424F4"/>
    <w:rsid w:val="00742F20"/>
    <w:rsid w:val="00745A27"/>
    <w:rsid w:val="00747588"/>
    <w:rsid w:val="00747BFE"/>
    <w:rsid w:val="00747D88"/>
    <w:rsid w:val="00751C1A"/>
    <w:rsid w:val="007533AF"/>
    <w:rsid w:val="007533B4"/>
    <w:rsid w:val="00754B21"/>
    <w:rsid w:val="00755083"/>
    <w:rsid w:val="007569A4"/>
    <w:rsid w:val="00760A60"/>
    <w:rsid w:val="00761E6A"/>
    <w:rsid w:val="00762208"/>
    <w:rsid w:val="007623C4"/>
    <w:rsid w:val="00762419"/>
    <w:rsid w:val="00762D6A"/>
    <w:rsid w:val="007651A5"/>
    <w:rsid w:val="00767761"/>
    <w:rsid w:val="00771C10"/>
    <w:rsid w:val="00771F39"/>
    <w:rsid w:val="0077470C"/>
    <w:rsid w:val="0078189C"/>
    <w:rsid w:val="00782856"/>
    <w:rsid w:val="00782BBF"/>
    <w:rsid w:val="0078500F"/>
    <w:rsid w:val="0078671E"/>
    <w:rsid w:val="00786CFC"/>
    <w:rsid w:val="00790C9A"/>
    <w:rsid w:val="00791B15"/>
    <w:rsid w:val="00791BA7"/>
    <w:rsid w:val="0079317D"/>
    <w:rsid w:val="00793A35"/>
    <w:rsid w:val="007972C3"/>
    <w:rsid w:val="007A2A4D"/>
    <w:rsid w:val="007A38C2"/>
    <w:rsid w:val="007A74DA"/>
    <w:rsid w:val="007B0075"/>
    <w:rsid w:val="007B07BB"/>
    <w:rsid w:val="007B109F"/>
    <w:rsid w:val="007B2A2D"/>
    <w:rsid w:val="007B3E9B"/>
    <w:rsid w:val="007B4398"/>
    <w:rsid w:val="007B60F8"/>
    <w:rsid w:val="007B6D11"/>
    <w:rsid w:val="007B7127"/>
    <w:rsid w:val="007C0DBE"/>
    <w:rsid w:val="007C0E70"/>
    <w:rsid w:val="007C1286"/>
    <w:rsid w:val="007C1647"/>
    <w:rsid w:val="007C18C6"/>
    <w:rsid w:val="007C29F5"/>
    <w:rsid w:val="007C3BB5"/>
    <w:rsid w:val="007C4539"/>
    <w:rsid w:val="007C6583"/>
    <w:rsid w:val="007C6F6F"/>
    <w:rsid w:val="007C72E5"/>
    <w:rsid w:val="007C7DB6"/>
    <w:rsid w:val="007D0BBF"/>
    <w:rsid w:val="007D0F7F"/>
    <w:rsid w:val="007D19A0"/>
    <w:rsid w:val="007D413B"/>
    <w:rsid w:val="007D45BD"/>
    <w:rsid w:val="007D73E9"/>
    <w:rsid w:val="007D7BBE"/>
    <w:rsid w:val="007E1F03"/>
    <w:rsid w:val="007E594E"/>
    <w:rsid w:val="007E5D06"/>
    <w:rsid w:val="007E6929"/>
    <w:rsid w:val="007E6B9B"/>
    <w:rsid w:val="007E6FEA"/>
    <w:rsid w:val="007F03C3"/>
    <w:rsid w:val="007F051A"/>
    <w:rsid w:val="007F07E3"/>
    <w:rsid w:val="007F18B8"/>
    <w:rsid w:val="007F1930"/>
    <w:rsid w:val="007F3128"/>
    <w:rsid w:val="007F3392"/>
    <w:rsid w:val="007F5121"/>
    <w:rsid w:val="007F51DE"/>
    <w:rsid w:val="007F7531"/>
    <w:rsid w:val="007F76EF"/>
    <w:rsid w:val="00800143"/>
    <w:rsid w:val="00800315"/>
    <w:rsid w:val="00801BAD"/>
    <w:rsid w:val="00802B3D"/>
    <w:rsid w:val="008046B8"/>
    <w:rsid w:val="00804B44"/>
    <w:rsid w:val="00805D4F"/>
    <w:rsid w:val="008067E4"/>
    <w:rsid w:val="00806A95"/>
    <w:rsid w:val="00816C1E"/>
    <w:rsid w:val="00821699"/>
    <w:rsid w:val="00821799"/>
    <w:rsid w:val="008227CB"/>
    <w:rsid w:val="008229FF"/>
    <w:rsid w:val="0082307F"/>
    <w:rsid w:val="00823C5E"/>
    <w:rsid w:val="00824F17"/>
    <w:rsid w:val="00827151"/>
    <w:rsid w:val="00827765"/>
    <w:rsid w:val="008278AE"/>
    <w:rsid w:val="00832830"/>
    <w:rsid w:val="00833D7D"/>
    <w:rsid w:val="0083477A"/>
    <w:rsid w:val="008354C3"/>
    <w:rsid w:val="00836304"/>
    <w:rsid w:val="00837027"/>
    <w:rsid w:val="00837712"/>
    <w:rsid w:val="008411F0"/>
    <w:rsid w:val="00841265"/>
    <w:rsid w:val="00841328"/>
    <w:rsid w:val="00843925"/>
    <w:rsid w:val="0084449F"/>
    <w:rsid w:val="00844818"/>
    <w:rsid w:val="008448B8"/>
    <w:rsid w:val="00844F95"/>
    <w:rsid w:val="008453AF"/>
    <w:rsid w:val="00846209"/>
    <w:rsid w:val="00846564"/>
    <w:rsid w:val="00846C36"/>
    <w:rsid w:val="00850125"/>
    <w:rsid w:val="0085189A"/>
    <w:rsid w:val="00852F98"/>
    <w:rsid w:val="008556EB"/>
    <w:rsid w:val="00856C06"/>
    <w:rsid w:val="00856D96"/>
    <w:rsid w:val="008570FF"/>
    <w:rsid w:val="00857325"/>
    <w:rsid w:val="008601A7"/>
    <w:rsid w:val="0086046D"/>
    <w:rsid w:val="00860490"/>
    <w:rsid w:val="00860796"/>
    <w:rsid w:val="00860A63"/>
    <w:rsid w:val="0086124E"/>
    <w:rsid w:val="0086240C"/>
    <w:rsid w:val="008631C9"/>
    <w:rsid w:val="00863BA8"/>
    <w:rsid w:val="00864FEC"/>
    <w:rsid w:val="008652A1"/>
    <w:rsid w:val="00865661"/>
    <w:rsid w:val="00870D76"/>
    <w:rsid w:val="00871D2B"/>
    <w:rsid w:val="00872472"/>
    <w:rsid w:val="00872E03"/>
    <w:rsid w:val="00874C00"/>
    <w:rsid w:val="008770CA"/>
    <w:rsid w:val="008773C3"/>
    <w:rsid w:val="0087740B"/>
    <w:rsid w:val="0088325B"/>
    <w:rsid w:val="00883550"/>
    <w:rsid w:val="008840A0"/>
    <w:rsid w:val="00884ACB"/>
    <w:rsid w:val="00887204"/>
    <w:rsid w:val="0088735C"/>
    <w:rsid w:val="00887A80"/>
    <w:rsid w:val="00891E58"/>
    <w:rsid w:val="008923A9"/>
    <w:rsid w:val="00892BF3"/>
    <w:rsid w:val="00894863"/>
    <w:rsid w:val="00895972"/>
    <w:rsid w:val="008963DF"/>
    <w:rsid w:val="008971D1"/>
    <w:rsid w:val="008A05C7"/>
    <w:rsid w:val="008A096B"/>
    <w:rsid w:val="008A3A01"/>
    <w:rsid w:val="008A3A4A"/>
    <w:rsid w:val="008A434C"/>
    <w:rsid w:val="008A483A"/>
    <w:rsid w:val="008A4C6F"/>
    <w:rsid w:val="008A6909"/>
    <w:rsid w:val="008B1C34"/>
    <w:rsid w:val="008B5EDE"/>
    <w:rsid w:val="008B60D7"/>
    <w:rsid w:val="008B7C62"/>
    <w:rsid w:val="008B7DF5"/>
    <w:rsid w:val="008C0AF3"/>
    <w:rsid w:val="008C2B79"/>
    <w:rsid w:val="008C45DC"/>
    <w:rsid w:val="008C48E3"/>
    <w:rsid w:val="008C6DB7"/>
    <w:rsid w:val="008C6DDA"/>
    <w:rsid w:val="008C6F7B"/>
    <w:rsid w:val="008C74DF"/>
    <w:rsid w:val="008C7595"/>
    <w:rsid w:val="008C7818"/>
    <w:rsid w:val="008D08DF"/>
    <w:rsid w:val="008D0B4F"/>
    <w:rsid w:val="008D4B5D"/>
    <w:rsid w:val="008D54B8"/>
    <w:rsid w:val="008D5DEF"/>
    <w:rsid w:val="008D64AF"/>
    <w:rsid w:val="008D7968"/>
    <w:rsid w:val="008E1A75"/>
    <w:rsid w:val="008E387F"/>
    <w:rsid w:val="008E3B9C"/>
    <w:rsid w:val="008E3CEF"/>
    <w:rsid w:val="008E4297"/>
    <w:rsid w:val="008E51A6"/>
    <w:rsid w:val="008E76E5"/>
    <w:rsid w:val="008E7FF2"/>
    <w:rsid w:val="008F08F9"/>
    <w:rsid w:val="008F0B71"/>
    <w:rsid w:val="008F235E"/>
    <w:rsid w:val="008F2E08"/>
    <w:rsid w:val="008F2EDE"/>
    <w:rsid w:val="008F3DE2"/>
    <w:rsid w:val="008F4C2C"/>
    <w:rsid w:val="008F646E"/>
    <w:rsid w:val="00902359"/>
    <w:rsid w:val="00902E48"/>
    <w:rsid w:val="00903463"/>
    <w:rsid w:val="00905D0E"/>
    <w:rsid w:val="00910304"/>
    <w:rsid w:val="009106EF"/>
    <w:rsid w:val="009109D4"/>
    <w:rsid w:val="00911AD9"/>
    <w:rsid w:val="0091276A"/>
    <w:rsid w:val="00914A44"/>
    <w:rsid w:val="00916519"/>
    <w:rsid w:val="00917778"/>
    <w:rsid w:val="00920AF1"/>
    <w:rsid w:val="00920D0A"/>
    <w:rsid w:val="0092117A"/>
    <w:rsid w:val="009214C0"/>
    <w:rsid w:val="00921514"/>
    <w:rsid w:val="00921688"/>
    <w:rsid w:val="009229D0"/>
    <w:rsid w:val="00922E6B"/>
    <w:rsid w:val="009240F0"/>
    <w:rsid w:val="00925651"/>
    <w:rsid w:val="00926089"/>
    <w:rsid w:val="00926247"/>
    <w:rsid w:val="00927014"/>
    <w:rsid w:val="009275B2"/>
    <w:rsid w:val="0093155E"/>
    <w:rsid w:val="009316B4"/>
    <w:rsid w:val="00932719"/>
    <w:rsid w:val="00933458"/>
    <w:rsid w:val="00933967"/>
    <w:rsid w:val="009342AB"/>
    <w:rsid w:val="0093475B"/>
    <w:rsid w:val="009369B5"/>
    <w:rsid w:val="0094025E"/>
    <w:rsid w:val="00943D99"/>
    <w:rsid w:val="0094558A"/>
    <w:rsid w:val="009455ED"/>
    <w:rsid w:val="00946187"/>
    <w:rsid w:val="009462A7"/>
    <w:rsid w:val="009465F7"/>
    <w:rsid w:val="00947583"/>
    <w:rsid w:val="009475C5"/>
    <w:rsid w:val="00947F26"/>
    <w:rsid w:val="0095166C"/>
    <w:rsid w:val="00952D2C"/>
    <w:rsid w:val="009533A1"/>
    <w:rsid w:val="0095469D"/>
    <w:rsid w:val="009562E1"/>
    <w:rsid w:val="0095747E"/>
    <w:rsid w:val="00957E66"/>
    <w:rsid w:val="00962B33"/>
    <w:rsid w:val="00963B5B"/>
    <w:rsid w:val="00967882"/>
    <w:rsid w:val="0097192A"/>
    <w:rsid w:val="009726DD"/>
    <w:rsid w:val="00975B9D"/>
    <w:rsid w:val="0097610B"/>
    <w:rsid w:val="0098094C"/>
    <w:rsid w:val="009840BD"/>
    <w:rsid w:val="009860C1"/>
    <w:rsid w:val="00986103"/>
    <w:rsid w:val="009862A8"/>
    <w:rsid w:val="00986B1C"/>
    <w:rsid w:val="00986B2D"/>
    <w:rsid w:val="00986BEA"/>
    <w:rsid w:val="00987AFF"/>
    <w:rsid w:val="00987FFA"/>
    <w:rsid w:val="0099057D"/>
    <w:rsid w:val="009908B6"/>
    <w:rsid w:val="00991425"/>
    <w:rsid w:val="00991573"/>
    <w:rsid w:val="009919EA"/>
    <w:rsid w:val="0099277E"/>
    <w:rsid w:val="00992CA8"/>
    <w:rsid w:val="009932B2"/>
    <w:rsid w:val="00993ACA"/>
    <w:rsid w:val="00994ED9"/>
    <w:rsid w:val="009952CE"/>
    <w:rsid w:val="00995999"/>
    <w:rsid w:val="00995DD7"/>
    <w:rsid w:val="00996093"/>
    <w:rsid w:val="009975CC"/>
    <w:rsid w:val="009A02BD"/>
    <w:rsid w:val="009A21C5"/>
    <w:rsid w:val="009A26FE"/>
    <w:rsid w:val="009A4088"/>
    <w:rsid w:val="009A4176"/>
    <w:rsid w:val="009A5C9A"/>
    <w:rsid w:val="009A64BF"/>
    <w:rsid w:val="009A6C3A"/>
    <w:rsid w:val="009A7004"/>
    <w:rsid w:val="009B0566"/>
    <w:rsid w:val="009B113E"/>
    <w:rsid w:val="009B1C7D"/>
    <w:rsid w:val="009B1CA2"/>
    <w:rsid w:val="009B2096"/>
    <w:rsid w:val="009B4543"/>
    <w:rsid w:val="009B7E53"/>
    <w:rsid w:val="009C1A30"/>
    <w:rsid w:val="009C20FF"/>
    <w:rsid w:val="009C2198"/>
    <w:rsid w:val="009C5D11"/>
    <w:rsid w:val="009C7AB7"/>
    <w:rsid w:val="009C7AE7"/>
    <w:rsid w:val="009C7B15"/>
    <w:rsid w:val="009D0546"/>
    <w:rsid w:val="009D0EFC"/>
    <w:rsid w:val="009D478A"/>
    <w:rsid w:val="009D48B3"/>
    <w:rsid w:val="009D490F"/>
    <w:rsid w:val="009D4A7A"/>
    <w:rsid w:val="009D7276"/>
    <w:rsid w:val="009D7C26"/>
    <w:rsid w:val="009E0213"/>
    <w:rsid w:val="009E0C1C"/>
    <w:rsid w:val="009E2528"/>
    <w:rsid w:val="009E2C20"/>
    <w:rsid w:val="009E3194"/>
    <w:rsid w:val="009E341A"/>
    <w:rsid w:val="009E3FC0"/>
    <w:rsid w:val="009E457B"/>
    <w:rsid w:val="009F0870"/>
    <w:rsid w:val="009F0CB9"/>
    <w:rsid w:val="009F1031"/>
    <w:rsid w:val="009F19AB"/>
    <w:rsid w:val="009F1A1F"/>
    <w:rsid w:val="009F1F90"/>
    <w:rsid w:val="009F4A44"/>
    <w:rsid w:val="009F4A83"/>
    <w:rsid w:val="009F5859"/>
    <w:rsid w:val="009F7019"/>
    <w:rsid w:val="009F7070"/>
    <w:rsid w:val="009F764F"/>
    <w:rsid w:val="00A0001D"/>
    <w:rsid w:val="00A00172"/>
    <w:rsid w:val="00A02650"/>
    <w:rsid w:val="00A03262"/>
    <w:rsid w:val="00A0330F"/>
    <w:rsid w:val="00A03995"/>
    <w:rsid w:val="00A04295"/>
    <w:rsid w:val="00A0797F"/>
    <w:rsid w:val="00A07A6D"/>
    <w:rsid w:val="00A07C1C"/>
    <w:rsid w:val="00A10C9C"/>
    <w:rsid w:val="00A11913"/>
    <w:rsid w:val="00A125C2"/>
    <w:rsid w:val="00A1300F"/>
    <w:rsid w:val="00A131D4"/>
    <w:rsid w:val="00A13B2D"/>
    <w:rsid w:val="00A14018"/>
    <w:rsid w:val="00A14166"/>
    <w:rsid w:val="00A1451D"/>
    <w:rsid w:val="00A14AEC"/>
    <w:rsid w:val="00A16156"/>
    <w:rsid w:val="00A21D70"/>
    <w:rsid w:val="00A22683"/>
    <w:rsid w:val="00A2328E"/>
    <w:rsid w:val="00A23E98"/>
    <w:rsid w:val="00A24591"/>
    <w:rsid w:val="00A2462F"/>
    <w:rsid w:val="00A25BA0"/>
    <w:rsid w:val="00A2619E"/>
    <w:rsid w:val="00A26E04"/>
    <w:rsid w:val="00A30A7D"/>
    <w:rsid w:val="00A30E53"/>
    <w:rsid w:val="00A31FBB"/>
    <w:rsid w:val="00A33444"/>
    <w:rsid w:val="00A3363E"/>
    <w:rsid w:val="00A33B39"/>
    <w:rsid w:val="00A34E41"/>
    <w:rsid w:val="00A34F97"/>
    <w:rsid w:val="00A355E9"/>
    <w:rsid w:val="00A35B58"/>
    <w:rsid w:val="00A368ED"/>
    <w:rsid w:val="00A37F13"/>
    <w:rsid w:val="00A40069"/>
    <w:rsid w:val="00A400FA"/>
    <w:rsid w:val="00A409B5"/>
    <w:rsid w:val="00A41AC8"/>
    <w:rsid w:val="00A42545"/>
    <w:rsid w:val="00A43194"/>
    <w:rsid w:val="00A432C4"/>
    <w:rsid w:val="00A4461D"/>
    <w:rsid w:val="00A47320"/>
    <w:rsid w:val="00A50E3E"/>
    <w:rsid w:val="00A51266"/>
    <w:rsid w:val="00A514C9"/>
    <w:rsid w:val="00A535E0"/>
    <w:rsid w:val="00A54128"/>
    <w:rsid w:val="00A549A5"/>
    <w:rsid w:val="00A54A49"/>
    <w:rsid w:val="00A54C2A"/>
    <w:rsid w:val="00A54DA3"/>
    <w:rsid w:val="00A56166"/>
    <w:rsid w:val="00A564B0"/>
    <w:rsid w:val="00A60573"/>
    <w:rsid w:val="00A619AD"/>
    <w:rsid w:val="00A61B87"/>
    <w:rsid w:val="00A6314B"/>
    <w:rsid w:val="00A63AF0"/>
    <w:rsid w:val="00A6574E"/>
    <w:rsid w:val="00A65ED3"/>
    <w:rsid w:val="00A663DD"/>
    <w:rsid w:val="00A7157D"/>
    <w:rsid w:val="00A72208"/>
    <w:rsid w:val="00A73C84"/>
    <w:rsid w:val="00A746EE"/>
    <w:rsid w:val="00A77240"/>
    <w:rsid w:val="00A77B91"/>
    <w:rsid w:val="00A808F0"/>
    <w:rsid w:val="00A8302F"/>
    <w:rsid w:val="00A84478"/>
    <w:rsid w:val="00A853B9"/>
    <w:rsid w:val="00A85DDA"/>
    <w:rsid w:val="00A9065E"/>
    <w:rsid w:val="00A90992"/>
    <w:rsid w:val="00A90CAC"/>
    <w:rsid w:val="00A913B5"/>
    <w:rsid w:val="00A939C7"/>
    <w:rsid w:val="00A9437B"/>
    <w:rsid w:val="00A95181"/>
    <w:rsid w:val="00A958E6"/>
    <w:rsid w:val="00A95E5F"/>
    <w:rsid w:val="00A97083"/>
    <w:rsid w:val="00A970D5"/>
    <w:rsid w:val="00AA013D"/>
    <w:rsid w:val="00AA179B"/>
    <w:rsid w:val="00AA360A"/>
    <w:rsid w:val="00AA3E92"/>
    <w:rsid w:val="00AA4797"/>
    <w:rsid w:val="00AA63CC"/>
    <w:rsid w:val="00AA672D"/>
    <w:rsid w:val="00AB0551"/>
    <w:rsid w:val="00AB1782"/>
    <w:rsid w:val="00AB1E49"/>
    <w:rsid w:val="00AB3144"/>
    <w:rsid w:val="00AB3EE0"/>
    <w:rsid w:val="00AB3F87"/>
    <w:rsid w:val="00AB4DFC"/>
    <w:rsid w:val="00AB5649"/>
    <w:rsid w:val="00AB758A"/>
    <w:rsid w:val="00AB7D67"/>
    <w:rsid w:val="00AC0257"/>
    <w:rsid w:val="00AC02B3"/>
    <w:rsid w:val="00AC0BEF"/>
    <w:rsid w:val="00AC56AD"/>
    <w:rsid w:val="00AC734F"/>
    <w:rsid w:val="00AC7C24"/>
    <w:rsid w:val="00AD0BD2"/>
    <w:rsid w:val="00AD1CEA"/>
    <w:rsid w:val="00AD2BEB"/>
    <w:rsid w:val="00AD2DF6"/>
    <w:rsid w:val="00AD6568"/>
    <w:rsid w:val="00AD6BDC"/>
    <w:rsid w:val="00AE069D"/>
    <w:rsid w:val="00AE132E"/>
    <w:rsid w:val="00AE191C"/>
    <w:rsid w:val="00AE1AC8"/>
    <w:rsid w:val="00AE1CF5"/>
    <w:rsid w:val="00AE1FCB"/>
    <w:rsid w:val="00AE2891"/>
    <w:rsid w:val="00AE2A43"/>
    <w:rsid w:val="00AE2CE9"/>
    <w:rsid w:val="00AE4E14"/>
    <w:rsid w:val="00AE4F57"/>
    <w:rsid w:val="00AE6392"/>
    <w:rsid w:val="00AF0430"/>
    <w:rsid w:val="00AF10A2"/>
    <w:rsid w:val="00AF2C8C"/>
    <w:rsid w:val="00AF346E"/>
    <w:rsid w:val="00AF3A66"/>
    <w:rsid w:val="00AF3AD6"/>
    <w:rsid w:val="00AF621B"/>
    <w:rsid w:val="00AF7C79"/>
    <w:rsid w:val="00B01727"/>
    <w:rsid w:val="00B05F77"/>
    <w:rsid w:val="00B069E2"/>
    <w:rsid w:val="00B06DF9"/>
    <w:rsid w:val="00B07AEE"/>
    <w:rsid w:val="00B07D6B"/>
    <w:rsid w:val="00B1050C"/>
    <w:rsid w:val="00B10DE6"/>
    <w:rsid w:val="00B130A4"/>
    <w:rsid w:val="00B14F8B"/>
    <w:rsid w:val="00B15CFC"/>
    <w:rsid w:val="00B16800"/>
    <w:rsid w:val="00B20FC4"/>
    <w:rsid w:val="00B21B6F"/>
    <w:rsid w:val="00B22206"/>
    <w:rsid w:val="00B22470"/>
    <w:rsid w:val="00B236FB"/>
    <w:rsid w:val="00B23724"/>
    <w:rsid w:val="00B24375"/>
    <w:rsid w:val="00B249B0"/>
    <w:rsid w:val="00B26615"/>
    <w:rsid w:val="00B27685"/>
    <w:rsid w:val="00B2772E"/>
    <w:rsid w:val="00B27D31"/>
    <w:rsid w:val="00B27FE7"/>
    <w:rsid w:val="00B30361"/>
    <w:rsid w:val="00B31049"/>
    <w:rsid w:val="00B31330"/>
    <w:rsid w:val="00B33524"/>
    <w:rsid w:val="00B34802"/>
    <w:rsid w:val="00B37386"/>
    <w:rsid w:val="00B405A2"/>
    <w:rsid w:val="00B40D3A"/>
    <w:rsid w:val="00B417BC"/>
    <w:rsid w:val="00B42319"/>
    <w:rsid w:val="00B431A2"/>
    <w:rsid w:val="00B44112"/>
    <w:rsid w:val="00B44F59"/>
    <w:rsid w:val="00B45A33"/>
    <w:rsid w:val="00B4689D"/>
    <w:rsid w:val="00B50033"/>
    <w:rsid w:val="00B5065C"/>
    <w:rsid w:val="00B50731"/>
    <w:rsid w:val="00B52526"/>
    <w:rsid w:val="00B55AD7"/>
    <w:rsid w:val="00B5732F"/>
    <w:rsid w:val="00B608C9"/>
    <w:rsid w:val="00B62D89"/>
    <w:rsid w:val="00B642C9"/>
    <w:rsid w:val="00B64835"/>
    <w:rsid w:val="00B6489C"/>
    <w:rsid w:val="00B65941"/>
    <w:rsid w:val="00B672E6"/>
    <w:rsid w:val="00B70F22"/>
    <w:rsid w:val="00B710B6"/>
    <w:rsid w:val="00B71709"/>
    <w:rsid w:val="00B71A33"/>
    <w:rsid w:val="00B729A6"/>
    <w:rsid w:val="00B743F9"/>
    <w:rsid w:val="00B74AB2"/>
    <w:rsid w:val="00B75371"/>
    <w:rsid w:val="00B75E58"/>
    <w:rsid w:val="00B76CE2"/>
    <w:rsid w:val="00B7716C"/>
    <w:rsid w:val="00B81C69"/>
    <w:rsid w:val="00B877EE"/>
    <w:rsid w:val="00B913BF"/>
    <w:rsid w:val="00B91D6F"/>
    <w:rsid w:val="00B91DC3"/>
    <w:rsid w:val="00B92F1F"/>
    <w:rsid w:val="00B936FF"/>
    <w:rsid w:val="00B93B30"/>
    <w:rsid w:val="00B9535E"/>
    <w:rsid w:val="00B955F7"/>
    <w:rsid w:val="00B95B22"/>
    <w:rsid w:val="00B96C35"/>
    <w:rsid w:val="00B979F1"/>
    <w:rsid w:val="00B97B52"/>
    <w:rsid w:val="00BA27B4"/>
    <w:rsid w:val="00BA2D0F"/>
    <w:rsid w:val="00BA2FDE"/>
    <w:rsid w:val="00BA41DE"/>
    <w:rsid w:val="00BA6447"/>
    <w:rsid w:val="00BA707C"/>
    <w:rsid w:val="00BA70D4"/>
    <w:rsid w:val="00BA7D89"/>
    <w:rsid w:val="00BB00DB"/>
    <w:rsid w:val="00BB100B"/>
    <w:rsid w:val="00BB34F7"/>
    <w:rsid w:val="00BB40B2"/>
    <w:rsid w:val="00BB45E6"/>
    <w:rsid w:val="00BB52A8"/>
    <w:rsid w:val="00BB6077"/>
    <w:rsid w:val="00BB6541"/>
    <w:rsid w:val="00BB701E"/>
    <w:rsid w:val="00BB74B7"/>
    <w:rsid w:val="00BC0D06"/>
    <w:rsid w:val="00BC2369"/>
    <w:rsid w:val="00BC3462"/>
    <w:rsid w:val="00BC4444"/>
    <w:rsid w:val="00BC47AB"/>
    <w:rsid w:val="00BC50CD"/>
    <w:rsid w:val="00BC5189"/>
    <w:rsid w:val="00BC71AF"/>
    <w:rsid w:val="00BC75D4"/>
    <w:rsid w:val="00BD0EDF"/>
    <w:rsid w:val="00BD3854"/>
    <w:rsid w:val="00BD4D45"/>
    <w:rsid w:val="00BD4EDB"/>
    <w:rsid w:val="00BD57BD"/>
    <w:rsid w:val="00BD68E4"/>
    <w:rsid w:val="00BD6B93"/>
    <w:rsid w:val="00BE15C4"/>
    <w:rsid w:val="00BE1BD4"/>
    <w:rsid w:val="00BE2D36"/>
    <w:rsid w:val="00BE31C6"/>
    <w:rsid w:val="00BE45FC"/>
    <w:rsid w:val="00BE50E7"/>
    <w:rsid w:val="00BE739A"/>
    <w:rsid w:val="00BF092C"/>
    <w:rsid w:val="00BF178A"/>
    <w:rsid w:val="00BF311E"/>
    <w:rsid w:val="00BF4E05"/>
    <w:rsid w:val="00BF563C"/>
    <w:rsid w:val="00BF585E"/>
    <w:rsid w:val="00BF5865"/>
    <w:rsid w:val="00BF5B6C"/>
    <w:rsid w:val="00BF6A39"/>
    <w:rsid w:val="00BF7CBD"/>
    <w:rsid w:val="00C00C0A"/>
    <w:rsid w:val="00C01D55"/>
    <w:rsid w:val="00C02743"/>
    <w:rsid w:val="00C030DF"/>
    <w:rsid w:val="00C03348"/>
    <w:rsid w:val="00C0374D"/>
    <w:rsid w:val="00C04B70"/>
    <w:rsid w:val="00C0540F"/>
    <w:rsid w:val="00C054DA"/>
    <w:rsid w:val="00C055A4"/>
    <w:rsid w:val="00C06427"/>
    <w:rsid w:val="00C078C2"/>
    <w:rsid w:val="00C135D3"/>
    <w:rsid w:val="00C15F5B"/>
    <w:rsid w:val="00C171E0"/>
    <w:rsid w:val="00C27010"/>
    <w:rsid w:val="00C30352"/>
    <w:rsid w:val="00C32993"/>
    <w:rsid w:val="00C35A08"/>
    <w:rsid w:val="00C36F07"/>
    <w:rsid w:val="00C371F5"/>
    <w:rsid w:val="00C41026"/>
    <w:rsid w:val="00C4175C"/>
    <w:rsid w:val="00C42183"/>
    <w:rsid w:val="00C42BB9"/>
    <w:rsid w:val="00C4358F"/>
    <w:rsid w:val="00C44E6B"/>
    <w:rsid w:val="00C45211"/>
    <w:rsid w:val="00C45A2F"/>
    <w:rsid w:val="00C506C8"/>
    <w:rsid w:val="00C5129E"/>
    <w:rsid w:val="00C51C1D"/>
    <w:rsid w:val="00C52D4D"/>
    <w:rsid w:val="00C543F7"/>
    <w:rsid w:val="00C54CCF"/>
    <w:rsid w:val="00C55185"/>
    <w:rsid w:val="00C563BD"/>
    <w:rsid w:val="00C571EC"/>
    <w:rsid w:val="00C57456"/>
    <w:rsid w:val="00C5763A"/>
    <w:rsid w:val="00C64CC7"/>
    <w:rsid w:val="00C64F4C"/>
    <w:rsid w:val="00C65A71"/>
    <w:rsid w:val="00C67739"/>
    <w:rsid w:val="00C7032A"/>
    <w:rsid w:val="00C71E3B"/>
    <w:rsid w:val="00C734E6"/>
    <w:rsid w:val="00C7483C"/>
    <w:rsid w:val="00C80782"/>
    <w:rsid w:val="00C80B4F"/>
    <w:rsid w:val="00C81E82"/>
    <w:rsid w:val="00C82B6E"/>
    <w:rsid w:val="00C83A20"/>
    <w:rsid w:val="00C84C22"/>
    <w:rsid w:val="00C850CF"/>
    <w:rsid w:val="00C8586B"/>
    <w:rsid w:val="00C85931"/>
    <w:rsid w:val="00C863EF"/>
    <w:rsid w:val="00C86F82"/>
    <w:rsid w:val="00C87515"/>
    <w:rsid w:val="00C87EE9"/>
    <w:rsid w:val="00C9136E"/>
    <w:rsid w:val="00C92478"/>
    <w:rsid w:val="00C938AA"/>
    <w:rsid w:val="00CA0479"/>
    <w:rsid w:val="00CA4158"/>
    <w:rsid w:val="00CA5745"/>
    <w:rsid w:val="00CA60EE"/>
    <w:rsid w:val="00CA61C4"/>
    <w:rsid w:val="00CA641F"/>
    <w:rsid w:val="00CA660E"/>
    <w:rsid w:val="00CB0544"/>
    <w:rsid w:val="00CB05D9"/>
    <w:rsid w:val="00CB1036"/>
    <w:rsid w:val="00CB30F1"/>
    <w:rsid w:val="00CB3894"/>
    <w:rsid w:val="00CB3C39"/>
    <w:rsid w:val="00CB54A0"/>
    <w:rsid w:val="00CB697A"/>
    <w:rsid w:val="00CB701D"/>
    <w:rsid w:val="00CB7399"/>
    <w:rsid w:val="00CB7B92"/>
    <w:rsid w:val="00CB7C77"/>
    <w:rsid w:val="00CC04D7"/>
    <w:rsid w:val="00CC0F9A"/>
    <w:rsid w:val="00CC1570"/>
    <w:rsid w:val="00CC20E4"/>
    <w:rsid w:val="00CC2479"/>
    <w:rsid w:val="00CC3BA4"/>
    <w:rsid w:val="00CC463C"/>
    <w:rsid w:val="00CC6C64"/>
    <w:rsid w:val="00CD0DF7"/>
    <w:rsid w:val="00CD1D0A"/>
    <w:rsid w:val="00CD1DBA"/>
    <w:rsid w:val="00CD457F"/>
    <w:rsid w:val="00CE05E8"/>
    <w:rsid w:val="00CE13AA"/>
    <w:rsid w:val="00CE23C4"/>
    <w:rsid w:val="00CE3650"/>
    <w:rsid w:val="00CE398D"/>
    <w:rsid w:val="00CE3EE9"/>
    <w:rsid w:val="00CE3F44"/>
    <w:rsid w:val="00CE410B"/>
    <w:rsid w:val="00CE4689"/>
    <w:rsid w:val="00CE4762"/>
    <w:rsid w:val="00CE62CE"/>
    <w:rsid w:val="00CE696B"/>
    <w:rsid w:val="00CE6A92"/>
    <w:rsid w:val="00CE6CAD"/>
    <w:rsid w:val="00CE7943"/>
    <w:rsid w:val="00CE7DFF"/>
    <w:rsid w:val="00CF0F24"/>
    <w:rsid w:val="00CF1420"/>
    <w:rsid w:val="00CF361F"/>
    <w:rsid w:val="00D03901"/>
    <w:rsid w:val="00D044EE"/>
    <w:rsid w:val="00D06120"/>
    <w:rsid w:val="00D06499"/>
    <w:rsid w:val="00D0657E"/>
    <w:rsid w:val="00D07BB3"/>
    <w:rsid w:val="00D07D35"/>
    <w:rsid w:val="00D07EBA"/>
    <w:rsid w:val="00D11875"/>
    <w:rsid w:val="00D1228D"/>
    <w:rsid w:val="00D12E59"/>
    <w:rsid w:val="00D13A70"/>
    <w:rsid w:val="00D156DB"/>
    <w:rsid w:val="00D16FC1"/>
    <w:rsid w:val="00D17465"/>
    <w:rsid w:val="00D20049"/>
    <w:rsid w:val="00D22E34"/>
    <w:rsid w:val="00D23706"/>
    <w:rsid w:val="00D24453"/>
    <w:rsid w:val="00D255D4"/>
    <w:rsid w:val="00D30932"/>
    <w:rsid w:val="00D31837"/>
    <w:rsid w:val="00D31CE8"/>
    <w:rsid w:val="00D32A21"/>
    <w:rsid w:val="00D32AB7"/>
    <w:rsid w:val="00D32B20"/>
    <w:rsid w:val="00D33158"/>
    <w:rsid w:val="00D3523A"/>
    <w:rsid w:val="00D35892"/>
    <w:rsid w:val="00D35EFB"/>
    <w:rsid w:val="00D362D0"/>
    <w:rsid w:val="00D40811"/>
    <w:rsid w:val="00D41FD3"/>
    <w:rsid w:val="00D428FF"/>
    <w:rsid w:val="00D433F9"/>
    <w:rsid w:val="00D43B29"/>
    <w:rsid w:val="00D459C8"/>
    <w:rsid w:val="00D460D2"/>
    <w:rsid w:val="00D50D43"/>
    <w:rsid w:val="00D52C10"/>
    <w:rsid w:val="00D5432C"/>
    <w:rsid w:val="00D5565D"/>
    <w:rsid w:val="00D55A40"/>
    <w:rsid w:val="00D573DA"/>
    <w:rsid w:val="00D57977"/>
    <w:rsid w:val="00D616D1"/>
    <w:rsid w:val="00D62753"/>
    <w:rsid w:val="00D6437F"/>
    <w:rsid w:val="00D7032F"/>
    <w:rsid w:val="00D7078F"/>
    <w:rsid w:val="00D712EF"/>
    <w:rsid w:val="00D7239C"/>
    <w:rsid w:val="00D7445F"/>
    <w:rsid w:val="00D75E69"/>
    <w:rsid w:val="00D7672C"/>
    <w:rsid w:val="00D8008E"/>
    <w:rsid w:val="00D800B5"/>
    <w:rsid w:val="00D82BF0"/>
    <w:rsid w:val="00D83842"/>
    <w:rsid w:val="00D8522A"/>
    <w:rsid w:val="00D8593C"/>
    <w:rsid w:val="00D85B24"/>
    <w:rsid w:val="00D9004B"/>
    <w:rsid w:val="00D9010E"/>
    <w:rsid w:val="00D9051D"/>
    <w:rsid w:val="00D917C1"/>
    <w:rsid w:val="00D92087"/>
    <w:rsid w:val="00D920FD"/>
    <w:rsid w:val="00D92A36"/>
    <w:rsid w:val="00D935FF"/>
    <w:rsid w:val="00DA1E5C"/>
    <w:rsid w:val="00DA2C27"/>
    <w:rsid w:val="00DA4D62"/>
    <w:rsid w:val="00DA5364"/>
    <w:rsid w:val="00DA5BCE"/>
    <w:rsid w:val="00DA76B7"/>
    <w:rsid w:val="00DB07DF"/>
    <w:rsid w:val="00DB2C47"/>
    <w:rsid w:val="00DB33B9"/>
    <w:rsid w:val="00DB3C19"/>
    <w:rsid w:val="00DB7B92"/>
    <w:rsid w:val="00DC0BF6"/>
    <w:rsid w:val="00DC0F27"/>
    <w:rsid w:val="00DC15C1"/>
    <w:rsid w:val="00DC44DA"/>
    <w:rsid w:val="00DC52A9"/>
    <w:rsid w:val="00DC5361"/>
    <w:rsid w:val="00DD032A"/>
    <w:rsid w:val="00DD0EC7"/>
    <w:rsid w:val="00DD0FDE"/>
    <w:rsid w:val="00DD1186"/>
    <w:rsid w:val="00DD38ED"/>
    <w:rsid w:val="00DD3B4C"/>
    <w:rsid w:val="00DD3CD1"/>
    <w:rsid w:val="00DD4143"/>
    <w:rsid w:val="00DD6CB6"/>
    <w:rsid w:val="00DD78FD"/>
    <w:rsid w:val="00DE03BD"/>
    <w:rsid w:val="00DE0F38"/>
    <w:rsid w:val="00DE3512"/>
    <w:rsid w:val="00DE44E5"/>
    <w:rsid w:val="00DE52F0"/>
    <w:rsid w:val="00DE573E"/>
    <w:rsid w:val="00DE7540"/>
    <w:rsid w:val="00DF0EBF"/>
    <w:rsid w:val="00DF1228"/>
    <w:rsid w:val="00DF1E7B"/>
    <w:rsid w:val="00DF1FF8"/>
    <w:rsid w:val="00DF28F8"/>
    <w:rsid w:val="00DF3031"/>
    <w:rsid w:val="00DF3D37"/>
    <w:rsid w:val="00DF4B27"/>
    <w:rsid w:val="00DF4C20"/>
    <w:rsid w:val="00DF6009"/>
    <w:rsid w:val="00DF7907"/>
    <w:rsid w:val="00E0045A"/>
    <w:rsid w:val="00E00CD9"/>
    <w:rsid w:val="00E00FCE"/>
    <w:rsid w:val="00E01D6E"/>
    <w:rsid w:val="00E030D0"/>
    <w:rsid w:val="00E03ADD"/>
    <w:rsid w:val="00E03D19"/>
    <w:rsid w:val="00E049EE"/>
    <w:rsid w:val="00E06B74"/>
    <w:rsid w:val="00E06E1D"/>
    <w:rsid w:val="00E07BB7"/>
    <w:rsid w:val="00E12992"/>
    <w:rsid w:val="00E12EA7"/>
    <w:rsid w:val="00E1341C"/>
    <w:rsid w:val="00E162E0"/>
    <w:rsid w:val="00E2218C"/>
    <w:rsid w:val="00E24818"/>
    <w:rsid w:val="00E252B2"/>
    <w:rsid w:val="00E25C46"/>
    <w:rsid w:val="00E27B9C"/>
    <w:rsid w:val="00E27DCD"/>
    <w:rsid w:val="00E3025F"/>
    <w:rsid w:val="00E316B6"/>
    <w:rsid w:val="00E33EA4"/>
    <w:rsid w:val="00E35BF2"/>
    <w:rsid w:val="00E3701B"/>
    <w:rsid w:val="00E37AD5"/>
    <w:rsid w:val="00E409C3"/>
    <w:rsid w:val="00E41BBB"/>
    <w:rsid w:val="00E42101"/>
    <w:rsid w:val="00E425AA"/>
    <w:rsid w:val="00E426C7"/>
    <w:rsid w:val="00E42F66"/>
    <w:rsid w:val="00E44260"/>
    <w:rsid w:val="00E47BD5"/>
    <w:rsid w:val="00E50366"/>
    <w:rsid w:val="00E50A20"/>
    <w:rsid w:val="00E52721"/>
    <w:rsid w:val="00E53AED"/>
    <w:rsid w:val="00E54D1F"/>
    <w:rsid w:val="00E5543B"/>
    <w:rsid w:val="00E55B9D"/>
    <w:rsid w:val="00E570BE"/>
    <w:rsid w:val="00E57F39"/>
    <w:rsid w:val="00E63A19"/>
    <w:rsid w:val="00E64224"/>
    <w:rsid w:val="00E643BD"/>
    <w:rsid w:val="00E66390"/>
    <w:rsid w:val="00E664D9"/>
    <w:rsid w:val="00E67832"/>
    <w:rsid w:val="00E70689"/>
    <w:rsid w:val="00E707C3"/>
    <w:rsid w:val="00E70AFB"/>
    <w:rsid w:val="00E70BC9"/>
    <w:rsid w:val="00E70EA8"/>
    <w:rsid w:val="00E71E82"/>
    <w:rsid w:val="00E73480"/>
    <w:rsid w:val="00E74705"/>
    <w:rsid w:val="00E763E3"/>
    <w:rsid w:val="00E77972"/>
    <w:rsid w:val="00E80105"/>
    <w:rsid w:val="00E81777"/>
    <w:rsid w:val="00E82245"/>
    <w:rsid w:val="00E82852"/>
    <w:rsid w:val="00E83E54"/>
    <w:rsid w:val="00E841F7"/>
    <w:rsid w:val="00E8485C"/>
    <w:rsid w:val="00E849EB"/>
    <w:rsid w:val="00E85561"/>
    <w:rsid w:val="00E91236"/>
    <w:rsid w:val="00E9187E"/>
    <w:rsid w:val="00E91B2F"/>
    <w:rsid w:val="00E91BB4"/>
    <w:rsid w:val="00E92CA8"/>
    <w:rsid w:val="00E93249"/>
    <w:rsid w:val="00E93864"/>
    <w:rsid w:val="00E9622C"/>
    <w:rsid w:val="00E96541"/>
    <w:rsid w:val="00E978AF"/>
    <w:rsid w:val="00EA0905"/>
    <w:rsid w:val="00EA0F80"/>
    <w:rsid w:val="00EA1A8A"/>
    <w:rsid w:val="00EA433E"/>
    <w:rsid w:val="00EA6272"/>
    <w:rsid w:val="00EA6C29"/>
    <w:rsid w:val="00EA769C"/>
    <w:rsid w:val="00EB0248"/>
    <w:rsid w:val="00EB1804"/>
    <w:rsid w:val="00EB1DD2"/>
    <w:rsid w:val="00EB4758"/>
    <w:rsid w:val="00EB4A27"/>
    <w:rsid w:val="00EB4BFF"/>
    <w:rsid w:val="00EB7785"/>
    <w:rsid w:val="00EC04FC"/>
    <w:rsid w:val="00EC06FC"/>
    <w:rsid w:val="00EC07EA"/>
    <w:rsid w:val="00EC1185"/>
    <w:rsid w:val="00EC126E"/>
    <w:rsid w:val="00EC172A"/>
    <w:rsid w:val="00EC1C6C"/>
    <w:rsid w:val="00EC402C"/>
    <w:rsid w:val="00EC6595"/>
    <w:rsid w:val="00EC6A22"/>
    <w:rsid w:val="00EC6BA7"/>
    <w:rsid w:val="00EC6F30"/>
    <w:rsid w:val="00EC70DB"/>
    <w:rsid w:val="00ED03AA"/>
    <w:rsid w:val="00ED0957"/>
    <w:rsid w:val="00ED1580"/>
    <w:rsid w:val="00ED1D85"/>
    <w:rsid w:val="00ED23A0"/>
    <w:rsid w:val="00ED2510"/>
    <w:rsid w:val="00ED2F3E"/>
    <w:rsid w:val="00ED7892"/>
    <w:rsid w:val="00EE024C"/>
    <w:rsid w:val="00EE0D09"/>
    <w:rsid w:val="00EE123A"/>
    <w:rsid w:val="00EE1B7D"/>
    <w:rsid w:val="00EE1E0E"/>
    <w:rsid w:val="00EE20B0"/>
    <w:rsid w:val="00EE21EA"/>
    <w:rsid w:val="00EE26FD"/>
    <w:rsid w:val="00EE2C77"/>
    <w:rsid w:val="00EE5998"/>
    <w:rsid w:val="00EF0EED"/>
    <w:rsid w:val="00EF24BB"/>
    <w:rsid w:val="00EF2585"/>
    <w:rsid w:val="00EF4AC3"/>
    <w:rsid w:val="00EF718A"/>
    <w:rsid w:val="00F01AE0"/>
    <w:rsid w:val="00F020B2"/>
    <w:rsid w:val="00F0239E"/>
    <w:rsid w:val="00F02708"/>
    <w:rsid w:val="00F035A5"/>
    <w:rsid w:val="00F03C50"/>
    <w:rsid w:val="00F05D4E"/>
    <w:rsid w:val="00F07024"/>
    <w:rsid w:val="00F1143E"/>
    <w:rsid w:val="00F12B1C"/>
    <w:rsid w:val="00F1320A"/>
    <w:rsid w:val="00F155E0"/>
    <w:rsid w:val="00F159FA"/>
    <w:rsid w:val="00F162A7"/>
    <w:rsid w:val="00F211F5"/>
    <w:rsid w:val="00F2199B"/>
    <w:rsid w:val="00F23970"/>
    <w:rsid w:val="00F23D3B"/>
    <w:rsid w:val="00F24B14"/>
    <w:rsid w:val="00F24E45"/>
    <w:rsid w:val="00F25650"/>
    <w:rsid w:val="00F25C62"/>
    <w:rsid w:val="00F3136E"/>
    <w:rsid w:val="00F3155A"/>
    <w:rsid w:val="00F369EC"/>
    <w:rsid w:val="00F373B9"/>
    <w:rsid w:val="00F41ACA"/>
    <w:rsid w:val="00F41C43"/>
    <w:rsid w:val="00F4229A"/>
    <w:rsid w:val="00F441D1"/>
    <w:rsid w:val="00F46845"/>
    <w:rsid w:val="00F51658"/>
    <w:rsid w:val="00F51C2A"/>
    <w:rsid w:val="00F51FE4"/>
    <w:rsid w:val="00F52B07"/>
    <w:rsid w:val="00F532B3"/>
    <w:rsid w:val="00F5388B"/>
    <w:rsid w:val="00F53DB9"/>
    <w:rsid w:val="00F54AFE"/>
    <w:rsid w:val="00F55C68"/>
    <w:rsid w:val="00F56022"/>
    <w:rsid w:val="00F56727"/>
    <w:rsid w:val="00F56B51"/>
    <w:rsid w:val="00F57639"/>
    <w:rsid w:val="00F6076B"/>
    <w:rsid w:val="00F608A7"/>
    <w:rsid w:val="00F60966"/>
    <w:rsid w:val="00F63D75"/>
    <w:rsid w:val="00F63F5C"/>
    <w:rsid w:val="00F64521"/>
    <w:rsid w:val="00F65878"/>
    <w:rsid w:val="00F658A6"/>
    <w:rsid w:val="00F669E4"/>
    <w:rsid w:val="00F66E13"/>
    <w:rsid w:val="00F67E29"/>
    <w:rsid w:val="00F67F0E"/>
    <w:rsid w:val="00F70ED6"/>
    <w:rsid w:val="00F72068"/>
    <w:rsid w:val="00F72378"/>
    <w:rsid w:val="00F762B2"/>
    <w:rsid w:val="00F76DFE"/>
    <w:rsid w:val="00F76F4A"/>
    <w:rsid w:val="00F77ECF"/>
    <w:rsid w:val="00F8006A"/>
    <w:rsid w:val="00F83547"/>
    <w:rsid w:val="00F83553"/>
    <w:rsid w:val="00F839A0"/>
    <w:rsid w:val="00F8496F"/>
    <w:rsid w:val="00F8534A"/>
    <w:rsid w:val="00F860AF"/>
    <w:rsid w:val="00F8739C"/>
    <w:rsid w:val="00F87540"/>
    <w:rsid w:val="00F905B3"/>
    <w:rsid w:val="00F91C85"/>
    <w:rsid w:val="00F92FA1"/>
    <w:rsid w:val="00F9374E"/>
    <w:rsid w:val="00F947B1"/>
    <w:rsid w:val="00F96BFC"/>
    <w:rsid w:val="00FA0349"/>
    <w:rsid w:val="00FA0FE0"/>
    <w:rsid w:val="00FA1882"/>
    <w:rsid w:val="00FA1D79"/>
    <w:rsid w:val="00FA45BB"/>
    <w:rsid w:val="00FA5914"/>
    <w:rsid w:val="00FA6D31"/>
    <w:rsid w:val="00FA726C"/>
    <w:rsid w:val="00FA754E"/>
    <w:rsid w:val="00FA79DE"/>
    <w:rsid w:val="00FB0EA3"/>
    <w:rsid w:val="00FB1AC0"/>
    <w:rsid w:val="00FB1E38"/>
    <w:rsid w:val="00FB3C74"/>
    <w:rsid w:val="00FB476A"/>
    <w:rsid w:val="00FB673C"/>
    <w:rsid w:val="00FB6F3B"/>
    <w:rsid w:val="00FC2690"/>
    <w:rsid w:val="00FC5D3C"/>
    <w:rsid w:val="00FC657D"/>
    <w:rsid w:val="00FD0AC7"/>
    <w:rsid w:val="00FD16D3"/>
    <w:rsid w:val="00FD2410"/>
    <w:rsid w:val="00FD2FDC"/>
    <w:rsid w:val="00FD33DB"/>
    <w:rsid w:val="00FD4F15"/>
    <w:rsid w:val="00FD69BF"/>
    <w:rsid w:val="00FE0773"/>
    <w:rsid w:val="00FE11FC"/>
    <w:rsid w:val="00FE1F4B"/>
    <w:rsid w:val="00FE24B6"/>
    <w:rsid w:val="00FE3F06"/>
    <w:rsid w:val="00FE7233"/>
    <w:rsid w:val="00FF0B8D"/>
    <w:rsid w:val="00FF6F4D"/>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303A"/>
  <w15:docId w15:val="{56620267-3926-429D-95B2-269B2F97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DA"/>
    <w:pPr>
      <w:spacing w:after="0" w:line="240" w:lineRule="auto"/>
      <w:jc w:val="both"/>
    </w:pPr>
    <w:rPr>
      <w:rFonts w:ascii="Verdana" w:eastAsia="Batang" w:hAnsi="Verdana" w:cs="Times"/>
      <w:noProof/>
      <w:sz w:val="20"/>
      <w:szCs w:val="24"/>
      <w:lang w:val="es-ES_tradnl"/>
    </w:rPr>
  </w:style>
  <w:style w:type="paragraph" w:styleId="Ttulo1">
    <w:name w:val="heading 1"/>
    <w:basedOn w:val="Normal"/>
    <w:next w:val="Normal"/>
    <w:link w:val="Ttulo1Car"/>
    <w:uiPriority w:val="9"/>
    <w:qFormat/>
    <w:rsid w:val="00DC44DA"/>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nhideWhenUsed/>
    <w:qFormat/>
    <w:rsid w:val="00F441D1"/>
    <w:pPr>
      <w:keepNext/>
      <w:numPr>
        <w:numId w:val="6"/>
      </w:numPr>
      <w:autoSpaceDE w:val="0"/>
      <w:autoSpaceDN w:val="0"/>
      <w:adjustRightInd w:val="0"/>
      <w:spacing w:before="200" w:after="200"/>
      <w:ind w:left="357" w:hanging="357"/>
      <w:outlineLvl w:val="1"/>
    </w:pPr>
    <w:rPr>
      <w:rFonts w:eastAsiaTheme="minorHAnsi" w:cs="Arial"/>
      <w:b/>
      <w:noProof w:val="0"/>
      <w:szCs w:val="20"/>
      <w:lang w:val="es-CR"/>
    </w:rPr>
  </w:style>
  <w:style w:type="paragraph" w:styleId="Ttulo3">
    <w:name w:val="heading 3"/>
    <w:basedOn w:val="Ttulo4"/>
    <w:next w:val="Normal"/>
    <w:link w:val="Ttulo3Car"/>
    <w:uiPriority w:val="9"/>
    <w:unhideWhenUsed/>
    <w:qFormat/>
    <w:rsid w:val="00F441D1"/>
    <w:pPr>
      <w:keepLines w:val="0"/>
      <w:autoSpaceDE w:val="0"/>
      <w:autoSpaceDN w:val="0"/>
      <w:adjustRightInd w:val="0"/>
      <w:spacing w:line="240" w:lineRule="auto"/>
      <w:ind w:left="346" w:firstLine="709"/>
      <w:jc w:val="both"/>
      <w:outlineLvl w:val="2"/>
    </w:pPr>
    <w:rPr>
      <w:rFonts w:ascii="Verdana" w:eastAsiaTheme="minorHAnsi" w:hAnsi="Verdana" w:cs="Arial"/>
      <w:bCs w:val="0"/>
      <w:iCs w:val="0"/>
      <w:color w:val="auto"/>
      <w:sz w:val="20"/>
      <w:szCs w:val="20"/>
      <w:lang w:val="es-CR"/>
    </w:rPr>
  </w:style>
  <w:style w:type="paragraph" w:styleId="Ttulo4">
    <w:name w:val="heading 4"/>
    <w:basedOn w:val="Normal"/>
    <w:next w:val="Normal"/>
    <w:link w:val="Ttulo4Car"/>
    <w:uiPriority w:val="9"/>
    <w:unhideWhenUsed/>
    <w:qFormat/>
    <w:rsid w:val="000D17B3"/>
    <w:pPr>
      <w:keepNext/>
      <w:keepLines/>
      <w:spacing w:before="200" w:line="276" w:lineRule="auto"/>
      <w:jc w:val="left"/>
      <w:outlineLvl w:val="3"/>
    </w:pPr>
    <w:rPr>
      <w:rFonts w:asciiTheme="majorHAnsi" w:eastAsiaTheme="majorEastAsia" w:hAnsiTheme="majorHAnsi" w:cstheme="majorBidi"/>
      <w:b/>
      <w:bCs/>
      <w:i/>
      <w:iCs/>
      <w:noProof w:val="0"/>
      <w:color w:val="4F81BD" w:themeColor="accent1"/>
      <w:sz w:val="22"/>
      <w:szCs w:val="22"/>
      <w:lang w:val="pt-BR"/>
    </w:rPr>
  </w:style>
  <w:style w:type="paragraph" w:styleId="Ttulo5">
    <w:name w:val="heading 5"/>
    <w:basedOn w:val="Normal"/>
    <w:next w:val="Normal"/>
    <w:link w:val="Ttulo5Car"/>
    <w:uiPriority w:val="9"/>
    <w:unhideWhenUsed/>
    <w:qFormat/>
    <w:rsid w:val="000D17B3"/>
    <w:pPr>
      <w:keepNext/>
      <w:keepLines/>
      <w:widowControl w:val="0"/>
      <w:spacing w:before="200" w:line="276" w:lineRule="auto"/>
      <w:jc w:val="left"/>
      <w:outlineLvl w:val="4"/>
    </w:pPr>
    <w:rPr>
      <w:rFonts w:asciiTheme="majorHAnsi" w:eastAsiaTheme="majorEastAsia" w:hAnsiTheme="majorHAnsi" w:cstheme="majorBidi"/>
      <w:noProof w:val="0"/>
      <w:color w:val="243F60" w:themeColor="accent1" w:themeShade="7F"/>
      <w:sz w:val="22"/>
      <w:szCs w:val="22"/>
      <w:lang w:val="en-US"/>
    </w:rPr>
  </w:style>
  <w:style w:type="paragraph" w:styleId="Ttulo6">
    <w:name w:val="heading 6"/>
    <w:basedOn w:val="Normal"/>
    <w:next w:val="Normal"/>
    <w:link w:val="Ttulo6Car"/>
    <w:uiPriority w:val="9"/>
    <w:semiHidden/>
    <w:unhideWhenUsed/>
    <w:qFormat/>
    <w:rsid w:val="00C42183"/>
    <w:pPr>
      <w:keepNext/>
      <w:keepLines/>
      <w:spacing w:before="40"/>
      <w:jc w:val="left"/>
      <w:outlineLvl w:val="5"/>
    </w:pPr>
    <w:rPr>
      <w:rFonts w:asciiTheme="majorHAnsi" w:eastAsiaTheme="majorEastAsia" w:hAnsiTheme="majorHAnsi" w:cstheme="majorBidi"/>
      <w:noProof w:val="0"/>
      <w:color w:val="243F60" w:themeColor="accent1" w:themeShade="7F"/>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4DA"/>
    <w:rPr>
      <w:rFonts w:ascii="Verdana" w:eastAsia="Times New Roman" w:hAnsi="Verdana" w:cs="Verdana"/>
      <w:b/>
      <w:bCs/>
      <w:caps/>
      <w:noProof/>
      <w:snapToGrid w:val="0"/>
      <w:sz w:val="20"/>
      <w:szCs w:val="20"/>
      <w:lang w:val="es-CR" w:eastAsia="es-ES"/>
    </w:rPr>
  </w:style>
  <w:style w:type="paragraph" w:styleId="Ttulo">
    <w:name w:val="Title"/>
    <w:basedOn w:val="Normal"/>
    <w:link w:val="TtuloCar"/>
    <w:uiPriority w:val="10"/>
    <w:qFormat/>
    <w:rsid w:val="00DC44DA"/>
    <w:pPr>
      <w:jc w:val="center"/>
    </w:pPr>
    <w:rPr>
      <w:rFonts w:eastAsia="Times New Roman" w:cs="Times New Roman"/>
      <w:b/>
      <w:szCs w:val="20"/>
    </w:rPr>
  </w:style>
  <w:style w:type="character" w:customStyle="1" w:styleId="TtuloCar">
    <w:name w:val="Título Car"/>
    <w:basedOn w:val="Fuentedeprrafopredeter"/>
    <w:link w:val="Ttulo"/>
    <w:uiPriority w:val="10"/>
    <w:rsid w:val="00DC44DA"/>
    <w:rPr>
      <w:rFonts w:ascii="Verdana" w:eastAsia="Times New Roman" w:hAnsi="Verdana" w:cs="Times New Roman"/>
      <w:b/>
      <w:noProof/>
      <w:sz w:val="20"/>
      <w:szCs w:val="20"/>
      <w:lang w:val="es-ES_tradnl"/>
    </w:rPr>
  </w:style>
  <w:style w:type="paragraph" w:styleId="Subttulo">
    <w:name w:val="Subtitle"/>
    <w:basedOn w:val="Normal"/>
    <w:next w:val="Normal"/>
    <w:link w:val="SubttuloCar"/>
    <w:qFormat/>
    <w:rsid w:val="00DC44DA"/>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rsid w:val="00DC44DA"/>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qFormat/>
    <w:rsid w:val="00DC44DA"/>
    <w:pPr>
      <w:ind w:left="708"/>
    </w:pPr>
    <w:rPr>
      <w:rFonts w:eastAsia="Times New Roman" w:cs="Times New Roman"/>
      <w:szCs w:val="20"/>
    </w:rPr>
  </w:style>
  <w:style w:type="character" w:styleId="Hipervnculo">
    <w:name w:val="Hyperlink"/>
    <w:basedOn w:val="Fuentedeprrafopredeter"/>
    <w:uiPriority w:val="99"/>
    <w:unhideWhenUsed/>
    <w:rsid w:val="00DC44DA"/>
    <w:rPr>
      <w:color w:val="0000FF"/>
      <w:u w:val="single"/>
    </w:rPr>
  </w:style>
  <w:style w:type="paragraph" w:styleId="TDC1">
    <w:name w:val="toc 1"/>
    <w:basedOn w:val="Normal"/>
    <w:next w:val="Normal"/>
    <w:autoRedefine/>
    <w:uiPriority w:val="39"/>
    <w:unhideWhenUsed/>
    <w:qFormat/>
    <w:rsid w:val="009562E1"/>
    <w:pPr>
      <w:tabs>
        <w:tab w:val="right" w:leader="dot" w:pos="9356"/>
      </w:tabs>
    </w:pPr>
    <w:rPr>
      <w:rFonts w:ascii="Verdana Bold" w:hAnsi="Verdana Bold"/>
      <w:b/>
      <w:caps/>
      <w:sz w:val="18"/>
      <w:lang w:val="x-none"/>
    </w:rPr>
  </w:style>
  <w:style w:type="paragraph" w:styleId="TtuloTDC">
    <w:name w:val="TOC Heading"/>
    <w:basedOn w:val="Ttulo1"/>
    <w:next w:val="Normal"/>
    <w:uiPriority w:val="39"/>
    <w:unhideWhenUsed/>
    <w:qFormat/>
    <w:rsid w:val="00DC44DA"/>
    <w:pPr>
      <w:spacing w:before="480" w:after="0" w:line="276" w:lineRule="auto"/>
      <w:jc w:val="left"/>
      <w:outlineLvl w:val="9"/>
    </w:pPr>
    <w:rPr>
      <w:rFonts w:asciiTheme="majorHAnsi" w:eastAsiaTheme="majorEastAsia" w:hAnsiTheme="majorHAnsi" w:cstheme="majorBidi"/>
      <w:caps w:val="0"/>
      <w:noProof w:val="0"/>
      <w:snapToGrid/>
      <w:color w:val="365F91" w:themeColor="accent1" w:themeShade="BF"/>
      <w:sz w:val="28"/>
      <w:szCs w:val="28"/>
      <w:lang w:val="en-US" w:eastAsia="ja-JP"/>
    </w:rPr>
  </w:style>
  <w:style w:type="paragraph" w:styleId="TDC2">
    <w:name w:val="toc 2"/>
    <w:basedOn w:val="Normal"/>
    <w:next w:val="Normal"/>
    <w:autoRedefine/>
    <w:uiPriority w:val="39"/>
    <w:unhideWhenUsed/>
    <w:qFormat/>
    <w:rsid w:val="00DC44DA"/>
    <w:pPr>
      <w:spacing w:after="100" w:line="276" w:lineRule="auto"/>
      <w:ind w:left="220"/>
      <w:jc w:val="left"/>
    </w:pPr>
    <w:rPr>
      <w:rFonts w:asciiTheme="minorHAnsi" w:eastAsiaTheme="minorEastAsia" w:hAnsiTheme="minorHAnsi" w:cstheme="minorBidi"/>
      <w:noProof w:val="0"/>
      <w:sz w:val="22"/>
      <w:szCs w:val="22"/>
      <w:lang w:val="en-US" w:eastAsia="ja-JP"/>
    </w:rPr>
  </w:style>
  <w:style w:type="paragraph" w:styleId="Textodeglobo">
    <w:name w:val="Balloon Text"/>
    <w:basedOn w:val="Normal"/>
    <w:link w:val="TextodegloboCar"/>
    <w:uiPriority w:val="99"/>
    <w:semiHidden/>
    <w:unhideWhenUsed/>
    <w:rsid w:val="00DC44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4DA"/>
    <w:rPr>
      <w:rFonts w:ascii="Tahoma" w:eastAsia="Batang" w:hAnsi="Tahoma" w:cs="Tahoma"/>
      <w:noProof/>
      <w:sz w:val="16"/>
      <w:szCs w:val="16"/>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F162A7"/>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iPriority w:val="99"/>
    <w:unhideWhenUsed/>
    <w:qFormat/>
    <w:rsid w:val="00F162A7"/>
    <w:pPr>
      <w:spacing w:before="120" w:after="120"/>
    </w:pPr>
    <w:rPr>
      <w:noProof w:val="0"/>
      <w:sz w:val="16"/>
      <w:szCs w:val="20"/>
    </w:rPr>
  </w:style>
  <w:style w:type="character" w:customStyle="1" w:styleId="FootnoteTextChar">
    <w:name w:val="Footnote Text Char"/>
    <w:aliases w:val="footnote text Char,FA Fußnotentext Char,Car Char,C Char,FA Fuﬂnotentext Char"/>
    <w:basedOn w:val="Fuentedeprrafopredeter"/>
    <w:uiPriority w:val="99"/>
    <w:qFormat/>
    <w:rsid w:val="00F162A7"/>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Footnote Text Char Char Char Char Char Car,Footnote Text Char Char Char Char Car,Footnote reference Car,Footnote Text Char Char Char Car,Footnote Text Cha Car,FA Fußnotentext Car"/>
    <w:basedOn w:val="Fuentedeprrafopredeter"/>
    <w:link w:val="Textonotapie"/>
    <w:uiPriority w:val="99"/>
    <w:qFormat/>
    <w:rsid w:val="00F162A7"/>
    <w:rPr>
      <w:rFonts w:ascii="Verdana" w:eastAsia="Batang" w:hAnsi="Verdana" w:cs="Times"/>
      <w:sz w:val="16"/>
      <w:szCs w:val="20"/>
      <w:lang w:val="es-ES_tradnl"/>
    </w:rPr>
  </w:style>
  <w:style w:type="paragraph" w:styleId="Textocomentario">
    <w:name w:val="annotation text"/>
    <w:basedOn w:val="Normal"/>
    <w:link w:val="TextocomentarioCar"/>
    <w:uiPriority w:val="99"/>
    <w:unhideWhenUsed/>
    <w:rsid w:val="00F162A7"/>
    <w:rPr>
      <w:szCs w:val="20"/>
    </w:rPr>
  </w:style>
  <w:style w:type="character" w:customStyle="1" w:styleId="TextocomentarioCar">
    <w:name w:val="Texto comentario Car"/>
    <w:basedOn w:val="Fuentedeprrafopredeter"/>
    <w:link w:val="Textocomentario"/>
    <w:uiPriority w:val="99"/>
    <w:rsid w:val="00F162A7"/>
    <w:rPr>
      <w:rFonts w:ascii="Verdana" w:eastAsia="Batang" w:hAnsi="Verdana" w:cs="Times"/>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162A7"/>
    <w:rPr>
      <w:b/>
      <w:bCs/>
      <w:noProof w:val="0"/>
    </w:rPr>
  </w:style>
  <w:style w:type="character" w:customStyle="1" w:styleId="AsuntodelcomentarioCar">
    <w:name w:val="Asunto del comentario Car"/>
    <w:basedOn w:val="TextocomentarioCar"/>
    <w:link w:val="Asuntodelcomentario"/>
    <w:uiPriority w:val="99"/>
    <w:semiHidden/>
    <w:rsid w:val="00F162A7"/>
    <w:rPr>
      <w:rFonts w:ascii="Verdana" w:eastAsia="Batang" w:hAnsi="Verdana" w:cs="Times"/>
      <w:b/>
      <w:bCs/>
      <w:noProof/>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62A7"/>
    <w:rPr>
      <w:rFonts w:asciiTheme="minorHAnsi" w:eastAsiaTheme="minorHAnsi" w:hAnsiTheme="minorHAnsi" w:cs="Times New Roman"/>
      <w:noProof w:val="0"/>
      <w:sz w:val="22"/>
      <w:szCs w:val="20"/>
      <w:vertAlign w:val="superscript"/>
      <w:lang w:val="en-US"/>
    </w:rPr>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462A40"/>
    <w:pPr>
      <w:ind w:left="720"/>
      <w:contextualSpacing/>
    </w:pPr>
    <w:rPr>
      <w:noProof w:val="0"/>
    </w:rPr>
  </w:style>
  <w:style w:type="character" w:customStyle="1" w:styleId="PrrafodelistaCar">
    <w:name w:val="Párrafo de lista Car"/>
    <w:aliases w:val="Footnote Car,List Paragraph1 Car,Colorful List - Accent 11 Car,Párrafo de lista1 Car,List Paragraph2 Car,Lista vistosa - Énfasis 11 Car"/>
    <w:basedOn w:val="Fuentedeprrafopredeter"/>
    <w:link w:val="Prrafodelista"/>
    <w:uiPriority w:val="34"/>
    <w:locked/>
    <w:rsid w:val="00462A40"/>
    <w:rPr>
      <w:rFonts w:ascii="Verdana" w:eastAsia="Batang" w:hAnsi="Verdana" w:cs="Times"/>
      <w:sz w:val="20"/>
      <w:szCs w:val="24"/>
      <w:lang w:val="es-ES_tradnl"/>
    </w:rPr>
  </w:style>
  <w:style w:type="character" w:customStyle="1" w:styleId="Estilo1Car">
    <w:name w:val="Estilo1 Car"/>
    <w:basedOn w:val="Fuentedeprrafopredeter"/>
    <w:link w:val="Estilo1"/>
    <w:locked/>
    <w:rsid w:val="009B1CA2"/>
    <w:rPr>
      <w:rFonts w:ascii="Verdana" w:eastAsia="Batang" w:hAnsi="Verdana" w:cs="Times"/>
      <w:i/>
      <w:sz w:val="20"/>
      <w:szCs w:val="24"/>
      <w:lang w:val="es-ES_tradnl"/>
    </w:rPr>
  </w:style>
  <w:style w:type="paragraph" w:customStyle="1" w:styleId="Estilo1">
    <w:name w:val="Estilo1"/>
    <w:basedOn w:val="Normal"/>
    <w:link w:val="Estilo1Car"/>
    <w:qFormat/>
    <w:rsid w:val="009B1CA2"/>
    <w:pPr>
      <w:spacing w:after="120"/>
      <w:ind w:left="2018" w:right="6" w:hanging="180"/>
    </w:pPr>
    <w:rPr>
      <w:i/>
      <w:noProof w:val="0"/>
    </w:rPr>
  </w:style>
  <w:style w:type="character" w:styleId="Textoennegrita">
    <w:name w:val="Strong"/>
    <w:aliases w:val="Heading 2.1"/>
    <w:basedOn w:val="Fuentedeprrafopredeter"/>
    <w:uiPriority w:val="22"/>
    <w:qFormat/>
    <w:rsid w:val="00710FAC"/>
    <w:rPr>
      <w:b/>
      <w:bCs/>
    </w:rPr>
  </w:style>
  <w:style w:type="character" w:styleId="Refdecomentario">
    <w:name w:val="annotation reference"/>
    <w:basedOn w:val="Fuentedeprrafopredeter"/>
    <w:uiPriority w:val="99"/>
    <w:semiHidden/>
    <w:unhideWhenUsed/>
    <w:rsid w:val="00CB1036"/>
    <w:rPr>
      <w:sz w:val="16"/>
      <w:szCs w:val="16"/>
    </w:rPr>
  </w:style>
  <w:style w:type="character" w:customStyle="1" w:styleId="Ttulo2Car">
    <w:name w:val="Título 2 Car"/>
    <w:basedOn w:val="Fuentedeprrafopredeter"/>
    <w:link w:val="Ttulo2"/>
    <w:uiPriority w:val="9"/>
    <w:rsid w:val="00F441D1"/>
    <w:rPr>
      <w:rFonts w:ascii="Verdana" w:hAnsi="Verdana" w:cs="Arial"/>
      <w:b/>
      <w:sz w:val="20"/>
      <w:szCs w:val="20"/>
      <w:lang w:val="es-CR"/>
    </w:rPr>
  </w:style>
  <w:style w:type="character" w:customStyle="1" w:styleId="Ttulo3Car">
    <w:name w:val="Título 3 Car"/>
    <w:basedOn w:val="Fuentedeprrafopredeter"/>
    <w:link w:val="Ttulo3"/>
    <w:uiPriority w:val="9"/>
    <w:rsid w:val="00F441D1"/>
    <w:rPr>
      <w:rFonts w:ascii="Verdana" w:hAnsi="Verdana" w:cs="Arial"/>
      <w:b/>
      <w:i/>
      <w:sz w:val="20"/>
      <w:szCs w:val="20"/>
      <w:lang w:val="es-CR"/>
    </w:rPr>
  </w:style>
  <w:style w:type="character" w:customStyle="1" w:styleId="Ttulo4Car">
    <w:name w:val="Título 4 Car"/>
    <w:basedOn w:val="Fuentedeprrafopredeter"/>
    <w:link w:val="Ttulo4"/>
    <w:uiPriority w:val="9"/>
    <w:rsid w:val="000D17B3"/>
    <w:rPr>
      <w:rFonts w:asciiTheme="majorHAnsi" w:eastAsiaTheme="majorEastAsia" w:hAnsiTheme="majorHAnsi" w:cstheme="majorBidi"/>
      <w:b/>
      <w:bCs/>
      <w:i/>
      <w:iCs/>
      <w:color w:val="4F81BD" w:themeColor="accent1"/>
      <w:lang w:val="pt-BR"/>
    </w:rPr>
  </w:style>
  <w:style w:type="character" w:customStyle="1" w:styleId="Ttulo5Car">
    <w:name w:val="Título 5 Car"/>
    <w:basedOn w:val="Fuentedeprrafopredeter"/>
    <w:link w:val="Ttulo5"/>
    <w:uiPriority w:val="9"/>
    <w:rsid w:val="000D17B3"/>
    <w:rPr>
      <w:rFonts w:asciiTheme="majorHAnsi" w:eastAsiaTheme="majorEastAsia" w:hAnsiTheme="majorHAnsi" w:cstheme="majorBidi"/>
      <w:color w:val="243F60" w:themeColor="accent1" w:themeShade="7F"/>
    </w:rPr>
  </w:style>
  <w:style w:type="paragraph" w:styleId="Textodebloque">
    <w:name w:val="Block Text"/>
    <w:basedOn w:val="Normal"/>
    <w:uiPriority w:val="99"/>
    <w:unhideWhenUsed/>
    <w:rsid w:val="000D17B3"/>
    <w:pPr>
      <w:tabs>
        <w:tab w:val="left" w:pos="851"/>
      </w:tabs>
      <w:autoSpaceDE w:val="0"/>
      <w:autoSpaceDN w:val="0"/>
      <w:adjustRightInd w:val="0"/>
      <w:ind w:left="567" w:right="571"/>
    </w:pPr>
    <w:rPr>
      <w:rFonts w:eastAsiaTheme="minorHAnsi" w:cs="Arial"/>
      <w:noProof w:val="0"/>
      <w:szCs w:val="20"/>
      <w:lang w:val="es-CR"/>
    </w:rPr>
  </w:style>
  <w:style w:type="paragraph" w:styleId="Encabezado">
    <w:name w:val="header"/>
    <w:basedOn w:val="Normal"/>
    <w:link w:val="EncabezadoCar"/>
    <w:uiPriority w:val="99"/>
    <w:unhideWhenUsed/>
    <w:rsid w:val="000D17B3"/>
    <w:pPr>
      <w:tabs>
        <w:tab w:val="center" w:pos="4680"/>
        <w:tab w:val="right" w:pos="9360"/>
      </w:tabs>
      <w:jc w:val="left"/>
    </w:pPr>
    <w:rPr>
      <w:rFonts w:asciiTheme="minorHAnsi" w:eastAsiaTheme="minorHAnsi" w:hAnsiTheme="minorHAnsi" w:cstheme="minorBidi"/>
      <w:noProof w:val="0"/>
      <w:sz w:val="22"/>
      <w:szCs w:val="22"/>
      <w:lang w:val="pt-BR"/>
    </w:rPr>
  </w:style>
  <w:style w:type="character" w:customStyle="1" w:styleId="EncabezadoCar">
    <w:name w:val="Encabezado Car"/>
    <w:basedOn w:val="Fuentedeprrafopredeter"/>
    <w:link w:val="Encabezado"/>
    <w:uiPriority w:val="99"/>
    <w:rsid w:val="000D17B3"/>
    <w:rPr>
      <w:lang w:val="pt-BR"/>
    </w:rPr>
  </w:style>
  <w:style w:type="paragraph" w:styleId="Piedepgina">
    <w:name w:val="footer"/>
    <w:basedOn w:val="Normal"/>
    <w:link w:val="PiedepginaCar"/>
    <w:uiPriority w:val="99"/>
    <w:unhideWhenUsed/>
    <w:rsid w:val="000D17B3"/>
    <w:pPr>
      <w:tabs>
        <w:tab w:val="center" w:pos="4680"/>
        <w:tab w:val="right" w:pos="9360"/>
      </w:tabs>
      <w:jc w:val="left"/>
    </w:pPr>
    <w:rPr>
      <w:rFonts w:asciiTheme="minorHAnsi" w:eastAsiaTheme="minorHAnsi" w:hAnsiTheme="minorHAnsi" w:cstheme="minorBidi"/>
      <w:noProof w:val="0"/>
      <w:sz w:val="22"/>
      <w:szCs w:val="22"/>
      <w:lang w:val="pt-BR"/>
    </w:rPr>
  </w:style>
  <w:style w:type="character" w:customStyle="1" w:styleId="PiedepginaCar">
    <w:name w:val="Pie de página Car"/>
    <w:basedOn w:val="Fuentedeprrafopredeter"/>
    <w:link w:val="Piedepgina"/>
    <w:uiPriority w:val="99"/>
    <w:rsid w:val="000D17B3"/>
    <w:rPr>
      <w:lang w:val="pt-BR"/>
    </w:rPr>
  </w:style>
  <w:style w:type="paragraph" w:styleId="TDC3">
    <w:name w:val="toc 3"/>
    <w:basedOn w:val="Normal"/>
    <w:next w:val="Normal"/>
    <w:autoRedefine/>
    <w:uiPriority w:val="39"/>
    <w:unhideWhenUsed/>
    <w:rsid w:val="000D17B3"/>
    <w:pPr>
      <w:spacing w:after="100" w:line="276" w:lineRule="auto"/>
      <w:ind w:left="440"/>
      <w:jc w:val="left"/>
    </w:pPr>
    <w:rPr>
      <w:rFonts w:asciiTheme="minorHAnsi" w:eastAsiaTheme="minorHAnsi" w:hAnsiTheme="minorHAnsi" w:cstheme="minorBidi"/>
      <w:noProof w:val="0"/>
      <w:sz w:val="22"/>
      <w:szCs w:val="22"/>
      <w:lang w:val="pt-BR"/>
    </w:rPr>
  </w:style>
  <w:style w:type="paragraph" w:customStyle="1" w:styleId="2Footnotes">
    <w:name w:val="2. Footnotes"/>
    <w:basedOn w:val="Textonotapie"/>
    <w:link w:val="2FootnotesChar"/>
    <w:autoRedefine/>
    <w:qFormat/>
    <w:rsid w:val="003D3269"/>
    <w:rPr>
      <w:rFonts w:eastAsia="Times New Roman" w:cs="Palatino-Italic"/>
      <w:iCs/>
      <w:szCs w:val="18"/>
      <w:lang w:val="es-ES"/>
    </w:rPr>
  </w:style>
  <w:style w:type="character" w:customStyle="1" w:styleId="2FootnotesChar">
    <w:name w:val="2. Footnotes Char"/>
    <w:link w:val="2Footnotes"/>
    <w:rsid w:val="003D3269"/>
    <w:rPr>
      <w:rFonts w:ascii="Verdana" w:eastAsia="Times New Roman" w:hAnsi="Verdana" w:cs="Palatino-Italic"/>
      <w:iCs/>
      <w:sz w:val="16"/>
      <w:szCs w:val="18"/>
      <w:lang w:val="es-ES"/>
    </w:rPr>
  </w:style>
  <w:style w:type="paragraph" w:customStyle="1" w:styleId="Heading23">
    <w:name w:val="Heading 2.3"/>
    <w:basedOn w:val="Normal"/>
    <w:uiPriority w:val="99"/>
    <w:qFormat/>
    <w:rsid w:val="00D20049"/>
    <w:rPr>
      <w:rFonts w:eastAsia="Calibri" w:cs="Times New Roman"/>
      <w:noProof w:val="0"/>
      <w:sz w:val="16"/>
      <w:szCs w:val="16"/>
      <w:vertAlign w:val="superscript"/>
      <w:lang w:val="x-none" w:eastAsia="x-none"/>
    </w:rPr>
  </w:style>
  <w:style w:type="paragraph" w:customStyle="1" w:styleId="PrrafodeSentencia">
    <w:name w:val="*. Párrafo de Sentencia"/>
    <w:basedOn w:val="Textonotapie"/>
    <w:link w:val="PrrafodeSentenciaChar"/>
    <w:autoRedefine/>
    <w:qFormat/>
    <w:rsid w:val="003C2AC6"/>
    <w:pPr>
      <w:tabs>
        <w:tab w:val="left" w:pos="709"/>
      </w:tabs>
      <w:spacing w:before="0" w:after="0"/>
    </w:pPr>
    <w:rPr>
      <w:rFonts w:eastAsia="Calibri" w:cs="Verdana"/>
      <w:b/>
      <w:bCs/>
      <w:iCs/>
      <w:noProof/>
      <w:sz w:val="20"/>
      <w:u w:color="000000"/>
      <w:lang w:val="es-MX" w:eastAsia="es-CR"/>
    </w:rPr>
  </w:style>
  <w:style w:type="character" w:customStyle="1" w:styleId="TextonotapieCar">
    <w:name w:val="Texto nota pie Car"/>
    <w:aliases w:val="Car Car"/>
    <w:basedOn w:val="Fuentedeprrafopredeter"/>
    <w:uiPriority w:val="99"/>
    <w:qFormat/>
    <w:rsid w:val="00F46845"/>
    <w:rPr>
      <w:rFonts w:ascii="Calibri" w:eastAsia="Calibri" w:hAnsi="Calibri" w:cs="Times New Roman"/>
      <w:sz w:val="20"/>
      <w:szCs w:val="20"/>
      <w:lang w:val="es-CR" w:eastAsia="es-CR"/>
    </w:rPr>
  </w:style>
  <w:style w:type="character" w:customStyle="1" w:styleId="PrrafodeSentenciaChar">
    <w:name w:val="*. Párrafo de Sentencia Char"/>
    <w:basedOn w:val="Fuentedeprrafopredeter"/>
    <w:link w:val="PrrafodeSentencia"/>
    <w:rsid w:val="003C2AC6"/>
    <w:rPr>
      <w:rFonts w:ascii="Verdana" w:eastAsia="Calibri" w:hAnsi="Verdana" w:cs="Verdana"/>
      <w:b/>
      <w:bCs/>
      <w:iCs/>
      <w:noProof/>
      <w:sz w:val="20"/>
      <w:szCs w:val="20"/>
      <w:u w:color="000000"/>
      <w:lang w:val="es-MX" w:eastAsia="es-CR"/>
    </w:rPr>
  </w:style>
  <w:style w:type="paragraph" w:customStyle="1" w:styleId="Default">
    <w:name w:val="Default"/>
    <w:rsid w:val="00F46845"/>
    <w:pPr>
      <w:autoSpaceDE w:val="0"/>
      <w:autoSpaceDN w:val="0"/>
      <w:adjustRightInd w:val="0"/>
      <w:spacing w:after="0" w:line="240" w:lineRule="auto"/>
    </w:pPr>
    <w:rPr>
      <w:rFonts w:ascii="Arial" w:eastAsia="MS Mincho" w:hAnsi="Arial" w:cs="Arial"/>
      <w:color w:val="000000"/>
      <w:sz w:val="24"/>
      <w:szCs w:val="24"/>
    </w:rPr>
  </w:style>
  <w:style w:type="character" w:styleId="Hipervnculovisitado">
    <w:name w:val="FollowedHyperlink"/>
    <w:basedOn w:val="Fuentedeprrafopredeter"/>
    <w:uiPriority w:val="99"/>
    <w:semiHidden/>
    <w:unhideWhenUsed/>
    <w:rsid w:val="00F46845"/>
    <w:rPr>
      <w:color w:val="800080" w:themeColor="followedHyperlink"/>
      <w:u w:val="single"/>
    </w:rPr>
  </w:style>
  <w:style w:type="character" w:customStyle="1" w:styleId="Ttulodelibro">
    <w:name w:val="Título de libro"/>
    <w:uiPriority w:val="33"/>
    <w:qFormat/>
    <w:rsid w:val="00F46845"/>
    <w:rPr>
      <w:b/>
      <w:bCs/>
      <w:smallCaps/>
      <w:spacing w:val="5"/>
    </w:rPr>
  </w:style>
  <w:style w:type="paragraph" w:styleId="Sinespaciado">
    <w:name w:val="No Spacing"/>
    <w:link w:val="SinespaciadoCar"/>
    <w:uiPriority w:val="1"/>
    <w:qFormat/>
    <w:rsid w:val="00F46845"/>
    <w:pPr>
      <w:spacing w:after="0" w:line="240" w:lineRule="auto"/>
    </w:pPr>
    <w:rPr>
      <w:rFonts w:ascii="Calibri" w:eastAsia="Calibri" w:hAnsi="Calibri" w:cs="Times New Roman"/>
    </w:rPr>
  </w:style>
  <w:style w:type="table" w:styleId="Listavistosa-nfasis1">
    <w:name w:val="Colorful List Accent 1"/>
    <w:basedOn w:val="Tablanormal"/>
    <w:uiPriority w:val="99"/>
    <w:rsid w:val="00F46845"/>
    <w:pPr>
      <w:spacing w:after="0" w:line="240" w:lineRule="auto"/>
    </w:pPr>
    <w:rPr>
      <w:rFonts w:ascii="Calibri" w:eastAsia="Times New Roman" w:hAnsi="Calibri" w:cs="Times New Roman"/>
      <w:sz w:val="20"/>
      <w:szCs w:val="20"/>
      <w:lang w:val="es-CR" w:eastAsia="es-C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n">
    <w:name w:val="Revision"/>
    <w:hidden/>
    <w:uiPriority w:val="99"/>
    <w:semiHidden/>
    <w:rsid w:val="00F46845"/>
    <w:pPr>
      <w:spacing w:after="0" w:line="240" w:lineRule="auto"/>
    </w:pPr>
    <w:rPr>
      <w:rFonts w:ascii="Calibri" w:eastAsia="Calibri" w:hAnsi="Calibri" w:cs="Times New Roman"/>
      <w:sz w:val="20"/>
      <w:szCs w:val="20"/>
      <w:lang w:val="es-CR" w:eastAsia="es-CR"/>
    </w:rPr>
  </w:style>
  <w:style w:type="paragraph" w:styleId="NormalWeb">
    <w:name w:val="Normal (Web)"/>
    <w:aliases w:val="Normal (Web) Char1,Normal (Web) Char Char,Normal (Web) Char1 Char,Normal (Web) Char Char Char"/>
    <w:basedOn w:val="Normal"/>
    <w:uiPriority w:val="99"/>
    <w:unhideWhenUsed/>
    <w:rsid w:val="00F46845"/>
    <w:pPr>
      <w:spacing w:before="100" w:beforeAutospacing="1" w:after="100" w:afterAutospacing="1"/>
      <w:jc w:val="left"/>
    </w:pPr>
    <w:rPr>
      <w:rFonts w:ascii="Times New Roman" w:eastAsia="Times New Roman" w:hAnsi="Times New Roman" w:cs="Times New Roman"/>
      <w:noProof w:val="0"/>
      <w:sz w:val="24"/>
      <w:lang w:val="en-US"/>
    </w:rPr>
  </w:style>
  <w:style w:type="character" w:customStyle="1" w:styleId="ListParagraphChar1">
    <w:name w:val="List Paragraph Char1"/>
    <w:aliases w:val="Colorful List - Accent 11 Char1,Lista vistosa - Énfasis 11 Char1,Párrafo de lista1 Char1,List Paragraph1 Char1,List Paragraph2 Char1,Footnote Char1"/>
    <w:locked/>
    <w:rsid w:val="00F46845"/>
    <w:rPr>
      <w:rFonts w:ascii="Cambria" w:eastAsia="Cambria" w:hAnsi="Cambria" w:cs="Cambria"/>
      <w:color w:val="000000"/>
      <w:sz w:val="24"/>
      <w:szCs w:val="24"/>
      <w:u w:color="000000"/>
      <w:lang w:val="en-US" w:eastAsia="es-ES"/>
    </w:rPr>
  </w:style>
  <w:style w:type="paragraph" w:customStyle="1" w:styleId="Estilo7">
    <w:name w:val="Estilo7"/>
    <w:basedOn w:val="Normal"/>
    <w:qFormat/>
    <w:rsid w:val="00F46845"/>
    <w:pPr>
      <w:numPr>
        <w:ilvl w:val="2"/>
        <w:numId w:val="11"/>
      </w:numPr>
      <w:tabs>
        <w:tab w:val="left" w:pos="567"/>
        <w:tab w:val="left" w:pos="851"/>
      </w:tabs>
      <w:spacing w:before="120" w:after="120"/>
    </w:pPr>
    <w:rPr>
      <w:rFonts w:cs="Times New Roman"/>
      <w:b/>
      <w:i/>
      <w:noProof w:val="0"/>
      <w:szCs w:val="20"/>
      <w:lang w:eastAsia="es-MX"/>
    </w:rPr>
  </w:style>
  <w:style w:type="paragraph" w:customStyle="1" w:styleId="Textoindependiente2">
    <w:name w:val="Texto independiente2"/>
    <w:basedOn w:val="Normal"/>
    <w:rsid w:val="00F46845"/>
    <w:pPr>
      <w:widowControl w:val="0"/>
    </w:pPr>
    <w:rPr>
      <w:rFonts w:ascii="Times" w:eastAsia="Times New Roman" w:hAnsi="Times" w:cs="Times New Roman"/>
      <w:noProof w:val="0"/>
      <w:sz w:val="24"/>
      <w:szCs w:val="20"/>
      <w:lang w:val="es-ES" w:eastAsia="es-CR"/>
    </w:rPr>
  </w:style>
  <w:style w:type="character" w:customStyle="1" w:styleId="Ttulo6Car">
    <w:name w:val="Título 6 Car"/>
    <w:basedOn w:val="Fuentedeprrafopredeter"/>
    <w:link w:val="Ttulo6"/>
    <w:uiPriority w:val="9"/>
    <w:semiHidden/>
    <w:rsid w:val="00C42183"/>
    <w:rPr>
      <w:rFonts w:asciiTheme="majorHAnsi" w:eastAsiaTheme="majorEastAsia" w:hAnsiTheme="majorHAnsi" w:cstheme="majorBidi"/>
      <w:color w:val="243F60" w:themeColor="accent1" w:themeShade="7F"/>
      <w:sz w:val="20"/>
      <w:szCs w:val="20"/>
      <w:lang w:val="es-CR" w:eastAsia="es-CR"/>
    </w:rPr>
  </w:style>
  <w:style w:type="character" w:customStyle="1" w:styleId="SinespaciadoCar">
    <w:name w:val="Sin espaciado Car"/>
    <w:basedOn w:val="Fuentedeprrafopredeter"/>
    <w:link w:val="Sinespaciado"/>
    <w:uiPriority w:val="1"/>
    <w:rsid w:val="00C42183"/>
    <w:rPr>
      <w:rFonts w:ascii="Calibri" w:eastAsia="Calibri" w:hAnsi="Calibri" w:cs="Times New Roman"/>
    </w:rPr>
  </w:style>
  <w:style w:type="numbering" w:customStyle="1" w:styleId="NoList1">
    <w:name w:val="No List1"/>
    <w:next w:val="Sinlista"/>
    <w:uiPriority w:val="99"/>
    <w:semiHidden/>
    <w:unhideWhenUsed/>
    <w:rsid w:val="006F704E"/>
  </w:style>
  <w:style w:type="paragraph" w:customStyle="1" w:styleId="Footnotes">
    <w:name w:val="**. Footnotes"/>
    <w:basedOn w:val="Textonotapie"/>
    <w:link w:val="FootnotesChar"/>
    <w:qFormat/>
    <w:rsid w:val="006F704E"/>
    <w:pPr>
      <w:tabs>
        <w:tab w:val="left" w:pos="567"/>
      </w:tabs>
      <w:spacing w:before="0" w:after="0"/>
    </w:pPr>
    <w:rPr>
      <w:rFonts w:eastAsia="Times New Roman" w:cs="Palatino-Italic"/>
      <w:iCs/>
      <w:spacing w:val="-4"/>
      <w:szCs w:val="16"/>
      <w:lang w:val="es-ES" w:bidi="en-US"/>
    </w:rPr>
  </w:style>
  <w:style w:type="character" w:customStyle="1" w:styleId="FootnotesChar">
    <w:name w:val="**. Footnotes Char"/>
    <w:basedOn w:val="Fuentedeprrafopredeter"/>
    <w:link w:val="Footnotes"/>
    <w:rsid w:val="006F704E"/>
    <w:rPr>
      <w:rFonts w:ascii="Verdana" w:eastAsia="Times New Roman" w:hAnsi="Verdana" w:cs="Palatino-Italic"/>
      <w:iCs/>
      <w:spacing w:val="-4"/>
      <w:sz w:val="16"/>
      <w:szCs w:val="16"/>
      <w:lang w:val="es-ES" w:bidi="en-US"/>
    </w:rPr>
  </w:style>
  <w:style w:type="table" w:styleId="Tablaconcuadrcula">
    <w:name w:val="Table Grid"/>
    <w:basedOn w:val="Tablanormal"/>
    <w:uiPriority w:val="59"/>
    <w:rsid w:val="00C571E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1719F"/>
  </w:style>
  <w:style w:type="paragraph" w:customStyle="1" w:styleId="Prrafodelista2">
    <w:name w:val="Párrafo de lista2"/>
    <w:basedOn w:val="Normal"/>
    <w:uiPriority w:val="99"/>
    <w:rsid w:val="0060553A"/>
    <w:pPr>
      <w:ind w:left="720"/>
      <w:jc w:val="left"/>
    </w:pPr>
    <w:rPr>
      <w:rFonts w:eastAsia="MS Mincho" w:cs="Times New Roman"/>
      <w:noProof w:val="0"/>
      <w:szCs w:val="20"/>
      <w:lang w:bidi="en-US"/>
    </w:rPr>
  </w:style>
  <w:style w:type="paragraph" w:styleId="Textonotaalfinal">
    <w:name w:val="endnote text"/>
    <w:basedOn w:val="Normal"/>
    <w:link w:val="TextonotaalfinalCar"/>
    <w:uiPriority w:val="99"/>
    <w:semiHidden/>
    <w:unhideWhenUsed/>
    <w:rsid w:val="00EE1E0E"/>
    <w:rPr>
      <w:szCs w:val="20"/>
    </w:rPr>
  </w:style>
  <w:style w:type="character" w:customStyle="1" w:styleId="TextonotaalfinalCar">
    <w:name w:val="Texto nota al final Car"/>
    <w:basedOn w:val="Fuentedeprrafopredeter"/>
    <w:link w:val="Textonotaalfinal"/>
    <w:uiPriority w:val="99"/>
    <w:semiHidden/>
    <w:rsid w:val="00EE1E0E"/>
    <w:rPr>
      <w:rFonts w:ascii="Verdana" w:eastAsia="Batang" w:hAnsi="Verdana" w:cs="Times"/>
      <w:noProof/>
      <w:sz w:val="20"/>
      <w:szCs w:val="20"/>
      <w:lang w:val="es-ES_tradnl"/>
    </w:rPr>
  </w:style>
  <w:style w:type="character" w:styleId="Refdenotaalfinal">
    <w:name w:val="endnote reference"/>
    <w:basedOn w:val="Fuentedeprrafopredeter"/>
    <w:uiPriority w:val="99"/>
    <w:semiHidden/>
    <w:unhideWhenUsed/>
    <w:rsid w:val="00EE1E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6336">
      <w:bodyDiv w:val="1"/>
      <w:marLeft w:val="0"/>
      <w:marRight w:val="0"/>
      <w:marTop w:val="0"/>
      <w:marBottom w:val="0"/>
      <w:divBdr>
        <w:top w:val="none" w:sz="0" w:space="0" w:color="auto"/>
        <w:left w:val="none" w:sz="0" w:space="0" w:color="auto"/>
        <w:bottom w:val="none" w:sz="0" w:space="0" w:color="auto"/>
        <w:right w:val="none" w:sz="0" w:space="0" w:color="auto"/>
      </w:divBdr>
    </w:div>
    <w:div w:id="64031217">
      <w:bodyDiv w:val="1"/>
      <w:marLeft w:val="0"/>
      <w:marRight w:val="0"/>
      <w:marTop w:val="0"/>
      <w:marBottom w:val="0"/>
      <w:divBdr>
        <w:top w:val="none" w:sz="0" w:space="0" w:color="auto"/>
        <w:left w:val="none" w:sz="0" w:space="0" w:color="auto"/>
        <w:bottom w:val="none" w:sz="0" w:space="0" w:color="auto"/>
        <w:right w:val="none" w:sz="0" w:space="0" w:color="auto"/>
      </w:divBdr>
    </w:div>
    <w:div w:id="86850781">
      <w:bodyDiv w:val="1"/>
      <w:marLeft w:val="0"/>
      <w:marRight w:val="0"/>
      <w:marTop w:val="0"/>
      <w:marBottom w:val="0"/>
      <w:divBdr>
        <w:top w:val="none" w:sz="0" w:space="0" w:color="auto"/>
        <w:left w:val="none" w:sz="0" w:space="0" w:color="auto"/>
        <w:bottom w:val="none" w:sz="0" w:space="0" w:color="auto"/>
        <w:right w:val="none" w:sz="0" w:space="0" w:color="auto"/>
      </w:divBdr>
    </w:div>
    <w:div w:id="338389637">
      <w:bodyDiv w:val="1"/>
      <w:marLeft w:val="0"/>
      <w:marRight w:val="0"/>
      <w:marTop w:val="0"/>
      <w:marBottom w:val="0"/>
      <w:divBdr>
        <w:top w:val="none" w:sz="0" w:space="0" w:color="auto"/>
        <w:left w:val="none" w:sz="0" w:space="0" w:color="auto"/>
        <w:bottom w:val="none" w:sz="0" w:space="0" w:color="auto"/>
        <w:right w:val="none" w:sz="0" w:space="0" w:color="auto"/>
      </w:divBdr>
    </w:div>
    <w:div w:id="438380781">
      <w:bodyDiv w:val="1"/>
      <w:marLeft w:val="0"/>
      <w:marRight w:val="0"/>
      <w:marTop w:val="0"/>
      <w:marBottom w:val="0"/>
      <w:divBdr>
        <w:top w:val="none" w:sz="0" w:space="0" w:color="auto"/>
        <w:left w:val="none" w:sz="0" w:space="0" w:color="auto"/>
        <w:bottom w:val="none" w:sz="0" w:space="0" w:color="auto"/>
        <w:right w:val="none" w:sz="0" w:space="0" w:color="auto"/>
      </w:divBdr>
    </w:div>
    <w:div w:id="535898245">
      <w:bodyDiv w:val="1"/>
      <w:marLeft w:val="0"/>
      <w:marRight w:val="0"/>
      <w:marTop w:val="0"/>
      <w:marBottom w:val="0"/>
      <w:divBdr>
        <w:top w:val="none" w:sz="0" w:space="0" w:color="auto"/>
        <w:left w:val="none" w:sz="0" w:space="0" w:color="auto"/>
        <w:bottom w:val="none" w:sz="0" w:space="0" w:color="auto"/>
        <w:right w:val="none" w:sz="0" w:space="0" w:color="auto"/>
      </w:divBdr>
    </w:div>
    <w:div w:id="547376578">
      <w:bodyDiv w:val="1"/>
      <w:marLeft w:val="0"/>
      <w:marRight w:val="0"/>
      <w:marTop w:val="0"/>
      <w:marBottom w:val="0"/>
      <w:divBdr>
        <w:top w:val="none" w:sz="0" w:space="0" w:color="auto"/>
        <w:left w:val="none" w:sz="0" w:space="0" w:color="auto"/>
        <w:bottom w:val="none" w:sz="0" w:space="0" w:color="auto"/>
        <w:right w:val="none" w:sz="0" w:space="0" w:color="auto"/>
      </w:divBdr>
    </w:div>
    <w:div w:id="547842804">
      <w:bodyDiv w:val="1"/>
      <w:marLeft w:val="0"/>
      <w:marRight w:val="0"/>
      <w:marTop w:val="0"/>
      <w:marBottom w:val="0"/>
      <w:divBdr>
        <w:top w:val="none" w:sz="0" w:space="0" w:color="auto"/>
        <w:left w:val="none" w:sz="0" w:space="0" w:color="auto"/>
        <w:bottom w:val="none" w:sz="0" w:space="0" w:color="auto"/>
        <w:right w:val="none" w:sz="0" w:space="0" w:color="auto"/>
      </w:divBdr>
    </w:div>
    <w:div w:id="582447030">
      <w:bodyDiv w:val="1"/>
      <w:marLeft w:val="0"/>
      <w:marRight w:val="0"/>
      <w:marTop w:val="0"/>
      <w:marBottom w:val="0"/>
      <w:divBdr>
        <w:top w:val="none" w:sz="0" w:space="0" w:color="auto"/>
        <w:left w:val="none" w:sz="0" w:space="0" w:color="auto"/>
        <w:bottom w:val="none" w:sz="0" w:space="0" w:color="auto"/>
        <w:right w:val="none" w:sz="0" w:space="0" w:color="auto"/>
      </w:divBdr>
    </w:div>
    <w:div w:id="709454170">
      <w:bodyDiv w:val="1"/>
      <w:marLeft w:val="0"/>
      <w:marRight w:val="0"/>
      <w:marTop w:val="0"/>
      <w:marBottom w:val="0"/>
      <w:divBdr>
        <w:top w:val="none" w:sz="0" w:space="0" w:color="auto"/>
        <w:left w:val="none" w:sz="0" w:space="0" w:color="auto"/>
        <w:bottom w:val="none" w:sz="0" w:space="0" w:color="auto"/>
        <w:right w:val="none" w:sz="0" w:space="0" w:color="auto"/>
      </w:divBdr>
    </w:div>
    <w:div w:id="846864062">
      <w:bodyDiv w:val="1"/>
      <w:marLeft w:val="0"/>
      <w:marRight w:val="0"/>
      <w:marTop w:val="0"/>
      <w:marBottom w:val="0"/>
      <w:divBdr>
        <w:top w:val="none" w:sz="0" w:space="0" w:color="auto"/>
        <w:left w:val="none" w:sz="0" w:space="0" w:color="auto"/>
        <w:bottom w:val="none" w:sz="0" w:space="0" w:color="auto"/>
        <w:right w:val="none" w:sz="0" w:space="0" w:color="auto"/>
      </w:divBdr>
    </w:div>
    <w:div w:id="850801861">
      <w:bodyDiv w:val="1"/>
      <w:marLeft w:val="0"/>
      <w:marRight w:val="0"/>
      <w:marTop w:val="0"/>
      <w:marBottom w:val="0"/>
      <w:divBdr>
        <w:top w:val="none" w:sz="0" w:space="0" w:color="auto"/>
        <w:left w:val="none" w:sz="0" w:space="0" w:color="auto"/>
        <w:bottom w:val="none" w:sz="0" w:space="0" w:color="auto"/>
        <w:right w:val="none" w:sz="0" w:space="0" w:color="auto"/>
      </w:divBdr>
    </w:div>
    <w:div w:id="886768699">
      <w:bodyDiv w:val="1"/>
      <w:marLeft w:val="0"/>
      <w:marRight w:val="0"/>
      <w:marTop w:val="0"/>
      <w:marBottom w:val="0"/>
      <w:divBdr>
        <w:top w:val="none" w:sz="0" w:space="0" w:color="auto"/>
        <w:left w:val="none" w:sz="0" w:space="0" w:color="auto"/>
        <w:bottom w:val="none" w:sz="0" w:space="0" w:color="auto"/>
        <w:right w:val="none" w:sz="0" w:space="0" w:color="auto"/>
      </w:divBdr>
    </w:div>
    <w:div w:id="915088382">
      <w:bodyDiv w:val="1"/>
      <w:marLeft w:val="0"/>
      <w:marRight w:val="0"/>
      <w:marTop w:val="0"/>
      <w:marBottom w:val="0"/>
      <w:divBdr>
        <w:top w:val="none" w:sz="0" w:space="0" w:color="auto"/>
        <w:left w:val="none" w:sz="0" w:space="0" w:color="auto"/>
        <w:bottom w:val="none" w:sz="0" w:space="0" w:color="auto"/>
        <w:right w:val="none" w:sz="0" w:space="0" w:color="auto"/>
      </w:divBdr>
    </w:div>
    <w:div w:id="933393603">
      <w:bodyDiv w:val="1"/>
      <w:marLeft w:val="0"/>
      <w:marRight w:val="0"/>
      <w:marTop w:val="0"/>
      <w:marBottom w:val="0"/>
      <w:divBdr>
        <w:top w:val="none" w:sz="0" w:space="0" w:color="auto"/>
        <w:left w:val="none" w:sz="0" w:space="0" w:color="auto"/>
        <w:bottom w:val="none" w:sz="0" w:space="0" w:color="auto"/>
        <w:right w:val="none" w:sz="0" w:space="0" w:color="auto"/>
      </w:divBdr>
    </w:div>
    <w:div w:id="959872194">
      <w:bodyDiv w:val="1"/>
      <w:marLeft w:val="0"/>
      <w:marRight w:val="0"/>
      <w:marTop w:val="0"/>
      <w:marBottom w:val="0"/>
      <w:divBdr>
        <w:top w:val="none" w:sz="0" w:space="0" w:color="auto"/>
        <w:left w:val="none" w:sz="0" w:space="0" w:color="auto"/>
        <w:bottom w:val="none" w:sz="0" w:space="0" w:color="auto"/>
        <w:right w:val="none" w:sz="0" w:space="0" w:color="auto"/>
      </w:divBdr>
    </w:div>
    <w:div w:id="973481991">
      <w:bodyDiv w:val="1"/>
      <w:marLeft w:val="0"/>
      <w:marRight w:val="0"/>
      <w:marTop w:val="0"/>
      <w:marBottom w:val="0"/>
      <w:divBdr>
        <w:top w:val="none" w:sz="0" w:space="0" w:color="auto"/>
        <w:left w:val="none" w:sz="0" w:space="0" w:color="auto"/>
        <w:bottom w:val="none" w:sz="0" w:space="0" w:color="auto"/>
        <w:right w:val="none" w:sz="0" w:space="0" w:color="auto"/>
      </w:divBdr>
    </w:div>
    <w:div w:id="1287002465">
      <w:bodyDiv w:val="1"/>
      <w:marLeft w:val="0"/>
      <w:marRight w:val="0"/>
      <w:marTop w:val="0"/>
      <w:marBottom w:val="0"/>
      <w:divBdr>
        <w:top w:val="none" w:sz="0" w:space="0" w:color="auto"/>
        <w:left w:val="none" w:sz="0" w:space="0" w:color="auto"/>
        <w:bottom w:val="none" w:sz="0" w:space="0" w:color="auto"/>
        <w:right w:val="none" w:sz="0" w:space="0" w:color="auto"/>
      </w:divBdr>
    </w:div>
    <w:div w:id="1324357307">
      <w:bodyDiv w:val="1"/>
      <w:marLeft w:val="0"/>
      <w:marRight w:val="0"/>
      <w:marTop w:val="0"/>
      <w:marBottom w:val="0"/>
      <w:divBdr>
        <w:top w:val="none" w:sz="0" w:space="0" w:color="auto"/>
        <w:left w:val="none" w:sz="0" w:space="0" w:color="auto"/>
        <w:bottom w:val="none" w:sz="0" w:space="0" w:color="auto"/>
        <w:right w:val="none" w:sz="0" w:space="0" w:color="auto"/>
      </w:divBdr>
    </w:div>
    <w:div w:id="1396664718">
      <w:bodyDiv w:val="1"/>
      <w:marLeft w:val="0"/>
      <w:marRight w:val="0"/>
      <w:marTop w:val="0"/>
      <w:marBottom w:val="0"/>
      <w:divBdr>
        <w:top w:val="none" w:sz="0" w:space="0" w:color="auto"/>
        <w:left w:val="none" w:sz="0" w:space="0" w:color="auto"/>
        <w:bottom w:val="none" w:sz="0" w:space="0" w:color="auto"/>
        <w:right w:val="none" w:sz="0" w:space="0" w:color="auto"/>
      </w:divBdr>
    </w:div>
    <w:div w:id="1446845594">
      <w:bodyDiv w:val="1"/>
      <w:marLeft w:val="0"/>
      <w:marRight w:val="0"/>
      <w:marTop w:val="0"/>
      <w:marBottom w:val="0"/>
      <w:divBdr>
        <w:top w:val="none" w:sz="0" w:space="0" w:color="auto"/>
        <w:left w:val="none" w:sz="0" w:space="0" w:color="auto"/>
        <w:bottom w:val="none" w:sz="0" w:space="0" w:color="auto"/>
        <w:right w:val="none" w:sz="0" w:space="0" w:color="auto"/>
      </w:divBdr>
    </w:div>
    <w:div w:id="1469938571">
      <w:bodyDiv w:val="1"/>
      <w:marLeft w:val="0"/>
      <w:marRight w:val="0"/>
      <w:marTop w:val="0"/>
      <w:marBottom w:val="0"/>
      <w:divBdr>
        <w:top w:val="none" w:sz="0" w:space="0" w:color="auto"/>
        <w:left w:val="none" w:sz="0" w:space="0" w:color="auto"/>
        <w:bottom w:val="none" w:sz="0" w:space="0" w:color="auto"/>
        <w:right w:val="none" w:sz="0" w:space="0" w:color="auto"/>
      </w:divBdr>
    </w:div>
    <w:div w:id="1594776190">
      <w:bodyDiv w:val="1"/>
      <w:marLeft w:val="0"/>
      <w:marRight w:val="0"/>
      <w:marTop w:val="0"/>
      <w:marBottom w:val="0"/>
      <w:divBdr>
        <w:top w:val="none" w:sz="0" w:space="0" w:color="auto"/>
        <w:left w:val="none" w:sz="0" w:space="0" w:color="auto"/>
        <w:bottom w:val="none" w:sz="0" w:space="0" w:color="auto"/>
        <w:right w:val="none" w:sz="0" w:space="0" w:color="auto"/>
      </w:divBdr>
    </w:div>
    <w:div w:id="1604456182">
      <w:bodyDiv w:val="1"/>
      <w:marLeft w:val="0"/>
      <w:marRight w:val="0"/>
      <w:marTop w:val="0"/>
      <w:marBottom w:val="0"/>
      <w:divBdr>
        <w:top w:val="none" w:sz="0" w:space="0" w:color="auto"/>
        <w:left w:val="none" w:sz="0" w:space="0" w:color="auto"/>
        <w:bottom w:val="none" w:sz="0" w:space="0" w:color="auto"/>
        <w:right w:val="none" w:sz="0" w:space="0" w:color="auto"/>
      </w:divBdr>
    </w:div>
    <w:div w:id="1606956674">
      <w:bodyDiv w:val="1"/>
      <w:marLeft w:val="0"/>
      <w:marRight w:val="0"/>
      <w:marTop w:val="0"/>
      <w:marBottom w:val="0"/>
      <w:divBdr>
        <w:top w:val="none" w:sz="0" w:space="0" w:color="auto"/>
        <w:left w:val="none" w:sz="0" w:space="0" w:color="auto"/>
        <w:bottom w:val="none" w:sz="0" w:space="0" w:color="auto"/>
        <w:right w:val="none" w:sz="0" w:space="0" w:color="auto"/>
      </w:divBdr>
    </w:div>
    <w:div w:id="1672442689">
      <w:bodyDiv w:val="1"/>
      <w:marLeft w:val="0"/>
      <w:marRight w:val="0"/>
      <w:marTop w:val="0"/>
      <w:marBottom w:val="0"/>
      <w:divBdr>
        <w:top w:val="none" w:sz="0" w:space="0" w:color="auto"/>
        <w:left w:val="none" w:sz="0" w:space="0" w:color="auto"/>
        <w:bottom w:val="none" w:sz="0" w:space="0" w:color="auto"/>
        <w:right w:val="none" w:sz="0" w:space="0" w:color="auto"/>
      </w:divBdr>
    </w:div>
    <w:div w:id="1795901229">
      <w:bodyDiv w:val="1"/>
      <w:marLeft w:val="0"/>
      <w:marRight w:val="0"/>
      <w:marTop w:val="0"/>
      <w:marBottom w:val="0"/>
      <w:divBdr>
        <w:top w:val="none" w:sz="0" w:space="0" w:color="auto"/>
        <w:left w:val="none" w:sz="0" w:space="0" w:color="auto"/>
        <w:bottom w:val="none" w:sz="0" w:space="0" w:color="auto"/>
        <w:right w:val="none" w:sz="0" w:space="0" w:color="auto"/>
      </w:divBdr>
    </w:div>
    <w:div w:id="1852183277">
      <w:bodyDiv w:val="1"/>
      <w:marLeft w:val="0"/>
      <w:marRight w:val="0"/>
      <w:marTop w:val="0"/>
      <w:marBottom w:val="0"/>
      <w:divBdr>
        <w:top w:val="none" w:sz="0" w:space="0" w:color="auto"/>
        <w:left w:val="none" w:sz="0" w:space="0" w:color="auto"/>
        <w:bottom w:val="none" w:sz="0" w:space="0" w:color="auto"/>
        <w:right w:val="none" w:sz="0" w:space="0" w:color="auto"/>
      </w:divBdr>
    </w:div>
    <w:div w:id="1903104214">
      <w:bodyDiv w:val="1"/>
      <w:marLeft w:val="0"/>
      <w:marRight w:val="0"/>
      <w:marTop w:val="0"/>
      <w:marBottom w:val="0"/>
      <w:divBdr>
        <w:top w:val="none" w:sz="0" w:space="0" w:color="auto"/>
        <w:left w:val="none" w:sz="0" w:space="0" w:color="auto"/>
        <w:bottom w:val="none" w:sz="0" w:space="0" w:color="auto"/>
        <w:right w:val="none" w:sz="0" w:space="0" w:color="auto"/>
      </w:divBdr>
    </w:div>
    <w:div w:id="1924989110">
      <w:bodyDiv w:val="1"/>
      <w:marLeft w:val="0"/>
      <w:marRight w:val="0"/>
      <w:marTop w:val="0"/>
      <w:marBottom w:val="0"/>
      <w:divBdr>
        <w:top w:val="none" w:sz="0" w:space="0" w:color="auto"/>
        <w:left w:val="none" w:sz="0" w:space="0" w:color="auto"/>
        <w:bottom w:val="none" w:sz="0" w:space="0" w:color="auto"/>
        <w:right w:val="none" w:sz="0" w:space="0" w:color="auto"/>
      </w:divBdr>
    </w:div>
    <w:div w:id="1996839054">
      <w:bodyDiv w:val="1"/>
      <w:marLeft w:val="0"/>
      <w:marRight w:val="0"/>
      <w:marTop w:val="0"/>
      <w:marBottom w:val="0"/>
      <w:divBdr>
        <w:top w:val="none" w:sz="0" w:space="0" w:color="auto"/>
        <w:left w:val="none" w:sz="0" w:space="0" w:color="auto"/>
        <w:bottom w:val="none" w:sz="0" w:space="0" w:color="auto"/>
        <w:right w:val="none" w:sz="0" w:space="0" w:color="auto"/>
      </w:divBdr>
    </w:div>
    <w:div w:id="2040620776">
      <w:bodyDiv w:val="1"/>
      <w:marLeft w:val="0"/>
      <w:marRight w:val="0"/>
      <w:marTop w:val="0"/>
      <w:marBottom w:val="0"/>
      <w:divBdr>
        <w:top w:val="none" w:sz="0" w:space="0" w:color="auto"/>
        <w:left w:val="none" w:sz="0" w:space="0" w:color="auto"/>
        <w:bottom w:val="none" w:sz="0" w:space="0" w:color="auto"/>
        <w:right w:val="none" w:sz="0" w:space="0" w:color="auto"/>
      </w:divBdr>
    </w:div>
    <w:div w:id="2069960679">
      <w:bodyDiv w:val="1"/>
      <w:marLeft w:val="0"/>
      <w:marRight w:val="0"/>
      <w:marTop w:val="0"/>
      <w:marBottom w:val="0"/>
      <w:divBdr>
        <w:top w:val="none" w:sz="0" w:space="0" w:color="auto"/>
        <w:left w:val="none" w:sz="0" w:space="0" w:color="auto"/>
        <w:bottom w:val="none" w:sz="0" w:space="0" w:color="auto"/>
        <w:right w:val="none" w:sz="0" w:space="0" w:color="auto"/>
      </w:divBdr>
    </w:div>
    <w:div w:id="21169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aids.org/es/resources/fact-sheet" TargetMode="External"/><Relationship Id="rId2" Type="http://schemas.openxmlformats.org/officeDocument/2006/relationships/hyperlink" Target="http://data.unaids.org/publications/irc-pub05/opportu%20_es.pdf" TargetMode="External"/><Relationship Id="rId1" Type="http://schemas.openxmlformats.org/officeDocument/2006/relationships/hyperlink" Target="http://data.unaids.org/publications/irc-pub05/opportu_es.pdf" TargetMode="External"/><Relationship Id="rId4" Type="http://schemas.openxmlformats.org/officeDocument/2006/relationships/hyperlink" Target="http://www.euro.who.int/__data/assets/pdf_file/0009/74664/E877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3C40-E1E8-41B2-B615-4C2F20B5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50884</Words>
  <Characters>279866</Characters>
  <Application>Microsoft Office Word</Application>
  <DocSecurity>0</DocSecurity>
  <Lines>2332</Lines>
  <Paragraphs>660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5</cp:revision>
  <cp:lastPrinted>2020-09-02T15:25:00Z</cp:lastPrinted>
  <dcterms:created xsi:type="dcterms:W3CDTF">2020-09-01T22:32:00Z</dcterms:created>
  <dcterms:modified xsi:type="dcterms:W3CDTF">2020-09-02T15:25:00Z</dcterms:modified>
</cp:coreProperties>
</file>